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68" w:rsidRPr="00FE5D34" w:rsidRDefault="008F7B68" w:rsidP="008F7B68">
      <w:pPr>
        <w:spacing w:line="240" w:lineRule="auto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FE5D34">
        <w:rPr>
          <w:rFonts w:ascii="Tahoma" w:hAnsi="Tahoma" w:cs="Tahoma"/>
          <w:b/>
          <w:bCs/>
          <w:i/>
          <w:sz w:val="24"/>
          <w:szCs w:val="24"/>
        </w:rPr>
        <w:t>Turistički promet</w:t>
      </w:r>
      <w:r>
        <w:rPr>
          <w:rFonts w:ascii="Tahoma" w:hAnsi="Tahoma" w:cs="Tahoma"/>
          <w:b/>
          <w:bCs/>
          <w:i/>
          <w:sz w:val="24"/>
          <w:szCs w:val="24"/>
        </w:rPr>
        <w:t xml:space="preserve"> u Turističkoj zajednici grada Nova Gradiška za 2014. godinu</w:t>
      </w:r>
      <w:bookmarkStart w:id="0" w:name="_GoBack"/>
      <w:bookmarkEnd w:id="0"/>
    </w:p>
    <w:p w:rsidR="008F7B68" w:rsidRDefault="008F7B68" w:rsidP="008F7B68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FE5D34">
        <w:rPr>
          <w:rFonts w:ascii="Tahoma" w:hAnsi="Tahoma" w:cs="Tahoma"/>
          <w:bCs/>
          <w:sz w:val="24"/>
          <w:szCs w:val="24"/>
        </w:rPr>
        <w:t>Ostvaren broj noćenja u 2014. iznosi 8.433. Bilježi se pad u broju noćenja  od 27,5% u broju noćenja u odnosu na 2013. U tabelarnim prikazima iskazani su podaci o broju noćenja od 2008.-2014. godine, ukupan broj noćenja po smještajnim objektima,   struktura noćenja stranih turista prema zemlji prebivališta i struktura noćenja domaćih i stranih turista.</w:t>
      </w:r>
    </w:p>
    <w:p w:rsidR="008F7B68" w:rsidRPr="00FE5D34" w:rsidRDefault="008F7B68" w:rsidP="008F7B68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8F7B68" w:rsidRPr="00FE5D34" w:rsidRDefault="008F7B68" w:rsidP="008F7B68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tbl>
      <w:tblPr>
        <w:tblStyle w:val="Reetkatablice"/>
        <w:tblW w:w="0" w:type="auto"/>
        <w:tblInd w:w="568" w:type="dxa"/>
        <w:tblLook w:val="04A0" w:firstRow="1" w:lastRow="0" w:firstColumn="1" w:lastColumn="0" w:noHBand="0" w:noVBand="1"/>
      </w:tblPr>
      <w:tblGrid>
        <w:gridCol w:w="1363"/>
        <w:gridCol w:w="1114"/>
        <w:gridCol w:w="1115"/>
        <w:gridCol w:w="1033"/>
        <w:gridCol w:w="1033"/>
        <w:gridCol w:w="1033"/>
        <w:gridCol w:w="1115"/>
        <w:gridCol w:w="914"/>
      </w:tblGrid>
      <w:tr w:rsidR="008F7B68" w:rsidRPr="00FE5D34" w:rsidTr="00A659CE">
        <w:tc>
          <w:tcPr>
            <w:tcW w:w="1118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Cs/>
                <w:sz w:val="24"/>
                <w:szCs w:val="24"/>
                <w:highlight w:val="yellow"/>
              </w:rPr>
            </w:pPr>
            <w:r w:rsidRPr="00FE5D34">
              <w:rPr>
                <w:rFonts w:ascii="Tahoma" w:hAnsi="Tahoma" w:cs="Tahoma"/>
                <w:bCs/>
                <w:sz w:val="24"/>
                <w:szCs w:val="24"/>
                <w:highlight w:val="yellow"/>
              </w:rPr>
              <w:t>2008.</w:t>
            </w:r>
          </w:p>
        </w:tc>
        <w:tc>
          <w:tcPr>
            <w:tcW w:w="1140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Cs/>
                <w:sz w:val="24"/>
                <w:szCs w:val="24"/>
                <w:highlight w:val="yellow"/>
              </w:rPr>
            </w:pPr>
            <w:r w:rsidRPr="00FE5D34">
              <w:rPr>
                <w:rFonts w:ascii="Tahoma" w:hAnsi="Tahoma" w:cs="Tahoma"/>
                <w:bCs/>
                <w:sz w:val="24"/>
                <w:szCs w:val="24"/>
                <w:highlight w:val="yellow"/>
              </w:rPr>
              <w:t>2009.</w:t>
            </w:r>
          </w:p>
        </w:tc>
        <w:tc>
          <w:tcPr>
            <w:tcW w:w="1088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Cs/>
                <w:sz w:val="24"/>
                <w:szCs w:val="24"/>
                <w:highlight w:val="yellow"/>
              </w:rPr>
            </w:pPr>
            <w:r w:rsidRPr="00FE5D34">
              <w:rPr>
                <w:rFonts w:ascii="Tahoma" w:hAnsi="Tahoma" w:cs="Tahoma"/>
                <w:bCs/>
                <w:sz w:val="24"/>
                <w:szCs w:val="24"/>
                <w:highlight w:val="yellow"/>
              </w:rPr>
              <w:t>2010.</w:t>
            </w:r>
          </w:p>
        </w:tc>
        <w:tc>
          <w:tcPr>
            <w:tcW w:w="1088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Cs/>
                <w:sz w:val="24"/>
                <w:szCs w:val="24"/>
                <w:highlight w:val="yellow"/>
              </w:rPr>
            </w:pPr>
            <w:r w:rsidRPr="00FE5D34">
              <w:rPr>
                <w:rFonts w:ascii="Tahoma" w:hAnsi="Tahoma" w:cs="Tahoma"/>
                <w:bCs/>
                <w:sz w:val="24"/>
                <w:szCs w:val="24"/>
                <w:highlight w:val="yellow"/>
              </w:rPr>
              <w:t>2011.</w:t>
            </w:r>
          </w:p>
        </w:tc>
        <w:tc>
          <w:tcPr>
            <w:tcW w:w="1088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Cs/>
                <w:sz w:val="24"/>
                <w:szCs w:val="24"/>
                <w:highlight w:val="yellow"/>
              </w:rPr>
            </w:pPr>
            <w:r w:rsidRPr="00FE5D34">
              <w:rPr>
                <w:rFonts w:ascii="Tahoma" w:hAnsi="Tahoma" w:cs="Tahoma"/>
                <w:bCs/>
                <w:sz w:val="24"/>
                <w:szCs w:val="24"/>
                <w:highlight w:val="yellow"/>
              </w:rPr>
              <w:t>2012.</w:t>
            </w:r>
          </w:p>
        </w:tc>
        <w:tc>
          <w:tcPr>
            <w:tcW w:w="1140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Cs/>
                <w:sz w:val="24"/>
                <w:szCs w:val="24"/>
                <w:highlight w:val="yellow"/>
              </w:rPr>
              <w:t>2013.</w:t>
            </w:r>
          </w:p>
        </w:tc>
        <w:tc>
          <w:tcPr>
            <w:tcW w:w="918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Cs/>
                <w:sz w:val="24"/>
                <w:szCs w:val="24"/>
                <w:highlight w:val="yellow"/>
              </w:rPr>
            </w:pPr>
            <w:r w:rsidRPr="00FE5D34">
              <w:rPr>
                <w:rFonts w:ascii="Tahoma" w:hAnsi="Tahoma" w:cs="Tahoma"/>
                <w:bCs/>
                <w:sz w:val="24"/>
                <w:szCs w:val="24"/>
                <w:highlight w:val="yellow"/>
              </w:rPr>
              <w:t>2014.</w:t>
            </w:r>
          </w:p>
        </w:tc>
      </w:tr>
      <w:tr w:rsidR="008F7B68" w:rsidRPr="00FE5D34" w:rsidTr="00A659CE">
        <w:tc>
          <w:tcPr>
            <w:tcW w:w="1118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i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i/>
                <w:sz w:val="24"/>
                <w:szCs w:val="24"/>
              </w:rPr>
              <w:t>BROJ NOĆENJA</w:t>
            </w:r>
          </w:p>
        </w:tc>
        <w:tc>
          <w:tcPr>
            <w:tcW w:w="1140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i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i/>
                <w:sz w:val="24"/>
                <w:szCs w:val="24"/>
              </w:rPr>
              <w:t>11.347</w:t>
            </w:r>
          </w:p>
        </w:tc>
        <w:tc>
          <w:tcPr>
            <w:tcW w:w="1140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i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i/>
                <w:sz w:val="24"/>
                <w:szCs w:val="24"/>
              </w:rPr>
              <w:t>10.675</w:t>
            </w:r>
          </w:p>
        </w:tc>
        <w:tc>
          <w:tcPr>
            <w:tcW w:w="1088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i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i/>
                <w:sz w:val="24"/>
                <w:szCs w:val="24"/>
              </w:rPr>
              <w:t>6.007</w:t>
            </w:r>
          </w:p>
        </w:tc>
        <w:tc>
          <w:tcPr>
            <w:tcW w:w="1088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i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i/>
                <w:sz w:val="24"/>
                <w:szCs w:val="24"/>
              </w:rPr>
              <w:t>7.940</w:t>
            </w:r>
          </w:p>
        </w:tc>
        <w:tc>
          <w:tcPr>
            <w:tcW w:w="1088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i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i/>
                <w:sz w:val="24"/>
                <w:szCs w:val="24"/>
              </w:rPr>
              <w:t>7.414</w:t>
            </w:r>
          </w:p>
        </w:tc>
        <w:tc>
          <w:tcPr>
            <w:tcW w:w="1140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i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i/>
                <w:sz w:val="24"/>
                <w:szCs w:val="24"/>
              </w:rPr>
              <w:t>11.630</w:t>
            </w:r>
          </w:p>
        </w:tc>
        <w:tc>
          <w:tcPr>
            <w:tcW w:w="918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i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i/>
                <w:sz w:val="24"/>
                <w:szCs w:val="24"/>
              </w:rPr>
              <w:t>8.433</w:t>
            </w:r>
          </w:p>
        </w:tc>
      </w:tr>
    </w:tbl>
    <w:p w:rsidR="008F7B68" w:rsidRDefault="008F7B68" w:rsidP="008F7B68">
      <w:pPr>
        <w:spacing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8F7B68" w:rsidRDefault="008F7B68" w:rsidP="008F7B68">
      <w:pPr>
        <w:spacing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8F7B68" w:rsidRDefault="008F7B68" w:rsidP="008F7B68">
      <w:pPr>
        <w:spacing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8F7B68" w:rsidRDefault="008F7B68" w:rsidP="008F7B68">
      <w:pPr>
        <w:spacing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8F7B68" w:rsidRDefault="008F7B68" w:rsidP="008F7B68">
      <w:pPr>
        <w:spacing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8F7B68" w:rsidRDefault="008F7B68" w:rsidP="008F7B68">
      <w:pPr>
        <w:spacing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8F7B68" w:rsidRPr="00FE5D34" w:rsidRDefault="008F7B68" w:rsidP="008F7B68">
      <w:pPr>
        <w:spacing w:line="240" w:lineRule="auto"/>
        <w:jc w:val="center"/>
        <w:rPr>
          <w:rFonts w:ascii="Tahoma" w:hAnsi="Tahoma" w:cs="Tahoma"/>
          <w:bCs/>
          <w:sz w:val="24"/>
          <w:szCs w:val="24"/>
        </w:rPr>
      </w:pPr>
    </w:p>
    <w:p w:rsidR="008F7B68" w:rsidRPr="00FE5D34" w:rsidRDefault="008F7B68" w:rsidP="008F7B68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E5D34">
        <w:rPr>
          <w:rFonts w:ascii="Tahoma" w:hAnsi="Tahoma" w:cs="Tahoma"/>
          <w:b/>
          <w:bCs/>
          <w:noProof/>
          <w:sz w:val="24"/>
          <w:szCs w:val="24"/>
          <w:lang w:eastAsia="hr-HR"/>
        </w:rPr>
        <w:drawing>
          <wp:inline distT="0" distB="0" distL="0" distR="0" wp14:anchorId="05CDE9D2" wp14:editId="478FD795">
            <wp:extent cx="4933950" cy="2809875"/>
            <wp:effectExtent l="0" t="0" r="19050" b="9525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F7B68" w:rsidRPr="00FE5D34" w:rsidRDefault="008F7B68" w:rsidP="008F7B68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F7B68" w:rsidRPr="00FE5D34" w:rsidRDefault="008F7B68" w:rsidP="008F7B68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F7B68" w:rsidRPr="00FE5D34" w:rsidRDefault="008F7B68" w:rsidP="008F7B68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F7B68" w:rsidRPr="00FE5D34" w:rsidRDefault="008F7B68" w:rsidP="008F7B68">
      <w:pPr>
        <w:tabs>
          <w:tab w:val="left" w:pos="7797"/>
        </w:tabs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E5D34">
        <w:rPr>
          <w:rFonts w:ascii="Tahoma" w:hAnsi="Tahoma" w:cs="Tahoma"/>
          <w:b/>
          <w:bCs/>
          <w:noProof/>
          <w:sz w:val="24"/>
          <w:szCs w:val="24"/>
          <w:lang w:eastAsia="hr-HR"/>
        </w:rPr>
        <w:lastRenderedPageBreak/>
        <w:drawing>
          <wp:inline distT="0" distB="0" distL="0" distR="0" wp14:anchorId="744E551A" wp14:editId="7C23CED0">
            <wp:extent cx="6067425" cy="7534275"/>
            <wp:effectExtent l="0" t="0" r="9525" b="952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F7B68" w:rsidRPr="00FE5D34" w:rsidRDefault="008F7B68" w:rsidP="008F7B68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F7B68" w:rsidRPr="00FE5D34" w:rsidRDefault="008F7B68" w:rsidP="008F7B68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F7B68" w:rsidRPr="00FE5D34" w:rsidRDefault="008F7B68" w:rsidP="008F7B68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F7B68" w:rsidRPr="00FE5D34" w:rsidRDefault="008F7B68" w:rsidP="008F7B68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F7B68" w:rsidRPr="00FE5D34" w:rsidRDefault="008F7B68" w:rsidP="008F7B68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E5D34">
        <w:rPr>
          <w:rFonts w:ascii="Tahoma" w:hAnsi="Tahoma" w:cs="Tahoma"/>
          <w:b/>
          <w:bCs/>
          <w:sz w:val="24"/>
          <w:szCs w:val="24"/>
        </w:rPr>
        <w:lastRenderedPageBreak/>
        <w:t>STRUKTURA NOĆENJA STRANIH I DOMAĆIH TURISTA ZA 2014.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F7B68" w:rsidRPr="00FE5D34" w:rsidTr="00A659CE">
        <w:tc>
          <w:tcPr>
            <w:tcW w:w="4644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STRANI TURISTI/BROJ NOĆENJA</w:t>
            </w:r>
          </w:p>
        </w:tc>
        <w:tc>
          <w:tcPr>
            <w:tcW w:w="4644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DOMAĆI TURISTI/BROJ NOĆENJA</w:t>
            </w:r>
          </w:p>
        </w:tc>
      </w:tr>
      <w:tr w:rsidR="008F7B68" w:rsidRPr="00FE5D34" w:rsidTr="00A659CE">
        <w:tc>
          <w:tcPr>
            <w:tcW w:w="4644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Cs/>
                <w:sz w:val="24"/>
                <w:szCs w:val="24"/>
              </w:rPr>
              <w:t>3.263</w:t>
            </w:r>
          </w:p>
        </w:tc>
        <w:tc>
          <w:tcPr>
            <w:tcW w:w="4644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Cs/>
                <w:sz w:val="24"/>
                <w:szCs w:val="24"/>
              </w:rPr>
              <w:t>5.170</w:t>
            </w:r>
          </w:p>
        </w:tc>
      </w:tr>
    </w:tbl>
    <w:p w:rsidR="008F7B68" w:rsidRPr="00FE5D34" w:rsidRDefault="008F7B68" w:rsidP="008F7B68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F7B68" w:rsidRPr="00FE5D34" w:rsidRDefault="008F7B68" w:rsidP="008F7B68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E5D34">
        <w:rPr>
          <w:rFonts w:ascii="Tahoma" w:hAnsi="Tahoma" w:cs="Tahoma"/>
          <w:b/>
          <w:bCs/>
          <w:noProof/>
          <w:sz w:val="24"/>
          <w:szCs w:val="24"/>
          <w:lang w:eastAsia="hr-HR"/>
        </w:rPr>
        <w:drawing>
          <wp:inline distT="0" distB="0" distL="0" distR="0" wp14:anchorId="04C1F1E2" wp14:editId="1F69295F">
            <wp:extent cx="5095875" cy="3352800"/>
            <wp:effectExtent l="0" t="0" r="9525" b="1905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F7B68" w:rsidRPr="00FE5D34" w:rsidRDefault="008F7B68" w:rsidP="008F7B68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F7B68" w:rsidRPr="00FE5D34" w:rsidRDefault="008F7B68" w:rsidP="008F7B68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E5D34">
        <w:rPr>
          <w:rFonts w:ascii="Tahoma" w:hAnsi="Tahoma" w:cs="Tahoma"/>
          <w:b/>
          <w:bCs/>
          <w:sz w:val="24"/>
          <w:szCs w:val="24"/>
        </w:rPr>
        <w:t>STRUKTURA NOĆENJA PO SMJEŠTAJNIM OBJEKTIMA ZA 2014.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8F7B68" w:rsidRPr="00FE5D34" w:rsidTr="00A659CE"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SMJEŠTAJNI OBJEKT</w:t>
            </w:r>
          </w:p>
        </w:tc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BROJ SMJEŠTAJNIH JEDINICA/KREVETA</w:t>
            </w:r>
          </w:p>
        </w:tc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BROJ NOĆENJA</w:t>
            </w:r>
          </w:p>
        </w:tc>
      </w:tr>
      <w:tr w:rsidR="008F7B68" w:rsidRPr="00FE5D34" w:rsidTr="00A659CE"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Cs/>
                <w:sz w:val="24"/>
                <w:szCs w:val="24"/>
              </w:rPr>
              <w:t>HOTEL KRALJ TOMISLAV</w:t>
            </w:r>
          </w:p>
        </w:tc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3.905</w:t>
            </w:r>
          </w:p>
        </w:tc>
      </w:tr>
      <w:tr w:rsidR="008F7B68" w:rsidRPr="00FE5D34" w:rsidTr="00A659CE"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Cs/>
                <w:sz w:val="24"/>
                <w:szCs w:val="24"/>
              </w:rPr>
              <w:t>PANSION SLAVONSKI BISER</w:t>
            </w:r>
          </w:p>
        </w:tc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2.533</w:t>
            </w:r>
          </w:p>
        </w:tc>
      </w:tr>
      <w:tr w:rsidR="008F7B68" w:rsidRPr="00FE5D34" w:rsidTr="00A659CE"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Cs/>
                <w:sz w:val="24"/>
                <w:szCs w:val="24"/>
              </w:rPr>
              <w:t>PRENOĆIŠTE MAKSIMILIJAN</w:t>
            </w:r>
          </w:p>
        </w:tc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1.337</w:t>
            </w:r>
          </w:p>
        </w:tc>
      </w:tr>
      <w:tr w:rsidR="008F7B68" w:rsidRPr="00FE5D34" w:rsidTr="00A659CE"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Cs/>
                <w:sz w:val="24"/>
                <w:szCs w:val="24"/>
              </w:rPr>
              <w:t>SOBE ZA IZNAJMLJIVANJE MATTEO</w:t>
            </w:r>
          </w:p>
        </w:tc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561</w:t>
            </w:r>
          </w:p>
        </w:tc>
      </w:tr>
      <w:tr w:rsidR="008F7B68" w:rsidRPr="00FE5D34" w:rsidTr="00A659CE"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Cs/>
                <w:sz w:val="24"/>
                <w:szCs w:val="24"/>
              </w:rPr>
              <w:t>LOVAČKA KUĆA-RIBNJACI AURORA</w:t>
            </w:r>
          </w:p>
        </w:tc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97</w:t>
            </w:r>
          </w:p>
        </w:tc>
      </w:tr>
      <w:tr w:rsidR="008F7B68" w:rsidRPr="00FE5D34" w:rsidTr="00A659CE"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UKUPNO</w:t>
            </w:r>
          </w:p>
        </w:tc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3096" w:type="dxa"/>
          </w:tcPr>
          <w:p w:rsidR="008F7B68" w:rsidRPr="00FE5D34" w:rsidRDefault="008F7B68" w:rsidP="00A659C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5D34">
              <w:rPr>
                <w:rFonts w:ascii="Tahoma" w:hAnsi="Tahoma" w:cs="Tahoma"/>
                <w:b/>
                <w:bCs/>
                <w:sz w:val="24"/>
                <w:szCs w:val="24"/>
              </w:rPr>
              <w:t>8.433</w:t>
            </w:r>
          </w:p>
        </w:tc>
      </w:tr>
    </w:tbl>
    <w:p w:rsidR="008F7B68" w:rsidRPr="00FE5D34" w:rsidRDefault="008F7B68" w:rsidP="008F7B68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F7B68" w:rsidRPr="00FE5D34" w:rsidRDefault="008F7B68" w:rsidP="008F7B68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E5D34">
        <w:rPr>
          <w:rFonts w:ascii="Tahoma" w:hAnsi="Tahoma" w:cs="Tahoma"/>
          <w:b/>
          <w:bCs/>
          <w:noProof/>
          <w:sz w:val="24"/>
          <w:szCs w:val="24"/>
          <w:lang w:eastAsia="hr-HR"/>
        </w:rPr>
        <w:drawing>
          <wp:inline distT="0" distB="0" distL="0" distR="0" wp14:anchorId="2064D2D1" wp14:editId="56F86355">
            <wp:extent cx="5486400" cy="3200400"/>
            <wp:effectExtent l="0" t="0" r="19050" b="1905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7B68" w:rsidRPr="00FE5D34" w:rsidRDefault="008F7B68" w:rsidP="008F7B68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71EEA" w:rsidRDefault="00171EEA"/>
    <w:sectPr w:rsidR="00171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68"/>
    <w:rsid w:val="00006CA8"/>
    <w:rsid w:val="0012197F"/>
    <w:rsid w:val="00171EEA"/>
    <w:rsid w:val="00202BBB"/>
    <w:rsid w:val="00245228"/>
    <w:rsid w:val="002C1992"/>
    <w:rsid w:val="003840AA"/>
    <w:rsid w:val="003907CB"/>
    <w:rsid w:val="0043329E"/>
    <w:rsid w:val="004566AD"/>
    <w:rsid w:val="004F51DB"/>
    <w:rsid w:val="00542F98"/>
    <w:rsid w:val="0054349B"/>
    <w:rsid w:val="00596736"/>
    <w:rsid w:val="006B6E30"/>
    <w:rsid w:val="006D245C"/>
    <w:rsid w:val="007506FC"/>
    <w:rsid w:val="007C59B9"/>
    <w:rsid w:val="0082758D"/>
    <w:rsid w:val="008D6416"/>
    <w:rsid w:val="008F7B68"/>
    <w:rsid w:val="00926139"/>
    <w:rsid w:val="00A531F5"/>
    <w:rsid w:val="00A540E3"/>
    <w:rsid w:val="00AA6667"/>
    <w:rsid w:val="00AB721F"/>
    <w:rsid w:val="00B65E40"/>
    <w:rsid w:val="00B80544"/>
    <w:rsid w:val="00C151CD"/>
    <w:rsid w:val="00CA01E0"/>
    <w:rsid w:val="00D434C1"/>
    <w:rsid w:val="00D53825"/>
    <w:rsid w:val="00D84DE8"/>
    <w:rsid w:val="00E30FB2"/>
    <w:rsid w:val="00ED30C5"/>
    <w:rsid w:val="00FD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68"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7B6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7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68"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7B6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7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hr-HR" sz="1600"/>
              <a:t>TURISTIČKI PROMET 2008.-2014.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1"/>
                <c:pt idx="0">
                  <c:v>BROJ NOĆENJA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11347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1"/>
                <c:pt idx="0">
                  <c:v>BROJ NOĆENJA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10675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1"/>
                <c:pt idx="0">
                  <c:v>BROJ NOĆENJA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6007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1"/>
                <c:pt idx="0">
                  <c:v>BROJ NOĆENJA</c:v>
                </c:pt>
              </c:strCache>
            </c:strRef>
          </c:cat>
          <c:val>
            <c:numRef>
              <c:f>List1!$E$2:$E$5</c:f>
              <c:numCache>
                <c:formatCode>General</c:formatCode>
                <c:ptCount val="4"/>
                <c:pt idx="0">
                  <c:v>7940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1"/>
                <c:pt idx="0">
                  <c:v>BROJ NOĆENJA</c:v>
                </c:pt>
              </c:strCache>
            </c:strRef>
          </c:cat>
          <c:val>
            <c:numRef>
              <c:f>List1!$F$2:$F$5</c:f>
              <c:numCache>
                <c:formatCode>General</c:formatCode>
                <c:ptCount val="4"/>
                <c:pt idx="0">
                  <c:v>7414</c:v>
                </c:pt>
              </c:numCache>
            </c:numRef>
          </c:val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1"/>
                <c:pt idx="0">
                  <c:v>BROJ NOĆENJA</c:v>
                </c:pt>
              </c:strCache>
            </c:strRef>
          </c:cat>
          <c:val>
            <c:numRef>
              <c:f>List1!$G$2:$G$5</c:f>
              <c:numCache>
                <c:formatCode>General</c:formatCode>
                <c:ptCount val="4"/>
                <c:pt idx="0">
                  <c:v>11630</c:v>
                </c:pt>
              </c:numCache>
            </c:numRef>
          </c:val>
        </c:ser>
        <c:ser>
          <c:idx val="6"/>
          <c:order val="6"/>
          <c:tx>
            <c:strRef>
              <c:f>List1!$H$1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1"/>
                <c:pt idx="0">
                  <c:v>BROJ NOĆENJA</c:v>
                </c:pt>
              </c:strCache>
            </c:strRef>
          </c:cat>
          <c:val>
            <c:numRef>
              <c:f>List1!$H$2:$H$5</c:f>
              <c:numCache>
                <c:formatCode>General</c:formatCode>
                <c:ptCount val="4"/>
                <c:pt idx="0">
                  <c:v>8433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117952"/>
        <c:axId val="187119488"/>
      </c:barChart>
      <c:catAx>
        <c:axId val="187117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87119488"/>
        <c:crosses val="autoZero"/>
        <c:auto val="1"/>
        <c:lblAlgn val="ctr"/>
        <c:lblOffset val="100"/>
        <c:noMultiLvlLbl val="0"/>
      </c:catAx>
      <c:valAx>
        <c:axId val="18711948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187117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hr-HR" sz="1200"/>
              <a:t>STRUKTURA NOĆENJA</a:t>
            </a:r>
            <a:r>
              <a:rPr lang="hr-HR" sz="1200" baseline="0"/>
              <a:t> STRANIH TURISTA</a:t>
            </a:r>
            <a:r>
              <a:rPr lang="hr-HR" sz="1200"/>
              <a:t> PO ZEMLJAMA PREBIVALIŠTA ZA 2014.</a:t>
            </a:r>
            <a:endParaRPr lang="en-US" sz="1200"/>
          </a:p>
        </c:rich>
      </c:tx>
      <c:layout>
        <c:manualLayout>
          <c:xMode val="edge"/>
          <c:yMode val="edge"/>
          <c:x val="0.10812382120576637"/>
          <c:y val="1.0319917440660475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List1!$A$2:$A$32</c:f>
              <c:strCache>
                <c:ptCount val="31"/>
                <c:pt idx="0">
                  <c:v>ITALIJA</c:v>
                </c:pt>
                <c:pt idx="1">
                  <c:v>NJEMAČKA</c:v>
                </c:pt>
                <c:pt idx="2">
                  <c:v>BIH</c:v>
                </c:pt>
                <c:pt idx="3">
                  <c:v>FRANCUSKA</c:v>
                </c:pt>
                <c:pt idx="4">
                  <c:v>AUSTRIJA</c:v>
                </c:pt>
                <c:pt idx="5">
                  <c:v>OSTALE EUROPSKE ZEMLJE</c:v>
                </c:pt>
                <c:pt idx="6">
                  <c:v>RUMUNJSKA</c:v>
                </c:pt>
                <c:pt idx="7">
                  <c:v>BUGARSKA</c:v>
                </c:pt>
                <c:pt idx="8">
                  <c:v>PORTUGAL</c:v>
                </c:pt>
                <c:pt idx="9">
                  <c:v>ŠVICARSKA</c:v>
                </c:pt>
                <c:pt idx="10">
                  <c:v>VELIKA BRITANIJA</c:v>
                </c:pt>
                <c:pt idx="11">
                  <c:v>DANSKA</c:v>
                </c:pt>
                <c:pt idx="12">
                  <c:v>DANSKA</c:v>
                </c:pt>
                <c:pt idx="13">
                  <c:v>AUSTRALIJA</c:v>
                </c:pt>
                <c:pt idx="14">
                  <c:v>LITVA</c:v>
                </c:pt>
                <c:pt idx="15">
                  <c:v>SRBIJA</c:v>
                </c:pt>
                <c:pt idx="16">
                  <c:v>MAKEDONIJA</c:v>
                </c:pt>
                <c:pt idx="17">
                  <c:v>SLOVENIJA</c:v>
                </c:pt>
                <c:pt idx="18">
                  <c:v>MAĐARSKA</c:v>
                </c:pt>
                <c:pt idx="19">
                  <c:v>TURSKA</c:v>
                </c:pt>
                <c:pt idx="20">
                  <c:v>SLOVAČKA</c:v>
                </c:pt>
                <c:pt idx="21">
                  <c:v>POLJSKA</c:v>
                </c:pt>
                <c:pt idx="22">
                  <c:v>SAD</c:v>
                </c:pt>
                <c:pt idx="23">
                  <c:v>NIZOZEMSKA</c:v>
                </c:pt>
                <c:pt idx="24">
                  <c:v>NORVEŠKA</c:v>
                </c:pt>
                <c:pt idx="25">
                  <c:v>IRSKA</c:v>
                </c:pt>
                <c:pt idx="26">
                  <c:v>ŠVEDSKA</c:v>
                </c:pt>
                <c:pt idx="27">
                  <c:v>GRČKA</c:v>
                </c:pt>
                <c:pt idx="28">
                  <c:v>BELGIJA</c:v>
                </c:pt>
                <c:pt idx="29">
                  <c:v>KANADA</c:v>
                </c:pt>
                <c:pt idx="30">
                  <c:v>OSTALE IZVANEUROPSKE ZEMLJE</c:v>
                </c:pt>
              </c:strCache>
            </c:strRef>
          </c:cat>
          <c:val>
            <c:numRef>
              <c:f>List1!$B$2:$B$32</c:f>
              <c:numCache>
                <c:formatCode>General</c:formatCode>
                <c:ptCount val="31"/>
                <c:pt idx="0">
                  <c:v>980</c:v>
                </c:pt>
                <c:pt idx="1">
                  <c:v>422</c:v>
                </c:pt>
                <c:pt idx="2">
                  <c:v>194</c:v>
                </c:pt>
                <c:pt idx="3">
                  <c:v>153</c:v>
                </c:pt>
                <c:pt idx="4">
                  <c:v>119</c:v>
                </c:pt>
                <c:pt idx="5">
                  <c:v>113</c:v>
                </c:pt>
                <c:pt idx="6">
                  <c:v>104</c:v>
                </c:pt>
                <c:pt idx="7">
                  <c:v>102</c:v>
                </c:pt>
                <c:pt idx="8">
                  <c:v>92</c:v>
                </c:pt>
                <c:pt idx="9">
                  <c:v>91</c:v>
                </c:pt>
                <c:pt idx="10">
                  <c:v>90</c:v>
                </c:pt>
                <c:pt idx="11">
                  <c:v>86</c:v>
                </c:pt>
                <c:pt idx="12">
                  <c:v>86</c:v>
                </c:pt>
                <c:pt idx="13">
                  <c:v>81</c:v>
                </c:pt>
                <c:pt idx="14">
                  <c:v>66</c:v>
                </c:pt>
                <c:pt idx="15">
                  <c:v>65</c:v>
                </c:pt>
                <c:pt idx="16">
                  <c:v>59</c:v>
                </c:pt>
                <c:pt idx="17">
                  <c:v>58</c:v>
                </c:pt>
                <c:pt idx="18">
                  <c:v>53</c:v>
                </c:pt>
                <c:pt idx="19">
                  <c:v>45</c:v>
                </c:pt>
                <c:pt idx="20">
                  <c:v>42</c:v>
                </c:pt>
                <c:pt idx="21">
                  <c:v>40</c:v>
                </c:pt>
                <c:pt idx="22">
                  <c:v>37</c:v>
                </c:pt>
                <c:pt idx="23">
                  <c:v>35</c:v>
                </c:pt>
                <c:pt idx="24">
                  <c:v>26</c:v>
                </c:pt>
                <c:pt idx="25">
                  <c:v>23</c:v>
                </c:pt>
                <c:pt idx="26">
                  <c:v>21</c:v>
                </c:pt>
                <c:pt idx="27">
                  <c:v>20</c:v>
                </c:pt>
                <c:pt idx="28">
                  <c:v>19</c:v>
                </c:pt>
                <c:pt idx="29">
                  <c:v>14</c:v>
                </c:pt>
                <c:pt idx="30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7099898227007337"/>
          <c:y val="0.12078494612952143"/>
          <c:w val="0.31644214802819975"/>
          <c:h val="0.807819066864429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STRUKTURA NOĆENJA STRANIH I DOMAĆIH TURISTA ZA 201</a:t>
            </a:r>
            <a:r>
              <a:rPr lang="hr-HR" sz="1200"/>
              <a:t>4</a:t>
            </a:r>
            <a:r>
              <a:rPr lang="en-US" sz="1200"/>
              <a:t>.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STRUKTURA NOĆENJA STRANIH I DOMAĆIH TURISTA ZA 2013.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List1!$A$2:$A$3</c:f>
              <c:strCache>
                <c:ptCount val="2"/>
                <c:pt idx="0">
                  <c:v>STRANI TURISTI</c:v>
                </c:pt>
                <c:pt idx="1">
                  <c:v>DOMAĆI TURISTI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3263</c:v>
                </c:pt>
                <c:pt idx="1">
                  <c:v>5170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en-US" sz="1100"/>
              <a:t>NOĆENJA</a:t>
            </a:r>
            <a:r>
              <a:rPr lang="hr-HR" sz="1100"/>
              <a:t> PO SMJEŠTAJNIM OBJEKTIMA</a:t>
            </a:r>
            <a:r>
              <a:rPr lang="en-US" sz="1100"/>
              <a:t> 201</a:t>
            </a:r>
            <a:r>
              <a:rPr lang="hr-HR" sz="1100"/>
              <a:t>4</a:t>
            </a:r>
            <a:r>
              <a:rPr lang="en-US" sz="1100"/>
              <a:t>.</a:t>
            </a:r>
          </a:p>
        </c:rich>
      </c:tx>
      <c:layout>
        <c:manualLayout>
          <c:xMode val="edge"/>
          <c:yMode val="edge"/>
          <c:x val="0.2917244459025955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NOĆENJA 2013.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List1!$A$2:$A$6</c:f>
              <c:strCache>
                <c:ptCount val="5"/>
                <c:pt idx="0">
                  <c:v>HOTEL KRALJ TOMISLAV</c:v>
                </c:pt>
                <c:pt idx="1">
                  <c:v>PANSION SLAVONSKI BISER</c:v>
                </c:pt>
                <c:pt idx="2">
                  <c:v>PRENOĆIŠTE MAKSIMILIJAN</c:v>
                </c:pt>
                <c:pt idx="3">
                  <c:v>SOBE ZA IZNAJMLJIVANJE MATEO</c:v>
                </c:pt>
                <c:pt idx="4">
                  <c:v>LOVAČKA KUĆA RIBNJACI AURORA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3905</c:v>
                </c:pt>
                <c:pt idx="1">
                  <c:v>2533</c:v>
                </c:pt>
                <c:pt idx="2">
                  <c:v>1337</c:v>
                </c:pt>
                <c:pt idx="3">
                  <c:v>561</c:v>
                </c:pt>
                <c:pt idx="4">
                  <c:v>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tzgng</dc:creator>
  <cp:lastModifiedBy>tzgng</cp:lastModifiedBy>
  <cp:revision>1</cp:revision>
  <dcterms:created xsi:type="dcterms:W3CDTF">2015-04-17T16:23:00Z</dcterms:created>
  <dcterms:modified xsi:type="dcterms:W3CDTF">2015-04-17T16:24:00Z</dcterms:modified>
</cp:coreProperties>
</file>