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Default Extension="GIF" ContentType="image/gif"/>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114.xml" ContentType="application/vnd.openxmlformats-officedocument.wordprocessingml.header+xml"/>
  <Override PartName="/word/footer114.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17.xml" ContentType="application/vnd.openxmlformats-officedocument.wordprocessingml.header+xml"/>
  <Override PartName="/word/footer117.xml" ContentType="application/vnd.openxmlformats-officedocument.wordprocessingml.footer+xml"/>
  <Override PartName="/word/header118.xml" ContentType="application/vnd.openxmlformats-officedocument.wordprocessingml.header+xml"/>
  <Override PartName="/word/header119.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20.xml" ContentType="application/vnd.openxmlformats-officedocument.wordprocessingml.header+xml"/>
  <Override PartName="/word/footer120.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23.xml" ContentType="application/vnd.openxmlformats-officedocument.wordprocessingml.header+xml"/>
  <Override PartName="/word/footer123.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26.xml" ContentType="application/vnd.openxmlformats-officedocument.wordprocessingml.header+xml"/>
  <Override PartName="/word/footer126.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29.xml" ContentType="application/vnd.openxmlformats-officedocument.wordprocessingml.header+xml"/>
  <Override PartName="/word/footer129.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header132.xml" ContentType="application/vnd.openxmlformats-officedocument.wordprocessingml.header+xml"/>
  <Override PartName="/word/footer132.xml" ContentType="application/vnd.openxmlformats-officedocument.wordprocessingml.footer+xml"/>
  <Override PartName="/word/header133.xml" ContentType="application/vnd.openxmlformats-officedocument.wordprocessingml.header+xml"/>
  <Override PartName="/word/header134.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35.xml" ContentType="application/vnd.openxmlformats-officedocument.wordprocessingml.header+xml"/>
  <Override PartName="/word/footer135.xml" ContentType="application/vnd.openxmlformats-officedocument.wordprocessingml.footer+xml"/>
  <Override PartName="/word/header136.xml" ContentType="application/vnd.openxmlformats-officedocument.wordprocessingml.header+xml"/>
  <Override PartName="/word/header137.xml" ContentType="application/vnd.openxmlformats-officedocument.wordprocessingml.header+xml"/>
  <Override PartName="/word/footer136.xml" ContentType="application/vnd.openxmlformats-officedocument.wordprocessingml.footer+xml"/>
  <Override PartName="/word/footer137.xml" ContentType="application/vnd.openxmlformats-officedocument.wordprocessingml.footer+xml"/>
  <Override PartName="/word/header138.xml" ContentType="application/vnd.openxmlformats-officedocument.wordprocessingml.header+xml"/>
  <Override PartName="/word/footer138.xml" ContentType="application/vnd.openxmlformats-officedocument.wordprocessingml.footer+xml"/>
  <Override PartName="/word/header139.xml" ContentType="application/vnd.openxmlformats-officedocument.wordprocessingml.header+xml"/>
  <Override PartName="/word/header140.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header141.xml" ContentType="application/vnd.openxmlformats-officedocument.wordprocessingml.header+xml"/>
  <Override PartName="/word/footer141.xml" ContentType="application/vnd.openxmlformats-officedocument.wordprocessingml.footer+xml"/>
  <Override PartName="/word/header142.xml" ContentType="application/vnd.openxmlformats-officedocument.wordprocessingml.header+xml"/>
  <Override PartName="/word/header143.xml" ContentType="application/vnd.openxmlformats-officedocument.wordprocessingml.header+xml"/>
  <Override PartName="/word/footer142.xml" ContentType="application/vnd.openxmlformats-officedocument.wordprocessingml.footer+xml"/>
  <Override PartName="/word/footer143.xml" ContentType="application/vnd.openxmlformats-officedocument.wordprocessingml.footer+xml"/>
  <Override PartName="/word/header144.xml" ContentType="application/vnd.openxmlformats-officedocument.wordprocessingml.header+xml"/>
  <Override PartName="/word/footer144.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header147.xml" ContentType="application/vnd.openxmlformats-officedocument.wordprocessingml.header+xml"/>
  <Override PartName="/word/footer147.xml" ContentType="application/vnd.openxmlformats-officedocument.wordprocessingml.footer+xml"/>
  <Override PartName="/word/header148.xml" ContentType="application/vnd.openxmlformats-officedocument.wordprocessingml.header+xml"/>
  <Override PartName="/word/header149.xml" ContentType="application/vnd.openxmlformats-officedocument.wordprocessingml.header+xml"/>
  <Override PartName="/word/footer148.xml" ContentType="application/vnd.openxmlformats-officedocument.wordprocessingml.footer+xml"/>
  <Override PartName="/word/footer149.xml" ContentType="application/vnd.openxmlformats-officedocument.wordprocessingml.footer+xml"/>
  <Override PartName="/word/header150.xml" ContentType="application/vnd.openxmlformats-officedocument.wordprocessingml.header+xml"/>
  <Override PartName="/word/footer150.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header153.xml" ContentType="application/vnd.openxmlformats-officedocument.wordprocessingml.header+xml"/>
  <Override PartName="/word/footer153.xml" ContentType="application/vnd.openxmlformats-officedocument.wordprocessingml.footer+xml"/>
  <Override PartName="/word/header154.xml" ContentType="application/vnd.openxmlformats-officedocument.wordprocessingml.header+xml"/>
  <Override PartName="/word/header155.xml" ContentType="application/vnd.openxmlformats-officedocument.wordprocessingml.header+xml"/>
  <Override PartName="/word/footer154.xml" ContentType="application/vnd.openxmlformats-officedocument.wordprocessingml.footer+xml"/>
  <Override PartName="/word/footer155.xml" ContentType="application/vnd.openxmlformats-officedocument.wordprocessingml.footer+xml"/>
  <Override PartName="/word/header156.xml" ContentType="application/vnd.openxmlformats-officedocument.wordprocessingml.header+xml"/>
  <Override PartName="/word/footer156.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header159.xml" ContentType="application/vnd.openxmlformats-officedocument.wordprocessingml.header+xml"/>
  <Override PartName="/word/footer159.xml" ContentType="application/vnd.openxmlformats-officedocument.wordprocessingml.footer+xml"/>
  <Override PartName="/word/header160.xml" ContentType="application/vnd.openxmlformats-officedocument.wordprocessingml.header+xml"/>
  <Override PartName="/word/header161.xml" ContentType="application/vnd.openxmlformats-officedocument.wordprocessingml.header+xml"/>
  <Override PartName="/word/footer160.xml" ContentType="application/vnd.openxmlformats-officedocument.wordprocessingml.footer+xml"/>
  <Override PartName="/word/footer161.xml" ContentType="application/vnd.openxmlformats-officedocument.wordprocessingml.footer+xml"/>
  <Override PartName="/word/header162.xml" ContentType="application/vnd.openxmlformats-officedocument.wordprocessingml.header+xml"/>
  <Override PartName="/word/footer162.xml" ContentType="application/vnd.openxmlformats-officedocument.wordprocessingml.footer+xml"/>
  <Override PartName="/word/header163.xml" ContentType="application/vnd.openxmlformats-officedocument.wordprocessingml.header+xml"/>
  <Override PartName="/word/header164.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header165.xml" ContentType="application/vnd.openxmlformats-officedocument.wordprocessingml.header+xml"/>
  <Override PartName="/word/footer165.xml" ContentType="application/vnd.openxmlformats-officedocument.wordprocessingml.footer+xml"/>
  <Override PartName="/word/header166.xml" ContentType="application/vnd.openxmlformats-officedocument.wordprocessingml.header+xml"/>
  <Override PartName="/word/header167.xml" ContentType="application/vnd.openxmlformats-officedocument.wordprocessingml.header+xml"/>
  <Override PartName="/word/footer166.xml" ContentType="application/vnd.openxmlformats-officedocument.wordprocessingml.footer+xml"/>
  <Override PartName="/word/footer167.xml" ContentType="application/vnd.openxmlformats-officedocument.wordprocessingml.footer+xml"/>
  <Override PartName="/word/header168.xml" ContentType="application/vnd.openxmlformats-officedocument.wordprocessingml.header+xml"/>
  <Override PartName="/word/footer16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6AD22DF" w14:textId="77777777" w:rsidR="00FB1300" w:rsidRDefault="00FB1300" w:rsidP="00FB1300">
      <w:pPr>
        <w:pStyle w:val="Institution"/>
        <w:rPr>
          <w:lang w:val="de-DE"/>
        </w:rPr>
      </w:pPr>
      <w:bookmarkStart w:id="0" w:name="Institution"/>
      <w:bookmarkStart w:id="1" w:name="GUID1B9761F3ECE84C61A6736F615A999345"/>
      <w:bookmarkStart w:id="2" w:name="_GoBack"/>
      <w:bookmarkEnd w:id="2"/>
      <w:r>
        <w:rPr>
          <w:lang w:val="de-DE"/>
        </w:rPr>
        <w:t>European Commission</w:t>
      </w:r>
      <w:bookmarkEnd w:id="0"/>
    </w:p>
    <w:p w14:paraId="7B1F98B4" w14:textId="77777777" w:rsidR="00FB1300" w:rsidRDefault="00FB1300" w:rsidP="00FB1300">
      <w:pPr>
        <w:pStyle w:val="InstitutionSubtitle"/>
        <w:rPr>
          <w:lang w:val="de-DE"/>
        </w:rPr>
      </w:pPr>
      <w:bookmarkStart w:id="3" w:name="InstitutionSubtitle"/>
      <w:r>
        <w:rPr>
          <w:lang w:val="de-DE"/>
        </w:rPr>
        <w:t>Directorate-General for Economic and Financial Affairs</w:t>
      </w:r>
      <w:bookmarkEnd w:id="3"/>
    </w:p>
    <w:p w14:paraId="06322D7A" w14:textId="77777777" w:rsidR="00FB1300" w:rsidRPr="009B60DF" w:rsidRDefault="00FB1300" w:rsidP="00FB1300">
      <w:pPr>
        <w:pStyle w:val="PublicationSupertitle"/>
      </w:pPr>
      <w:bookmarkStart w:id="4" w:name="PublicationSupertitle"/>
      <w:bookmarkEnd w:id="4"/>
    </w:p>
    <w:p w14:paraId="4E074D01" w14:textId="77777777" w:rsidR="00FB1300" w:rsidRDefault="00FB1300" w:rsidP="00FB1300">
      <w:pPr>
        <w:pStyle w:val="PublicationTitle"/>
        <w:rPr>
          <w:lang w:val="de-DE"/>
        </w:rPr>
      </w:pPr>
      <w:bookmarkStart w:id="5" w:name="PublicationTitle"/>
      <w:r>
        <w:rPr>
          <w:lang w:val="de-DE"/>
        </w:rPr>
        <w:t>The 2018 Ageing Report: Economic and Budgetary Projections for the EU Member States (2016-2070)</w:t>
      </w:r>
      <w:bookmarkEnd w:id="5"/>
    </w:p>
    <w:p w14:paraId="0921F53C" w14:textId="77777777" w:rsidR="00FB1300" w:rsidRPr="00A80136" w:rsidRDefault="00FB1300" w:rsidP="00FB1300">
      <w:pPr>
        <w:pStyle w:val="PublicationSubtitle"/>
        <w:rPr>
          <w:lang w:val="de-DE"/>
        </w:rPr>
      </w:pPr>
      <w:bookmarkStart w:id="6" w:name="PublicationSubtitle"/>
      <w:bookmarkEnd w:id="6"/>
    </w:p>
    <w:p w14:paraId="76C9B86A" w14:textId="77777777" w:rsidR="00FB1300" w:rsidRDefault="00FB1300" w:rsidP="00FB1300">
      <w:pPr>
        <w:pStyle w:val="Series"/>
        <w:rPr>
          <w:lang w:val="de-DE"/>
        </w:rPr>
      </w:pPr>
      <w:bookmarkStart w:id="7" w:name="SeriesName"/>
      <w:r>
        <w:rPr>
          <w:lang w:val="de-DE"/>
        </w:rPr>
        <w:t>EUROPEAN ECONOMY</w:t>
      </w:r>
      <w:bookmarkEnd w:id="7"/>
      <w:r>
        <w:rPr>
          <w:lang w:val="de-DE"/>
        </w:rPr>
        <w:tab/>
      </w:r>
      <w:bookmarkStart w:id="8" w:name="SeriesNumber"/>
      <w:r>
        <w:rPr>
          <w:lang w:val="de-DE"/>
        </w:rPr>
        <w:t>2018</w:t>
      </w:r>
      <w:bookmarkEnd w:id="8"/>
    </w:p>
    <w:bookmarkEnd w:id="1"/>
    <w:p w14:paraId="33B4AE7F" w14:textId="77777777" w:rsidR="00FB1300" w:rsidRDefault="00FB1300" w:rsidP="00FB1300">
      <w:pPr>
        <w:rPr>
          <w:lang w:val="de-DE"/>
        </w:rPr>
        <w:sectPr w:rsidR="00FB1300" w:rsidSect="00FB1300">
          <w:endnotePr>
            <w:numFmt w:val="decimal"/>
          </w:endnotePr>
          <w:type w:val="oddPage"/>
          <w:pgSz w:w="11907" w:h="16839"/>
          <w:pgMar w:top="2693" w:right="1701" w:bottom="1417" w:left="1701" w:header="709" w:footer="1191" w:gutter="0"/>
          <w:pgNumType w:fmt="lowerRoman" w:start="1"/>
          <w:cols w:space="708"/>
          <w:titlePg/>
          <w:docGrid w:linePitch="360"/>
        </w:sectPr>
      </w:pPr>
    </w:p>
    <w:p w14:paraId="35971EDF" w14:textId="77777777" w:rsidR="00FB1300" w:rsidRPr="0025266B" w:rsidRDefault="00FB1300" w:rsidP="00460C69">
      <w:bookmarkStart w:id="9" w:name="GUID479D30FB0011463C8FFEE6A8D99EA42D"/>
      <w:r w:rsidRPr="0025266B">
        <w:lastRenderedPageBreak/>
        <w:t xml:space="preserve">This report was been prepared as part of the mandate the Economic and Financial Affairs (ECOFIN) Council gave to the Economic Policy Committee (EPC) in 2015 to update and further deepen its common exercise of age-related expenditure projections, on the basis of a new population projection by Eurostat.  </w:t>
      </w:r>
    </w:p>
    <w:p w14:paraId="01881799" w14:textId="77777777" w:rsidR="00FB1300" w:rsidRPr="0025266B" w:rsidRDefault="00FB1300" w:rsidP="00460C69">
      <w:r w:rsidRPr="0025266B">
        <w:t xml:space="preserve">This is the sixth report with long-term projections of the budgetary impact of the ageing population in the EU Member States and Norway, covering the period 2016–2070. In response to the mandate, the EPC mandated a working group, the Ageing Working Group (AWG) under the chairmanship of Godwin Mifsud, to take forward the work needed to discharge this remit. </w:t>
      </w:r>
    </w:p>
    <w:p w14:paraId="5CFE001A" w14:textId="77777777" w:rsidR="00FB1300" w:rsidRPr="0025266B" w:rsidRDefault="00FB1300" w:rsidP="00460C69">
      <w:r w:rsidRPr="0025266B">
        <w:t xml:space="preserve">This report is presented by the EPC and the European Commission services (Directorate General for Economic and Financial Affairs - DG ECFIN) after full discussion on the basis of the AWG’s comprehensive work. The Directorate-General for Economic and Financial Affairs provided the necessary analysis and calculations used in the report. The demographic projections were carried out by Eurostat. </w:t>
      </w:r>
    </w:p>
    <w:p w14:paraId="1756D624" w14:textId="77777777" w:rsidR="00FB1300" w:rsidRPr="0025266B" w:rsidRDefault="00FB1300" w:rsidP="00E7609F">
      <w:r w:rsidRPr="0025266B">
        <w:t>The report was prepared under the supervision of Lucio Pench (Director in DG ECFIN), Wolfgang Merz (Chairman of the EPC), Godwin Mifsud (Chairman of the AWG), Giuseppe Carone (Head of Unit in DG ECFIN). The main contributors were Pedro Arevalo, Santiago Calvo Ramos, Ben Deboeck, Per Eckefeldt, Nicola Gagliardi, Boriana Goranova, Benedetta Martinelli, Anda Patarau, Adriana Reut, Chris Uregian and the members of the AWG (see list of Members below). The EPC and the Economic and Financial Affairs DG would like to thank all those concerned.</w:t>
      </w:r>
    </w:p>
    <w:p w14:paraId="7961E935" w14:textId="77777777" w:rsidR="00FB1300" w:rsidRPr="0025266B" w:rsidRDefault="00FB1300" w:rsidP="00460C69">
      <w:r w:rsidRPr="0025266B">
        <w:t>Comments on the report would be gratefully received at the following addresses:</w:t>
      </w:r>
    </w:p>
    <w:p w14:paraId="3C3C970E" w14:textId="77777777" w:rsidR="00FB1300" w:rsidRPr="0025266B" w:rsidRDefault="00FB1300" w:rsidP="00460C69">
      <w:pPr>
        <w:rPr>
          <w:b/>
        </w:rPr>
      </w:pPr>
      <w:r w:rsidRPr="0025266B">
        <w:rPr>
          <w:b/>
        </w:rPr>
        <w:t>DG ECFIN - Unit C2</w:t>
      </w:r>
    </w:p>
    <w:p w14:paraId="7B7BD736" w14:textId="77777777" w:rsidR="00FB1300" w:rsidRPr="0025266B" w:rsidRDefault="00FB1300" w:rsidP="00460C69">
      <w:pPr>
        <w:pStyle w:val="NormalCompact"/>
      </w:pPr>
      <w:r w:rsidRPr="0025266B">
        <w:t>Directorate-General for Economic and Financial Affairs</w:t>
      </w:r>
    </w:p>
    <w:p w14:paraId="58FC3EBB" w14:textId="77777777" w:rsidR="00FB1300" w:rsidRPr="0025266B" w:rsidRDefault="00FB1300" w:rsidP="00460C69">
      <w:pPr>
        <w:pStyle w:val="NormalCompact"/>
      </w:pPr>
      <w:r w:rsidRPr="0025266B">
        <w:t>European Commission</w:t>
      </w:r>
    </w:p>
    <w:p w14:paraId="5FFF7F8C" w14:textId="77777777" w:rsidR="00FB1300" w:rsidRPr="0025266B" w:rsidRDefault="00FB1300" w:rsidP="00460C69">
      <w:pPr>
        <w:pStyle w:val="NormalCompact"/>
      </w:pPr>
      <w:r w:rsidRPr="0025266B">
        <w:t xml:space="preserve">Giuseppe Carone </w:t>
      </w:r>
    </w:p>
    <w:p w14:paraId="67CD021C" w14:textId="77777777" w:rsidR="00FB1300" w:rsidRPr="0025266B" w:rsidRDefault="00FB1300" w:rsidP="00460C69">
      <w:pPr>
        <w:pStyle w:val="NormalCompact"/>
      </w:pPr>
      <w:r w:rsidRPr="0025266B">
        <w:t>Rue de la Loi 200</w:t>
      </w:r>
    </w:p>
    <w:p w14:paraId="3ED6EDB9" w14:textId="77777777" w:rsidR="00FB1300" w:rsidRPr="0025266B" w:rsidRDefault="00FB1300" w:rsidP="00460C69">
      <w:pPr>
        <w:pStyle w:val="NormalCompact"/>
      </w:pPr>
      <w:r w:rsidRPr="0025266B">
        <w:t>B-1049 Brussels</w:t>
      </w:r>
    </w:p>
    <w:p w14:paraId="566AAE38" w14:textId="77777777" w:rsidR="00FB1300" w:rsidRPr="0025266B" w:rsidRDefault="00FB1300" w:rsidP="00460C69">
      <w:pPr>
        <w:pStyle w:val="NormalCompact"/>
        <w:rPr>
          <w:u w:val="single"/>
        </w:rPr>
      </w:pPr>
      <w:r w:rsidRPr="0025266B">
        <w:t xml:space="preserve">E-mail: </w:t>
      </w:r>
      <w:hyperlink r:id="rId8" w:history="1">
        <w:r w:rsidRPr="0025266B">
          <w:rPr>
            <w:rStyle w:val="Hiperveza"/>
          </w:rPr>
          <w:t>Giuseppe.carone@ec.europa.eu</w:t>
        </w:r>
      </w:hyperlink>
      <w:r w:rsidRPr="0025266B">
        <w:rPr>
          <w:u w:val="single"/>
        </w:rPr>
        <w:t xml:space="preserve"> </w:t>
      </w:r>
    </w:p>
    <w:p w14:paraId="55AA7648" w14:textId="77777777" w:rsidR="00FB1300" w:rsidRPr="0025266B" w:rsidRDefault="00FB1300" w:rsidP="00460C69">
      <w:pPr>
        <w:rPr>
          <w:u w:val="single"/>
        </w:rPr>
      </w:pPr>
    </w:p>
    <w:p w14:paraId="07887D21" w14:textId="77777777" w:rsidR="00FB1300" w:rsidRPr="0025266B" w:rsidRDefault="00FB1300" w:rsidP="00460C69">
      <w:pPr>
        <w:rPr>
          <w:b/>
        </w:rPr>
      </w:pPr>
      <w:r w:rsidRPr="0025266B">
        <w:rPr>
          <w:b/>
        </w:rPr>
        <w:t>Secretariat of the Economic Policy Committee</w:t>
      </w:r>
    </w:p>
    <w:p w14:paraId="1A350DB8" w14:textId="77777777" w:rsidR="00FB1300" w:rsidRPr="0025266B" w:rsidRDefault="00FB1300" w:rsidP="00460C69">
      <w:pPr>
        <w:pStyle w:val="NormalCompact"/>
      </w:pPr>
      <w:r w:rsidRPr="0025266B">
        <w:t>EPC secretariat</w:t>
      </w:r>
    </w:p>
    <w:p w14:paraId="005BFE33" w14:textId="77777777" w:rsidR="00FB1300" w:rsidRPr="0025266B" w:rsidRDefault="00FB1300" w:rsidP="00460C69">
      <w:pPr>
        <w:pStyle w:val="NormalCompact"/>
      </w:pPr>
      <w:r w:rsidRPr="0025266B">
        <w:t>Rue de la Loi 200</w:t>
      </w:r>
    </w:p>
    <w:p w14:paraId="6433A066" w14:textId="77777777" w:rsidR="00FB1300" w:rsidRPr="0025266B" w:rsidRDefault="00FB1300" w:rsidP="00460C69">
      <w:pPr>
        <w:pStyle w:val="NormalCompact"/>
      </w:pPr>
      <w:r w:rsidRPr="0025266B">
        <w:t>B-1049 Brussels</w:t>
      </w:r>
    </w:p>
    <w:p w14:paraId="2B9D59E6" w14:textId="77777777" w:rsidR="00FB1300" w:rsidRPr="0025266B" w:rsidRDefault="00FB1300" w:rsidP="00460C69">
      <w:pPr>
        <w:pStyle w:val="NormalCompact"/>
        <w:rPr>
          <w:u w:val="single"/>
        </w:rPr>
      </w:pPr>
      <w:r w:rsidRPr="0025266B">
        <w:t xml:space="preserve">E-mail: </w:t>
      </w:r>
      <w:hyperlink r:id="rId9" w:history="1">
        <w:r w:rsidRPr="0025266B">
          <w:rPr>
            <w:rStyle w:val="Hiperveza"/>
          </w:rPr>
          <w:t>EPC-Secretariat@ec.europa.eu</w:t>
        </w:r>
      </w:hyperlink>
    </w:p>
    <w:p w14:paraId="4E8EA38C" w14:textId="77777777" w:rsidR="00FB1300" w:rsidRPr="0025266B" w:rsidRDefault="00FB1300" w:rsidP="00460C69">
      <w:pPr>
        <w:rPr>
          <w:b/>
        </w:rPr>
      </w:pPr>
      <w:r w:rsidRPr="0025266B">
        <w:rPr>
          <w:b/>
        </w:rPr>
        <w:br w:type="page"/>
      </w:r>
      <w:r w:rsidRPr="0025266B">
        <w:rPr>
          <w:b/>
        </w:rPr>
        <w:lastRenderedPageBreak/>
        <w:t xml:space="preserve">MEMBERS OF THE AGEING WORKING GROUP </w:t>
      </w:r>
    </w:p>
    <w:p w14:paraId="51250747" w14:textId="77777777" w:rsidR="00FB1300" w:rsidRPr="0025266B" w:rsidRDefault="00FB1300" w:rsidP="00460C69">
      <w:pPr>
        <w:rPr>
          <w:b/>
          <w:i/>
        </w:rPr>
      </w:pPr>
      <w:r w:rsidRPr="0025266B">
        <w:rPr>
          <w:b/>
          <w:i/>
        </w:rPr>
        <w:t>CHAIRMAN</w:t>
      </w:r>
    </w:p>
    <w:p w14:paraId="14950B55" w14:textId="77777777" w:rsidR="00FB1300" w:rsidRPr="0025266B" w:rsidRDefault="00FB1300" w:rsidP="00460C69">
      <w:r w:rsidRPr="0025266B">
        <w:t xml:space="preserve">Mr. Godwin </w:t>
      </w:r>
      <w:r w:rsidRPr="0025266B">
        <w:rPr>
          <w:b/>
        </w:rPr>
        <w:t>MIFSUD</w:t>
      </w:r>
      <w:r w:rsidRPr="0025266B">
        <w:rPr>
          <w:b/>
        </w:rPr>
        <w:tab/>
      </w:r>
      <w:r w:rsidRPr="0025266B">
        <w:tab/>
      </w:r>
      <w:r w:rsidRPr="0025266B">
        <w:tab/>
        <w:t>Ministry of Finance, Malta</w:t>
      </w:r>
    </w:p>
    <w:p w14:paraId="34E07BDE" w14:textId="77777777" w:rsidR="00FB1300" w:rsidRPr="0025266B" w:rsidRDefault="00FB1300" w:rsidP="00460C69">
      <w:pPr>
        <w:rPr>
          <w:b/>
          <w:i/>
        </w:rPr>
      </w:pPr>
      <w:r w:rsidRPr="0025266B">
        <w:rPr>
          <w:b/>
          <w:i/>
        </w:rPr>
        <w:t>BELGIQUE-BELGÏE</w:t>
      </w:r>
    </w:p>
    <w:p w14:paraId="22FCD223" w14:textId="77777777" w:rsidR="00FB1300" w:rsidRPr="0025266B" w:rsidRDefault="00FB1300" w:rsidP="00460C69">
      <w:r w:rsidRPr="0025266B">
        <w:t xml:space="preserve">Ms. Nicole </w:t>
      </w:r>
      <w:r w:rsidRPr="0025266B">
        <w:rPr>
          <w:b/>
        </w:rPr>
        <w:t>FASQUELLE</w:t>
      </w:r>
      <w:r w:rsidRPr="0025266B">
        <w:t xml:space="preserve"> </w:t>
      </w:r>
      <w:r w:rsidRPr="0025266B">
        <w:tab/>
      </w:r>
      <w:r w:rsidRPr="0025266B">
        <w:tab/>
        <w:t>Bureau fédéral du Plan - Federaal Planbureau</w:t>
      </w:r>
    </w:p>
    <w:p w14:paraId="58163E10" w14:textId="77777777" w:rsidR="00FB1300" w:rsidRPr="0025266B" w:rsidRDefault="00FB1300" w:rsidP="00460C69">
      <w:r w:rsidRPr="0025266B">
        <w:t xml:space="preserve">Dr. Peter </w:t>
      </w:r>
      <w:r w:rsidRPr="0025266B">
        <w:rPr>
          <w:b/>
        </w:rPr>
        <w:t>WILLEME</w:t>
      </w:r>
      <w:r w:rsidRPr="0025266B">
        <w:tab/>
      </w:r>
      <w:r w:rsidRPr="0025266B">
        <w:tab/>
      </w:r>
      <w:r w:rsidRPr="0025266B">
        <w:tab/>
        <w:t>Bureau fédéral du Plan - Federaal Planbureau</w:t>
      </w:r>
    </w:p>
    <w:p w14:paraId="6857D23D" w14:textId="77777777" w:rsidR="00FB1300" w:rsidRPr="0025266B" w:rsidRDefault="00FB1300" w:rsidP="00460C69">
      <w:pPr>
        <w:rPr>
          <w:b/>
          <w:i/>
        </w:rPr>
      </w:pPr>
      <w:r w:rsidRPr="0025266B">
        <w:rPr>
          <w:b/>
          <w:i/>
        </w:rPr>
        <w:t>BULGARIA</w:t>
      </w:r>
    </w:p>
    <w:p w14:paraId="0C29539E" w14:textId="77777777" w:rsidR="00FB1300" w:rsidRPr="0025266B" w:rsidRDefault="00FB1300" w:rsidP="00460C69">
      <w:r w:rsidRPr="0025266B">
        <w:t xml:space="preserve">Ms. Rositsa </w:t>
      </w:r>
      <w:r w:rsidRPr="0025266B">
        <w:rPr>
          <w:b/>
        </w:rPr>
        <w:t>TRANKOVA</w:t>
      </w:r>
      <w:r w:rsidRPr="0025266B">
        <w:rPr>
          <w:b/>
        </w:rPr>
        <w:tab/>
      </w:r>
      <w:r w:rsidRPr="0025266B">
        <w:tab/>
        <w:t>Ministry of Finance</w:t>
      </w:r>
    </w:p>
    <w:p w14:paraId="287985A1" w14:textId="77777777" w:rsidR="00FB1300" w:rsidRPr="0025266B" w:rsidRDefault="00FB1300" w:rsidP="00460C69">
      <w:r w:rsidRPr="0025266B">
        <w:t xml:space="preserve">Ms. Penka </w:t>
      </w:r>
      <w:r w:rsidRPr="0025266B">
        <w:rPr>
          <w:b/>
        </w:rPr>
        <w:t>TANEVA</w:t>
      </w:r>
      <w:r w:rsidRPr="0025266B">
        <w:rPr>
          <w:b/>
        </w:rPr>
        <w:tab/>
      </w:r>
      <w:r w:rsidRPr="0025266B">
        <w:tab/>
      </w:r>
      <w:r w:rsidRPr="0025266B">
        <w:tab/>
        <w:t>National Social Security Institute</w:t>
      </w:r>
    </w:p>
    <w:p w14:paraId="590831ED" w14:textId="77777777" w:rsidR="00FB1300" w:rsidRPr="0025266B" w:rsidRDefault="00FB1300" w:rsidP="00460C69">
      <w:pPr>
        <w:rPr>
          <w:b/>
          <w:i/>
        </w:rPr>
      </w:pPr>
      <w:r w:rsidRPr="0025266B">
        <w:rPr>
          <w:b/>
          <w:i/>
        </w:rPr>
        <w:t>CZECH REPUBLIC</w:t>
      </w:r>
    </w:p>
    <w:p w14:paraId="2A703308" w14:textId="77777777" w:rsidR="00FB1300" w:rsidRPr="0025266B" w:rsidRDefault="00FB1300" w:rsidP="00460C69">
      <w:r w:rsidRPr="0025266B">
        <w:t xml:space="preserve">Mr. Zbynek </w:t>
      </w:r>
      <w:r w:rsidRPr="0025266B">
        <w:rPr>
          <w:b/>
        </w:rPr>
        <w:t>STORK</w:t>
      </w:r>
      <w:r w:rsidRPr="0025266B">
        <w:rPr>
          <w:b/>
        </w:rPr>
        <w:tab/>
      </w:r>
      <w:r w:rsidRPr="0025266B">
        <w:rPr>
          <w:b/>
        </w:rPr>
        <w:tab/>
      </w:r>
      <w:r w:rsidRPr="0025266B">
        <w:tab/>
        <w:t>Ministry of Finance</w:t>
      </w:r>
    </w:p>
    <w:p w14:paraId="2D627CE5" w14:textId="77777777" w:rsidR="00FB1300" w:rsidRPr="0025266B" w:rsidRDefault="00FB1300" w:rsidP="00460C69">
      <w:r w:rsidRPr="0025266B">
        <w:t xml:space="preserve">Mr. Jindrich </w:t>
      </w:r>
      <w:r w:rsidRPr="0025266B">
        <w:rPr>
          <w:b/>
        </w:rPr>
        <w:t>MARVAL</w:t>
      </w:r>
      <w:r w:rsidRPr="0025266B">
        <w:rPr>
          <w:b/>
        </w:rPr>
        <w:tab/>
      </w:r>
      <w:r w:rsidRPr="0025266B">
        <w:rPr>
          <w:b/>
        </w:rPr>
        <w:tab/>
      </w:r>
      <w:r w:rsidRPr="0025266B">
        <w:tab/>
        <w:t>Ministry of Finance</w:t>
      </w:r>
    </w:p>
    <w:p w14:paraId="365E1F81" w14:textId="77777777" w:rsidR="00FB1300" w:rsidRPr="0025266B" w:rsidRDefault="00FB1300" w:rsidP="00460C69">
      <w:pPr>
        <w:rPr>
          <w:b/>
          <w:i/>
        </w:rPr>
      </w:pPr>
      <w:r w:rsidRPr="0025266B">
        <w:rPr>
          <w:b/>
          <w:i/>
        </w:rPr>
        <w:t>DANMARK</w:t>
      </w:r>
    </w:p>
    <w:p w14:paraId="53EB682F" w14:textId="77777777" w:rsidR="00FB1300" w:rsidRPr="0025266B" w:rsidRDefault="00FB1300" w:rsidP="00460C69">
      <w:r w:rsidRPr="0025266B">
        <w:t xml:space="preserve">Mr. Soren </w:t>
      </w:r>
      <w:r w:rsidRPr="0025266B">
        <w:rPr>
          <w:b/>
        </w:rPr>
        <w:t>ARNBERG</w:t>
      </w:r>
      <w:r w:rsidRPr="0025266B">
        <w:rPr>
          <w:b/>
        </w:rPr>
        <w:tab/>
      </w:r>
      <w:r w:rsidRPr="0025266B">
        <w:rPr>
          <w:b/>
        </w:rPr>
        <w:tab/>
      </w:r>
      <w:r w:rsidRPr="0025266B">
        <w:rPr>
          <w:b/>
        </w:rPr>
        <w:tab/>
      </w:r>
      <w:r w:rsidRPr="0025266B">
        <w:t>Ministry of Finance</w:t>
      </w:r>
    </w:p>
    <w:p w14:paraId="0908C87E" w14:textId="77777777" w:rsidR="00FB1300" w:rsidRPr="0025266B" w:rsidRDefault="00FB1300" w:rsidP="00460C69">
      <w:r w:rsidRPr="0025266B">
        <w:t xml:space="preserve">Mr. Morten </w:t>
      </w:r>
      <w:r w:rsidRPr="0025266B">
        <w:rPr>
          <w:b/>
        </w:rPr>
        <w:t>YDE PETERSEN</w:t>
      </w:r>
      <w:r w:rsidRPr="0025266B">
        <w:tab/>
      </w:r>
      <w:r w:rsidRPr="0025266B">
        <w:tab/>
        <w:t>Ministry of Finance</w:t>
      </w:r>
    </w:p>
    <w:p w14:paraId="31002F17" w14:textId="77777777" w:rsidR="00FB1300" w:rsidRPr="0025266B" w:rsidRDefault="00FB1300" w:rsidP="00460C69">
      <w:pPr>
        <w:rPr>
          <w:b/>
          <w:i/>
        </w:rPr>
      </w:pPr>
      <w:r w:rsidRPr="0025266B">
        <w:rPr>
          <w:b/>
          <w:i/>
        </w:rPr>
        <w:t>BUNDESREPUBLIK DEUTSCHLAND</w:t>
      </w:r>
    </w:p>
    <w:p w14:paraId="6F1B4A5D" w14:textId="77777777" w:rsidR="00FB1300" w:rsidRPr="0025266B" w:rsidRDefault="00FB1300" w:rsidP="00460C69">
      <w:r w:rsidRPr="0025266B">
        <w:t xml:space="preserve">Mr. Werner </w:t>
      </w:r>
      <w:r w:rsidRPr="0025266B">
        <w:rPr>
          <w:b/>
        </w:rPr>
        <w:t>EBERT</w:t>
      </w:r>
      <w:r w:rsidRPr="0025266B">
        <w:rPr>
          <w:b/>
        </w:rPr>
        <w:tab/>
      </w:r>
      <w:r w:rsidRPr="0025266B">
        <w:tab/>
      </w:r>
      <w:r w:rsidRPr="0025266B">
        <w:tab/>
        <w:t>Federal Ministry of Finance</w:t>
      </w:r>
    </w:p>
    <w:p w14:paraId="0500B6CB" w14:textId="77777777" w:rsidR="00FB1300" w:rsidRPr="0025266B" w:rsidRDefault="00FB1300" w:rsidP="00460C69">
      <w:r w:rsidRPr="0025266B">
        <w:t xml:space="preserve">Mr. François </w:t>
      </w:r>
      <w:r w:rsidRPr="0025266B">
        <w:rPr>
          <w:b/>
        </w:rPr>
        <w:t>PEGLOW</w:t>
      </w:r>
      <w:r w:rsidRPr="0025266B">
        <w:rPr>
          <w:b/>
        </w:rPr>
        <w:tab/>
      </w:r>
      <w:r w:rsidRPr="0025266B">
        <w:rPr>
          <w:b/>
        </w:rPr>
        <w:tab/>
      </w:r>
      <w:r w:rsidRPr="0025266B">
        <w:rPr>
          <w:b/>
        </w:rPr>
        <w:tab/>
      </w:r>
      <w:r w:rsidRPr="0025266B">
        <w:t>Federal Ministry of Labour and Social Affairs</w:t>
      </w:r>
    </w:p>
    <w:p w14:paraId="07713788" w14:textId="77777777" w:rsidR="00FB1300" w:rsidRPr="0025266B" w:rsidRDefault="00FB1300" w:rsidP="00460C69">
      <w:pPr>
        <w:rPr>
          <w:b/>
          <w:i/>
        </w:rPr>
      </w:pPr>
      <w:r w:rsidRPr="0025266B">
        <w:rPr>
          <w:b/>
          <w:i/>
        </w:rPr>
        <w:t>ESTONIA</w:t>
      </w:r>
    </w:p>
    <w:p w14:paraId="1D6C0F36" w14:textId="77777777" w:rsidR="00FB1300" w:rsidRPr="0025266B" w:rsidRDefault="00FB1300" w:rsidP="00460C69">
      <w:r w:rsidRPr="0025266B">
        <w:t xml:space="preserve">Mr. Risto </w:t>
      </w:r>
      <w:r w:rsidRPr="0025266B">
        <w:rPr>
          <w:b/>
        </w:rPr>
        <w:t>KAARNA</w:t>
      </w:r>
      <w:r w:rsidRPr="0025266B">
        <w:rPr>
          <w:b/>
        </w:rPr>
        <w:tab/>
      </w:r>
      <w:r w:rsidRPr="0025266B">
        <w:rPr>
          <w:b/>
        </w:rPr>
        <w:tab/>
      </w:r>
      <w:r w:rsidRPr="0025266B">
        <w:tab/>
        <w:t>Ministry of Finance</w:t>
      </w:r>
    </w:p>
    <w:p w14:paraId="559043F0" w14:textId="77777777" w:rsidR="00FB1300" w:rsidRPr="0025266B" w:rsidRDefault="00FB1300" w:rsidP="00460C69">
      <w:r w:rsidRPr="0025266B">
        <w:t xml:space="preserve">Ms. Tonu </w:t>
      </w:r>
      <w:r w:rsidRPr="0025266B">
        <w:rPr>
          <w:b/>
        </w:rPr>
        <w:t>LILLELAID</w:t>
      </w:r>
      <w:r w:rsidRPr="0025266B">
        <w:rPr>
          <w:b/>
        </w:rPr>
        <w:tab/>
      </w:r>
      <w:r w:rsidRPr="0025266B">
        <w:rPr>
          <w:b/>
        </w:rPr>
        <w:tab/>
      </w:r>
      <w:r w:rsidRPr="0025266B">
        <w:rPr>
          <w:b/>
        </w:rPr>
        <w:tab/>
      </w:r>
      <w:r w:rsidRPr="0025266B">
        <w:t>Ministry of Finance</w:t>
      </w:r>
    </w:p>
    <w:p w14:paraId="1A8B264E" w14:textId="77777777" w:rsidR="00FB1300" w:rsidRPr="0025266B" w:rsidRDefault="00FB1300" w:rsidP="00460C69">
      <w:pPr>
        <w:rPr>
          <w:b/>
          <w:i/>
        </w:rPr>
      </w:pPr>
      <w:r w:rsidRPr="0025266B">
        <w:rPr>
          <w:b/>
          <w:i/>
        </w:rPr>
        <w:t>ELLAS</w:t>
      </w:r>
    </w:p>
    <w:p w14:paraId="67494930" w14:textId="77777777" w:rsidR="00FB1300" w:rsidRPr="0025266B" w:rsidRDefault="00FB1300" w:rsidP="00460C69">
      <w:r w:rsidRPr="0025266B">
        <w:t xml:space="preserve">Ms. Angeliki </w:t>
      </w:r>
      <w:r w:rsidRPr="0025266B">
        <w:rPr>
          <w:b/>
        </w:rPr>
        <w:t>ZOULAKI</w:t>
      </w:r>
      <w:r w:rsidRPr="0025266B">
        <w:tab/>
      </w:r>
      <w:r w:rsidRPr="0025266B">
        <w:tab/>
      </w:r>
      <w:r w:rsidRPr="0025266B">
        <w:tab/>
        <w:t>National Actuarial Authority</w:t>
      </w:r>
      <w:r w:rsidRPr="0025266B" w:rsidDel="0044530E">
        <w:t xml:space="preserve"> </w:t>
      </w:r>
    </w:p>
    <w:p w14:paraId="0189A1E4" w14:textId="77777777" w:rsidR="00FB1300" w:rsidRPr="0025266B" w:rsidRDefault="00FB1300" w:rsidP="00460C69">
      <w:r w:rsidRPr="0025266B">
        <w:t xml:space="preserve">Ms. Eirini </w:t>
      </w:r>
      <w:r w:rsidRPr="0025266B">
        <w:rPr>
          <w:b/>
        </w:rPr>
        <w:t>ANDRIOPOULOU</w:t>
      </w:r>
      <w:r w:rsidRPr="0025266B">
        <w:tab/>
      </w:r>
      <w:r w:rsidRPr="0025266B">
        <w:tab/>
        <w:t>Ministry of Finance</w:t>
      </w:r>
    </w:p>
    <w:p w14:paraId="18144713" w14:textId="77777777" w:rsidR="00FB1300" w:rsidRPr="0025266B" w:rsidRDefault="00FB1300" w:rsidP="00460C69">
      <w:pPr>
        <w:rPr>
          <w:b/>
          <w:i/>
        </w:rPr>
      </w:pPr>
      <w:r w:rsidRPr="0025266B">
        <w:rPr>
          <w:b/>
          <w:i/>
        </w:rPr>
        <w:t>ESPAÑA</w:t>
      </w:r>
    </w:p>
    <w:p w14:paraId="5CF773ED" w14:textId="77777777" w:rsidR="00FB1300" w:rsidRPr="0025266B" w:rsidRDefault="00FB1300" w:rsidP="00460C69">
      <w:r w:rsidRPr="0025266B">
        <w:t xml:space="preserve">Ms. Carolina </w:t>
      </w:r>
      <w:r w:rsidRPr="0025266B">
        <w:rPr>
          <w:b/>
        </w:rPr>
        <w:t>MATEOS</w:t>
      </w:r>
      <w:r w:rsidRPr="0025266B">
        <w:rPr>
          <w:b/>
        </w:rPr>
        <w:tab/>
      </w:r>
      <w:r w:rsidRPr="0025266B">
        <w:rPr>
          <w:b/>
        </w:rPr>
        <w:tab/>
      </w:r>
      <w:r w:rsidRPr="0025266B">
        <w:tab/>
        <w:t>Ministry of Economy, Industry and Competitiveness</w:t>
      </w:r>
    </w:p>
    <w:p w14:paraId="1C273024" w14:textId="77777777" w:rsidR="00FB1300" w:rsidRPr="0025266B" w:rsidRDefault="00FB1300" w:rsidP="00460C69">
      <w:r w:rsidRPr="0025266B">
        <w:t>Ms. Itziar A</w:t>
      </w:r>
      <w:r w:rsidRPr="0025266B">
        <w:rPr>
          <w:b/>
        </w:rPr>
        <w:t>LBERDI</w:t>
      </w:r>
      <w:r w:rsidRPr="0025266B">
        <w:rPr>
          <w:b/>
        </w:rPr>
        <w:tab/>
      </w:r>
      <w:r w:rsidRPr="0025266B">
        <w:tab/>
      </w:r>
      <w:r w:rsidRPr="0025266B">
        <w:tab/>
        <w:t>Ministry of Finance and Civil Service</w:t>
      </w:r>
    </w:p>
    <w:p w14:paraId="266E9991" w14:textId="77777777" w:rsidR="00FB1300" w:rsidRPr="0025266B" w:rsidRDefault="00FB1300" w:rsidP="00460C69">
      <w:pPr>
        <w:rPr>
          <w:b/>
          <w:i/>
        </w:rPr>
      </w:pPr>
      <w:r w:rsidRPr="0025266B">
        <w:rPr>
          <w:b/>
          <w:i/>
        </w:rPr>
        <w:lastRenderedPageBreak/>
        <w:t>FRANCE</w:t>
      </w:r>
    </w:p>
    <w:p w14:paraId="7C0603E6" w14:textId="77777777" w:rsidR="00FB1300" w:rsidRPr="0025266B" w:rsidRDefault="00FB1300" w:rsidP="00460C69">
      <w:r w:rsidRPr="0025266B">
        <w:t xml:space="preserve">Mr. Thomas </w:t>
      </w:r>
      <w:r w:rsidRPr="0025266B">
        <w:rPr>
          <w:b/>
        </w:rPr>
        <w:t>LAURENT</w:t>
      </w:r>
      <w:r w:rsidRPr="0025266B">
        <w:rPr>
          <w:b/>
        </w:rPr>
        <w:tab/>
      </w:r>
      <w:r w:rsidRPr="0025266B">
        <w:tab/>
      </w:r>
      <w:r w:rsidRPr="0025266B">
        <w:tab/>
        <w:t>Ministère de l'économie, des finances et de l'industrie</w:t>
      </w:r>
    </w:p>
    <w:p w14:paraId="0DD07F8D" w14:textId="77777777" w:rsidR="00FB1300" w:rsidRPr="0025266B" w:rsidRDefault="00FB1300" w:rsidP="00460C69">
      <w:r w:rsidRPr="0025266B">
        <w:t xml:space="preserve">Ms. Mylène </w:t>
      </w:r>
      <w:r w:rsidRPr="0025266B">
        <w:rPr>
          <w:b/>
        </w:rPr>
        <w:t>SABATINI</w:t>
      </w:r>
      <w:r w:rsidRPr="0025266B">
        <w:rPr>
          <w:b/>
        </w:rPr>
        <w:tab/>
      </w:r>
      <w:r w:rsidRPr="0025266B">
        <w:tab/>
      </w:r>
      <w:r w:rsidRPr="0025266B">
        <w:tab/>
        <w:t>Ministère de l'économie, des finances et de l'industrie</w:t>
      </w:r>
    </w:p>
    <w:p w14:paraId="12B9F468" w14:textId="77777777" w:rsidR="00FB1300" w:rsidRPr="0025266B" w:rsidRDefault="00FB1300" w:rsidP="00460C69">
      <w:pPr>
        <w:rPr>
          <w:b/>
          <w:i/>
        </w:rPr>
      </w:pPr>
      <w:r w:rsidRPr="0025266B">
        <w:rPr>
          <w:b/>
          <w:i/>
        </w:rPr>
        <w:t>CROATIA</w:t>
      </w:r>
    </w:p>
    <w:p w14:paraId="02E1E565" w14:textId="77777777" w:rsidR="00FB1300" w:rsidRPr="0025266B" w:rsidRDefault="00FB1300" w:rsidP="00460C69">
      <w:r w:rsidRPr="0025266B">
        <w:t xml:space="preserve">Ms. Josipa </w:t>
      </w:r>
      <w:r w:rsidRPr="0025266B">
        <w:rPr>
          <w:b/>
        </w:rPr>
        <w:t>MESTROVIC</w:t>
      </w:r>
      <w:r w:rsidRPr="0025266B">
        <w:rPr>
          <w:b/>
        </w:rPr>
        <w:tab/>
      </w:r>
      <w:r w:rsidRPr="0025266B">
        <w:rPr>
          <w:b/>
        </w:rPr>
        <w:tab/>
      </w:r>
      <w:r w:rsidRPr="0025266B">
        <w:tab/>
        <w:t>Ministry of Labour and Pension System</w:t>
      </w:r>
    </w:p>
    <w:p w14:paraId="2F29FC3B" w14:textId="77777777" w:rsidR="00FB1300" w:rsidRPr="0025266B" w:rsidRDefault="00FB1300" w:rsidP="00460C69">
      <w:r w:rsidRPr="0025266B">
        <w:t xml:space="preserve">Ms. Ljiljana </w:t>
      </w:r>
      <w:r w:rsidRPr="0025266B">
        <w:rPr>
          <w:b/>
        </w:rPr>
        <w:t>MARUSIC</w:t>
      </w:r>
      <w:r w:rsidRPr="0025266B">
        <w:rPr>
          <w:b/>
        </w:rPr>
        <w:tab/>
      </w:r>
      <w:r w:rsidRPr="0025266B">
        <w:rPr>
          <w:b/>
        </w:rPr>
        <w:tab/>
      </w:r>
      <w:r w:rsidRPr="0025266B">
        <w:rPr>
          <w:b/>
        </w:rPr>
        <w:tab/>
      </w:r>
      <w:r w:rsidRPr="0025266B">
        <w:t>Croatian Pension Insurance Institute</w:t>
      </w:r>
    </w:p>
    <w:p w14:paraId="78BE212C" w14:textId="77777777" w:rsidR="00FB1300" w:rsidRPr="0025266B" w:rsidRDefault="00FB1300" w:rsidP="00460C69">
      <w:pPr>
        <w:rPr>
          <w:b/>
          <w:i/>
        </w:rPr>
      </w:pPr>
      <w:r w:rsidRPr="0025266B">
        <w:rPr>
          <w:b/>
          <w:i/>
        </w:rPr>
        <w:t>IRELAND</w:t>
      </w:r>
    </w:p>
    <w:p w14:paraId="310B9F9A" w14:textId="77777777" w:rsidR="00FB1300" w:rsidRPr="0025266B" w:rsidRDefault="00FB1300" w:rsidP="00460C69">
      <w:r w:rsidRPr="0025266B">
        <w:t xml:space="preserve">Mr. Ian </w:t>
      </w:r>
      <w:r w:rsidRPr="0025266B">
        <w:rPr>
          <w:b/>
        </w:rPr>
        <w:t>POWER</w:t>
      </w:r>
      <w:r w:rsidRPr="0025266B">
        <w:rPr>
          <w:b/>
        </w:rPr>
        <w:tab/>
      </w:r>
      <w:r w:rsidRPr="0025266B">
        <w:tab/>
      </w:r>
      <w:r w:rsidRPr="0025266B">
        <w:tab/>
      </w:r>
      <w:r w:rsidRPr="0025266B">
        <w:tab/>
        <w:t>Department of Finance</w:t>
      </w:r>
    </w:p>
    <w:p w14:paraId="25F6B249" w14:textId="77777777" w:rsidR="00FB1300" w:rsidRPr="0025266B" w:rsidRDefault="00FB1300" w:rsidP="00460C69">
      <w:r w:rsidRPr="0025266B">
        <w:t xml:space="preserve">Mr. David </w:t>
      </w:r>
      <w:r w:rsidRPr="0025266B">
        <w:rPr>
          <w:b/>
        </w:rPr>
        <w:t>HUGHES</w:t>
      </w:r>
      <w:r w:rsidRPr="0025266B">
        <w:rPr>
          <w:b/>
        </w:rPr>
        <w:tab/>
      </w:r>
      <w:r w:rsidRPr="0025266B">
        <w:rPr>
          <w:b/>
        </w:rPr>
        <w:tab/>
      </w:r>
      <w:r w:rsidRPr="0025266B">
        <w:tab/>
        <w:t>Department of Finance</w:t>
      </w:r>
    </w:p>
    <w:p w14:paraId="04225E1C" w14:textId="77777777" w:rsidR="00FB1300" w:rsidRPr="0025266B" w:rsidRDefault="00FB1300" w:rsidP="00460C69">
      <w:pPr>
        <w:rPr>
          <w:b/>
          <w:i/>
        </w:rPr>
      </w:pPr>
      <w:r w:rsidRPr="0025266B">
        <w:rPr>
          <w:b/>
          <w:i/>
        </w:rPr>
        <w:t>ITALIA</w:t>
      </w:r>
    </w:p>
    <w:p w14:paraId="35810581" w14:textId="77777777" w:rsidR="00FB1300" w:rsidRPr="0025266B" w:rsidRDefault="00FB1300" w:rsidP="00460C69">
      <w:r w:rsidRPr="0025266B">
        <w:t xml:space="preserve">Mr. Rocco </w:t>
      </w:r>
      <w:r w:rsidRPr="0025266B">
        <w:rPr>
          <w:b/>
        </w:rPr>
        <w:t>APRILE</w:t>
      </w:r>
      <w:r w:rsidRPr="0025266B">
        <w:rPr>
          <w:b/>
        </w:rPr>
        <w:tab/>
      </w:r>
      <w:r w:rsidRPr="0025266B">
        <w:rPr>
          <w:b/>
        </w:rPr>
        <w:tab/>
      </w:r>
      <w:r w:rsidRPr="0025266B">
        <w:tab/>
        <w:t>Ministero dell'Economia e delle Finanze</w:t>
      </w:r>
    </w:p>
    <w:p w14:paraId="31BCFB95" w14:textId="77777777" w:rsidR="00FB1300" w:rsidRPr="0025266B" w:rsidRDefault="00FB1300" w:rsidP="00460C69">
      <w:r w:rsidRPr="0025266B">
        <w:t xml:space="preserve">Ms. Elena </w:t>
      </w:r>
      <w:r w:rsidRPr="0025266B">
        <w:rPr>
          <w:b/>
        </w:rPr>
        <w:t>FABRIZI</w:t>
      </w:r>
      <w:r w:rsidRPr="0025266B">
        <w:rPr>
          <w:b/>
        </w:rPr>
        <w:tab/>
      </w:r>
      <w:r w:rsidRPr="0025266B">
        <w:rPr>
          <w:b/>
        </w:rPr>
        <w:tab/>
      </w:r>
      <w:r w:rsidRPr="0025266B">
        <w:tab/>
        <w:t>Ministero dell'Economia e delle Finanze</w:t>
      </w:r>
    </w:p>
    <w:p w14:paraId="3A0C552D" w14:textId="77777777" w:rsidR="00FB1300" w:rsidRPr="0025266B" w:rsidRDefault="00FB1300" w:rsidP="00460C69">
      <w:pPr>
        <w:rPr>
          <w:b/>
          <w:i/>
        </w:rPr>
      </w:pPr>
      <w:r w:rsidRPr="0025266B">
        <w:rPr>
          <w:b/>
          <w:i/>
        </w:rPr>
        <w:t>CYPRUS</w:t>
      </w:r>
    </w:p>
    <w:p w14:paraId="062C7538" w14:textId="77777777" w:rsidR="00FB1300" w:rsidRPr="0025266B" w:rsidRDefault="00FB1300" w:rsidP="00460C69">
      <w:r w:rsidRPr="0025266B">
        <w:t xml:space="preserve">Mr. Costas </w:t>
      </w:r>
      <w:r w:rsidRPr="0025266B">
        <w:rPr>
          <w:b/>
        </w:rPr>
        <w:t>STAVRAKIS</w:t>
      </w:r>
      <w:r w:rsidRPr="0025266B">
        <w:rPr>
          <w:b/>
        </w:rPr>
        <w:tab/>
      </w:r>
      <w:r w:rsidRPr="0025266B">
        <w:rPr>
          <w:b/>
        </w:rPr>
        <w:tab/>
      </w:r>
      <w:r w:rsidRPr="0025266B">
        <w:tab/>
        <w:t>Ministry of Labour, Welfare and Social Insurance</w:t>
      </w:r>
    </w:p>
    <w:p w14:paraId="72999EF6" w14:textId="77777777" w:rsidR="00FB1300" w:rsidRPr="0025266B" w:rsidRDefault="00FB1300" w:rsidP="00460C69">
      <w:r w:rsidRPr="0025266B">
        <w:t xml:space="preserve">Ms. Maria </w:t>
      </w:r>
      <w:r w:rsidRPr="0025266B">
        <w:rPr>
          <w:b/>
        </w:rPr>
        <w:t>MATSI</w:t>
      </w:r>
      <w:r w:rsidRPr="0025266B">
        <w:rPr>
          <w:b/>
        </w:rPr>
        <w:tab/>
      </w:r>
      <w:r w:rsidRPr="0025266B">
        <w:tab/>
      </w:r>
      <w:r w:rsidRPr="0025266B">
        <w:tab/>
        <w:t>Ministry of Finance</w:t>
      </w:r>
    </w:p>
    <w:p w14:paraId="0A74375C" w14:textId="77777777" w:rsidR="00FB1300" w:rsidRPr="0025266B" w:rsidRDefault="00FB1300" w:rsidP="00460C69">
      <w:pPr>
        <w:rPr>
          <w:b/>
          <w:i/>
        </w:rPr>
      </w:pPr>
      <w:r w:rsidRPr="0025266B">
        <w:rPr>
          <w:b/>
          <w:i/>
        </w:rPr>
        <w:t>LATVIA</w:t>
      </w:r>
    </w:p>
    <w:p w14:paraId="277C7ECB" w14:textId="77777777" w:rsidR="00FB1300" w:rsidRPr="0025266B" w:rsidRDefault="00FB1300" w:rsidP="00460C69">
      <w:r w:rsidRPr="0025266B">
        <w:t xml:space="preserve">Mr. Jurijs </w:t>
      </w:r>
      <w:r w:rsidRPr="0025266B">
        <w:rPr>
          <w:b/>
        </w:rPr>
        <w:t>KABAKOVS</w:t>
      </w:r>
      <w:r w:rsidRPr="0025266B">
        <w:rPr>
          <w:b/>
        </w:rPr>
        <w:tab/>
      </w:r>
      <w:r w:rsidRPr="0025266B">
        <w:rPr>
          <w:b/>
        </w:rPr>
        <w:tab/>
      </w:r>
      <w:r w:rsidRPr="0025266B">
        <w:tab/>
        <w:t xml:space="preserve">Ministry of Finance </w:t>
      </w:r>
    </w:p>
    <w:p w14:paraId="6E18F853" w14:textId="77777777" w:rsidR="00FB1300" w:rsidRPr="0025266B" w:rsidRDefault="00FB1300" w:rsidP="00460C69">
      <w:r w:rsidRPr="0025266B">
        <w:t xml:space="preserve">Ms. Sandra </w:t>
      </w:r>
      <w:r w:rsidRPr="0025266B">
        <w:rPr>
          <w:b/>
        </w:rPr>
        <w:t>STABIŅA</w:t>
      </w:r>
      <w:r w:rsidRPr="0025266B">
        <w:rPr>
          <w:b/>
        </w:rPr>
        <w:tab/>
      </w:r>
      <w:r w:rsidRPr="0025266B">
        <w:rPr>
          <w:b/>
        </w:rPr>
        <w:tab/>
      </w:r>
      <w:r w:rsidRPr="0025266B">
        <w:tab/>
        <w:t>Ministry of Welfare</w:t>
      </w:r>
    </w:p>
    <w:p w14:paraId="4EFB8C66" w14:textId="77777777" w:rsidR="00FB1300" w:rsidRPr="0025266B" w:rsidRDefault="00FB1300" w:rsidP="00460C69">
      <w:pPr>
        <w:rPr>
          <w:b/>
          <w:i/>
        </w:rPr>
      </w:pPr>
      <w:r w:rsidRPr="0025266B">
        <w:rPr>
          <w:b/>
          <w:i/>
        </w:rPr>
        <w:t xml:space="preserve">LITHUANIA </w:t>
      </w:r>
    </w:p>
    <w:p w14:paraId="234615D3" w14:textId="77777777" w:rsidR="00FB1300" w:rsidRPr="0025266B" w:rsidRDefault="00FB1300" w:rsidP="00460C69">
      <w:r w:rsidRPr="0025266B">
        <w:t xml:space="preserve">Ms. Rasa </w:t>
      </w:r>
      <w:r w:rsidRPr="0025266B">
        <w:rPr>
          <w:b/>
        </w:rPr>
        <w:t>SLIOGERIENE</w:t>
      </w:r>
      <w:r w:rsidRPr="0025266B">
        <w:rPr>
          <w:b/>
        </w:rPr>
        <w:tab/>
      </w:r>
      <w:r w:rsidRPr="0025266B">
        <w:tab/>
        <w:t>Ministry of Finance</w:t>
      </w:r>
    </w:p>
    <w:p w14:paraId="52C0014A" w14:textId="77777777" w:rsidR="00FB1300" w:rsidRPr="0025266B" w:rsidRDefault="00FB1300" w:rsidP="00460C69">
      <w:r w:rsidRPr="0025266B">
        <w:t xml:space="preserve">Ms. Vidija </w:t>
      </w:r>
      <w:r w:rsidRPr="0025266B">
        <w:rPr>
          <w:b/>
        </w:rPr>
        <w:t>PASTUKIENE</w:t>
      </w:r>
      <w:r w:rsidRPr="0025266B">
        <w:rPr>
          <w:b/>
        </w:rPr>
        <w:tab/>
      </w:r>
      <w:r w:rsidRPr="0025266B">
        <w:tab/>
        <w:t>Ministry of Social Security and Labour</w:t>
      </w:r>
    </w:p>
    <w:p w14:paraId="2AFE5238" w14:textId="77777777" w:rsidR="00FB1300" w:rsidRPr="0025266B" w:rsidRDefault="00FB1300" w:rsidP="00460C69">
      <w:pPr>
        <w:rPr>
          <w:b/>
          <w:i/>
        </w:rPr>
      </w:pPr>
      <w:r w:rsidRPr="0025266B">
        <w:rPr>
          <w:b/>
          <w:i/>
        </w:rPr>
        <w:t>LUXEMBOURG</w:t>
      </w:r>
    </w:p>
    <w:p w14:paraId="79A4FC1E" w14:textId="77777777" w:rsidR="00FB1300" w:rsidRPr="0025266B" w:rsidRDefault="00FB1300" w:rsidP="00460C69">
      <w:r w:rsidRPr="0025266B">
        <w:t xml:space="preserve">Mr. François </w:t>
      </w:r>
      <w:r w:rsidRPr="0025266B">
        <w:rPr>
          <w:b/>
        </w:rPr>
        <w:t>PELTIER</w:t>
      </w:r>
      <w:r w:rsidRPr="0025266B">
        <w:rPr>
          <w:b/>
        </w:rPr>
        <w:tab/>
      </w:r>
      <w:r w:rsidRPr="0025266B">
        <w:rPr>
          <w:b/>
        </w:rPr>
        <w:tab/>
      </w:r>
      <w:r w:rsidRPr="0025266B">
        <w:rPr>
          <w:b/>
        </w:rPr>
        <w:tab/>
      </w:r>
      <w:r w:rsidRPr="0025266B">
        <w:t>STATEC</w:t>
      </w:r>
    </w:p>
    <w:p w14:paraId="4968F991" w14:textId="77777777" w:rsidR="00FB1300" w:rsidRPr="0025266B" w:rsidRDefault="00FB1300" w:rsidP="00460C69">
      <w:r w:rsidRPr="0025266B">
        <w:t xml:space="preserve">Mr. Kevin </w:t>
      </w:r>
      <w:r w:rsidRPr="0025266B">
        <w:rPr>
          <w:b/>
        </w:rPr>
        <w:t>EVERARD</w:t>
      </w:r>
      <w:r w:rsidRPr="0025266B">
        <w:rPr>
          <w:b/>
        </w:rPr>
        <w:tab/>
      </w:r>
      <w:r w:rsidRPr="0025266B">
        <w:rPr>
          <w:b/>
        </w:rPr>
        <w:tab/>
      </w:r>
      <w:r w:rsidRPr="0025266B">
        <w:tab/>
        <w:t>Inspection Générale de la Securité Sociale</w:t>
      </w:r>
    </w:p>
    <w:p w14:paraId="5B3B1474" w14:textId="77777777" w:rsidR="00FB1300" w:rsidRPr="0025266B" w:rsidRDefault="00FB1300" w:rsidP="00460C69">
      <w:pPr>
        <w:rPr>
          <w:b/>
          <w:i/>
        </w:rPr>
      </w:pPr>
      <w:r w:rsidRPr="0025266B">
        <w:rPr>
          <w:b/>
          <w:i/>
        </w:rPr>
        <w:t>HUNGARY</w:t>
      </w:r>
    </w:p>
    <w:p w14:paraId="048C8BBF" w14:textId="77777777" w:rsidR="00FB1300" w:rsidRPr="0025266B" w:rsidRDefault="00FB1300" w:rsidP="00460C69">
      <w:r w:rsidRPr="0025266B">
        <w:t xml:space="preserve">Mr. Krisztián </w:t>
      </w:r>
      <w:r w:rsidRPr="0025266B">
        <w:rPr>
          <w:b/>
        </w:rPr>
        <w:t>TÓTH</w:t>
      </w:r>
      <w:r w:rsidRPr="0025266B">
        <w:rPr>
          <w:b/>
        </w:rPr>
        <w:tab/>
      </w:r>
      <w:r w:rsidRPr="0025266B">
        <w:rPr>
          <w:b/>
        </w:rPr>
        <w:tab/>
      </w:r>
      <w:r w:rsidRPr="0025266B">
        <w:tab/>
        <w:t>Ministry for National Economy</w:t>
      </w:r>
    </w:p>
    <w:p w14:paraId="1ED9DD8E" w14:textId="77777777" w:rsidR="00FB1300" w:rsidRPr="0025266B" w:rsidRDefault="00FB1300" w:rsidP="00460C69">
      <w:r w:rsidRPr="0025266B">
        <w:t xml:space="preserve">Mr. Miklos </w:t>
      </w:r>
      <w:r w:rsidRPr="0025266B">
        <w:rPr>
          <w:b/>
        </w:rPr>
        <w:t>ERDEI</w:t>
      </w:r>
      <w:r w:rsidRPr="0025266B">
        <w:rPr>
          <w:b/>
        </w:rPr>
        <w:tab/>
      </w:r>
      <w:r w:rsidRPr="0025266B">
        <w:rPr>
          <w:b/>
        </w:rPr>
        <w:tab/>
      </w:r>
      <w:r w:rsidRPr="0025266B">
        <w:rPr>
          <w:b/>
        </w:rPr>
        <w:tab/>
      </w:r>
      <w:r w:rsidRPr="0025266B">
        <w:t>Ministry for National Economy</w:t>
      </w:r>
    </w:p>
    <w:p w14:paraId="271548C9" w14:textId="77777777" w:rsidR="00FB1300" w:rsidRPr="0025266B" w:rsidRDefault="00FB1300" w:rsidP="00460C69">
      <w:pPr>
        <w:rPr>
          <w:b/>
          <w:i/>
        </w:rPr>
      </w:pPr>
      <w:r w:rsidRPr="0025266B">
        <w:rPr>
          <w:b/>
          <w:i/>
        </w:rPr>
        <w:lastRenderedPageBreak/>
        <w:t>MALTA</w:t>
      </w:r>
    </w:p>
    <w:p w14:paraId="76960355" w14:textId="77777777" w:rsidR="00FB1300" w:rsidRPr="0025266B" w:rsidRDefault="00FB1300" w:rsidP="00460C69">
      <w:r w:rsidRPr="0025266B">
        <w:t xml:space="preserve">Mr. Melchior </w:t>
      </w:r>
      <w:r w:rsidRPr="0025266B">
        <w:rPr>
          <w:b/>
        </w:rPr>
        <w:t>VELLA</w:t>
      </w:r>
      <w:r w:rsidRPr="0025266B">
        <w:rPr>
          <w:b/>
        </w:rPr>
        <w:tab/>
      </w:r>
      <w:r w:rsidRPr="0025266B">
        <w:rPr>
          <w:b/>
        </w:rPr>
        <w:tab/>
      </w:r>
      <w:r w:rsidRPr="0025266B">
        <w:tab/>
        <w:t>Ministry of Finance</w:t>
      </w:r>
    </w:p>
    <w:p w14:paraId="740ADC8C" w14:textId="77777777" w:rsidR="00FB1300" w:rsidRPr="0025266B" w:rsidRDefault="00FB1300" w:rsidP="00460C69">
      <w:r w:rsidRPr="0025266B">
        <w:t xml:space="preserve">Ms. Pauline </w:t>
      </w:r>
      <w:r w:rsidRPr="0025266B">
        <w:rPr>
          <w:b/>
        </w:rPr>
        <w:t>SALIBA</w:t>
      </w:r>
      <w:r w:rsidRPr="0025266B">
        <w:rPr>
          <w:b/>
        </w:rPr>
        <w:tab/>
      </w:r>
      <w:r w:rsidRPr="0025266B">
        <w:rPr>
          <w:b/>
        </w:rPr>
        <w:tab/>
      </w:r>
      <w:r w:rsidRPr="0025266B">
        <w:rPr>
          <w:b/>
        </w:rPr>
        <w:tab/>
      </w:r>
      <w:r w:rsidRPr="0025266B">
        <w:t>Ministry of Finance</w:t>
      </w:r>
    </w:p>
    <w:p w14:paraId="5FBBCCAF" w14:textId="77777777" w:rsidR="00FB1300" w:rsidRPr="0025266B" w:rsidRDefault="00FB1300" w:rsidP="00460C69">
      <w:pPr>
        <w:rPr>
          <w:b/>
        </w:rPr>
      </w:pPr>
      <w:r w:rsidRPr="0025266B">
        <w:rPr>
          <w:b/>
        </w:rPr>
        <w:t>NEDERLAND</w:t>
      </w:r>
    </w:p>
    <w:p w14:paraId="42A85015" w14:textId="77777777" w:rsidR="00FB1300" w:rsidRPr="0025266B" w:rsidRDefault="00FB1300" w:rsidP="00460C69">
      <w:r w:rsidRPr="0025266B">
        <w:t xml:space="preserve">Mr. Harry </w:t>
      </w:r>
      <w:r w:rsidRPr="0025266B">
        <w:rPr>
          <w:b/>
        </w:rPr>
        <w:t>TER RELE</w:t>
      </w:r>
      <w:r w:rsidRPr="0025266B">
        <w:rPr>
          <w:b/>
        </w:rPr>
        <w:tab/>
      </w:r>
      <w:r w:rsidRPr="0025266B">
        <w:rPr>
          <w:b/>
        </w:rPr>
        <w:tab/>
      </w:r>
      <w:r w:rsidRPr="0025266B">
        <w:tab/>
        <w:t>Centraal Planbureau</w:t>
      </w:r>
    </w:p>
    <w:p w14:paraId="4E150ECB" w14:textId="77777777" w:rsidR="00FB1300" w:rsidRPr="0025266B" w:rsidRDefault="00FB1300" w:rsidP="00460C69">
      <w:r w:rsidRPr="0025266B">
        <w:t xml:space="preserve">Mr. Wouter </w:t>
      </w:r>
      <w:r w:rsidRPr="0025266B">
        <w:rPr>
          <w:b/>
        </w:rPr>
        <w:t>HOGERVORST</w:t>
      </w:r>
      <w:r w:rsidRPr="0025266B">
        <w:tab/>
      </w:r>
      <w:r w:rsidRPr="0025266B">
        <w:tab/>
        <w:t>Ministry of Finance</w:t>
      </w:r>
    </w:p>
    <w:p w14:paraId="18E5616F" w14:textId="77777777" w:rsidR="00FB1300" w:rsidRPr="0025266B" w:rsidRDefault="00FB1300" w:rsidP="00460C69">
      <w:pPr>
        <w:rPr>
          <w:b/>
          <w:i/>
        </w:rPr>
      </w:pPr>
      <w:r w:rsidRPr="0025266B">
        <w:rPr>
          <w:b/>
          <w:i/>
        </w:rPr>
        <w:t>ÖSTERREICH</w:t>
      </w:r>
    </w:p>
    <w:p w14:paraId="32D79114" w14:textId="77777777" w:rsidR="00FB1300" w:rsidRPr="0025266B" w:rsidRDefault="00FB1300" w:rsidP="00460C69">
      <w:r w:rsidRPr="0025266B">
        <w:t xml:space="preserve">Mr. Peter </w:t>
      </w:r>
      <w:r w:rsidRPr="0025266B">
        <w:rPr>
          <w:b/>
        </w:rPr>
        <w:t>GRAFENEDER</w:t>
      </w:r>
      <w:r w:rsidRPr="0025266B">
        <w:tab/>
      </w:r>
      <w:r w:rsidRPr="0025266B">
        <w:tab/>
        <w:t>Bundesministerium für Finanzen</w:t>
      </w:r>
    </w:p>
    <w:p w14:paraId="12E5771F" w14:textId="77777777" w:rsidR="00FB1300" w:rsidRPr="0025266B" w:rsidRDefault="00FB1300" w:rsidP="00460C69">
      <w:r w:rsidRPr="0025266B">
        <w:t xml:space="preserve">Mr. Armin </w:t>
      </w:r>
      <w:r w:rsidRPr="0025266B">
        <w:rPr>
          <w:b/>
        </w:rPr>
        <w:t>HEINRICH</w:t>
      </w:r>
      <w:r w:rsidRPr="0025266B">
        <w:rPr>
          <w:b/>
        </w:rPr>
        <w:tab/>
      </w:r>
      <w:r w:rsidRPr="0025266B">
        <w:rPr>
          <w:b/>
        </w:rPr>
        <w:tab/>
      </w:r>
      <w:r w:rsidRPr="0025266B">
        <w:tab/>
        <w:t>Bundesministerium für Finanzen</w:t>
      </w:r>
    </w:p>
    <w:p w14:paraId="0817A559" w14:textId="77777777" w:rsidR="00FB1300" w:rsidRPr="0025266B" w:rsidRDefault="00FB1300" w:rsidP="00460C69">
      <w:pPr>
        <w:rPr>
          <w:b/>
          <w:i/>
        </w:rPr>
      </w:pPr>
      <w:r w:rsidRPr="0025266B">
        <w:rPr>
          <w:b/>
          <w:i/>
        </w:rPr>
        <w:t>POLAND</w:t>
      </w:r>
    </w:p>
    <w:p w14:paraId="0E2F0CF2" w14:textId="77777777" w:rsidR="00FB1300" w:rsidRPr="0025266B" w:rsidRDefault="00FB1300" w:rsidP="00460C69">
      <w:r w:rsidRPr="0025266B">
        <w:t xml:space="preserve">Ms. Joanna </w:t>
      </w:r>
      <w:r w:rsidRPr="0025266B">
        <w:rPr>
          <w:b/>
        </w:rPr>
        <w:t>STACHURA</w:t>
      </w:r>
      <w:r w:rsidRPr="0025266B">
        <w:rPr>
          <w:b/>
        </w:rPr>
        <w:tab/>
      </w:r>
      <w:r w:rsidRPr="0025266B">
        <w:rPr>
          <w:b/>
        </w:rPr>
        <w:tab/>
      </w:r>
      <w:r w:rsidRPr="0025266B">
        <w:tab/>
        <w:t>Ministry of Finance</w:t>
      </w:r>
    </w:p>
    <w:p w14:paraId="3E104993" w14:textId="77777777" w:rsidR="00FB1300" w:rsidRPr="0025266B" w:rsidRDefault="00FB1300" w:rsidP="00460C69">
      <w:r w:rsidRPr="0025266B">
        <w:t xml:space="preserve">Mr. Pawel </w:t>
      </w:r>
      <w:r w:rsidRPr="0025266B">
        <w:rPr>
          <w:b/>
        </w:rPr>
        <w:t>STRZELECKI</w:t>
      </w:r>
      <w:r w:rsidRPr="0025266B">
        <w:tab/>
      </w:r>
      <w:r w:rsidRPr="0025266B">
        <w:tab/>
        <w:t>National Bank of Poland</w:t>
      </w:r>
    </w:p>
    <w:p w14:paraId="11E365F2" w14:textId="77777777" w:rsidR="00FB1300" w:rsidRPr="0025266B" w:rsidRDefault="00FB1300" w:rsidP="00460C69">
      <w:pPr>
        <w:rPr>
          <w:b/>
          <w:i/>
        </w:rPr>
      </w:pPr>
      <w:r w:rsidRPr="0025266B">
        <w:rPr>
          <w:b/>
          <w:i/>
        </w:rPr>
        <w:t>PORTUGAL</w:t>
      </w:r>
    </w:p>
    <w:p w14:paraId="5BCAAAB6" w14:textId="77777777" w:rsidR="00FB1300" w:rsidRPr="0025266B" w:rsidRDefault="00FB1300" w:rsidP="00460C69">
      <w:r w:rsidRPr="0025266B">
        <w:t xml:space="preserve">Ms. Conceicao </w:t>
      </w:r>
      <w:r w:rsidRPr="0025266B">
        <w:rPr>
          <w:b/>
        </w:rPr>
        <w:t>NUNES</w:t>
      </w:r>
      <w:r w:rsidRPr="0025266B">
        <w:rPr>
          <w:b/>
        </w:rPr>
        <w:tab/>
      </w:r>
      <w:r w:rsidRPr="0025266B">
        <w:rPr>
          <w:b/>
        </w:rPr>
        <w:tab/>
      </w:r>
      <w:r w:rsidRPr="0025266B">
        <w:rPr>
          <w:b/>
        </w:rPr>
        <w:tab/>
      </w:r>
      <w:r w:rsidRPr="0025266B">
        <w:t xml:space="preserve">Ministry of Finance </w:t>
      </w:r>
    </w:p>
    <w:p w14:paraId="0903F1FF" w14:textId="77777777" w:rsidR="00FB1300" w:rsidRPr="0025266B" w:rsidRDefault="00FB1300" w:rsidP="00460C69">
      <w:r w:rsidRPr="0025266B">
        <w:t xml:space="preserve">Ms. Rita </w:t>
      </w:r>
      <w:r w:rsidRPr="0025266B">
        <w:rPr>
          <w:b/>
        </w:rPr>
        <w:t>FIGUEIRAS</w:t>
      </w:r>
      <w:r w:rsidRPr="0025266B">
        <w:rPr>
          <w:b/>
        </w:rPr>
        <w:tab/>
      </w:r>
      <w:r w:rsidRPr="0025266B">
        <w:tab/>
      </w:r>
      <w:r w:rsidRPr="0025266B">
        <w:tab/>
        <w:t xml:space="preserve">Ministry of Labour, Solidarity, and Social Security </w:t>
      </w:r>
    </w:p>
    <w:p w14:paraId="776769FF" w14:textId="77777777" w:rsidR="00FB1300" w:rsidRPr="0025266B" w:rsidRDefault="00FB1300" w:rsidP="00460C69">
      <w:pPr>
        <w:rPr>
          <w:b/>
          <w:i/>
        </w:rPr>
      </w:pPr>
      <w:r w:rsidRPr="0025266B">
        <w:rPr>
          <w:b/>
          <w:i/>
        </w:rPr>
        <w:t>ROMANIA</w:t>
      </w:r>
    </w:p>
    <w:p w14:paraId="555A5BD7" w14:textId="77777777" w:rsidR="00FB1300" w:rsidRPr="0025266B" w:rsidRDefault="00FB1300" w:rsidP="00460C69">
      <w:r w:rsidRPr="0025266B">
        <w:t xml:space="preserve">Mr. Daniel </w:t>
      </w:r>
      <w:r w:rsidRPr="0025266B">
        <w:rPr>
          <w:b/>
        </w:rPr>
        <w:t>VALCU</w:t>
      </w:r>
      <w:r w:rsidRPr="0025266B">
        <w:rPr>
          <w:b/>
        </w:rPr>
        <w:tab/>
      </w:r>
      <w:r w:rsidRPr="0025266B">
        <w:tab/>
      </w:r>
      <w:r w:rsidRPr="0025266B">
        <w:tab/>
        <w:t>Ministry of Public Finance</w:t>
      </w:r>
    </w:p>
    <w:p w14:paraId="068218DB" w14:textId="77777777" w:rsidR="00FB1300" w:rsidRPr="0025266B" w:rsidRDefault="00FB1300" w:rsidP="00460C69">
      <w:r w:rsidRPr="0025266B">
        <w:t xml:space="preserve">Mr. Lucian </w:t>
      </w:r>
      <w:r w:rsidRPr="0025266B">
        <w:rPr>
          <w:b/>
        </w:rPr>
        <w:t>NOVAK</w:t>
      </w:r>
      <w:r w:rsidRPr="0025266B">
        <w:tab/>
      </w:r>
      <w:r w:rsidRPr="0025266B">
        <w:tab/>
      </w:r>
      <w:r w:rsidRPr="0025266B">
        <w:tab/>
        <w:t>National Commission for Economic Forecasting</w:t>
      </w:r>
    </w:p>
    <w:p w14:paraId="4800438E" w14:textId="77777777" w:rsidR="00FB1300" w:rsidRPr="0025266B" w:rsidRDefault="00FB1300" w:rsidP="00460C69">
      <w:pPr>
        <w:keepNext/>
        <w:rPr>
          <w:b/>
          <w:i/>
        </w:rPr>
      </w:pPr>
      <w:r w:rsidRPr="0025266B">
        <w:rPr>
          <w:b/>
          <w:i/>
        </w:rPr>
        <w:t>SLOVENIA</w:t>
      </w:r>
    </w:p>
    <w:p w14:paraId="4D2C68B1" w14:textId="77777777" w:rsidR="00FB1300" w:rsidRPr="0025266B" w:rsidRDefault="00FB1300" w:rsidP="00460C69">
      <w:pPr>
        <w:keepNext/>
      </w:pPr>
      <w:r w:rsidRPr="0025266B">
        <w:t xml:space="preserve">Ms. Eva </w:t>
      </w:r>
      <w:r w:rsidRPr="0025266B">
        <w:rPr>
          <w:b/>
        </w:rPr>
        <w:t>ZVER</w:t>
      </w:r>
      <w:r w:rsidRPr="0025266B">
        <w:tab/>
      </w:r>
      <w:r w:rsidRPr="0025266B">
        <w:tab/>
      </w:r>
      <w:r w:rsidRPr="0025266B">
        <w:tab/>
      </w:r>
      <w:r w:rsidRPr="0025266B">
        <w:tab/>
        <w:t>Institute of Macroeconomic Analysis and Development</w:t>
      </w:r>
    </w:p>
    <w:p w14:paraId="3BB91A6E" w14:textId="77777777" w:rsidR="00FB1300" w:rsidRPr="0025266B" w:rsidRDefault="00FB1300" w:rsidP="00460C69">
      <w:pPr>
        <w:keepNext/>
      </w:pPr>
      <w:r w:rsidRPr="0025266B">
        <w:t xml:space="preserve">Mr. Franc </w:t>
      </w:r>
      <w:r w:rsidRPr="0025266B">
        <w:rPr>
          <w:b/>
        </w:rPr>
        <w:t>KLUZER</w:t>
      </w:r>
      <w:r w:rsidRPr="0025266B">
        <w:rPr>
          <w:b/>
        </w:rPr>
        <w:tab/>
      </w:r>
      <w:r w:rsidRPr="0025266B">
        <w:rPr>
          <w:b/>
        </w:rPr>
        <w:tab/>
      </w:r>
      <w:r w:rsidRPr="0025266B">
        <w:tab/>
        <w:t>Ministry of Finance</w:t>
      </w:r>
    </w:p>
    <w:p w14:paraId="4737B66B" w14:textId="77777777" w:rsidR="00FB1300" w:rsidRPr="0025266B" w:rsidRDefault="00FB1300" w:rsidP="00460C69">
      <w:pPr>
        <w:rPr>
          <w:b/>
          <w:i/>
        </w:rPr>
      </w:pPr>
      <w:r w:rsidRPr="0025266B">
        <w:rPr>
          <w:b/>
          <w:i/>
        </w:rPr>
        <w:t>SLOVAKIA</w:t>
      </w:r>
    </w:p>
    <w:p w14:paraId="3F5DF326" w14:textId="77777777" w:rsidR="00FB1300" w:rsidRPr="0025266B" w:rsidRDefault="00FB1300" w:rsidP="00460C69">
      <w:r w:rsidRPr="0025266B">
        <w:t xml:space="preserve">Mr. Thomas </w:t>
      </w:r>
      <w:r w:rsidRPr="0025266B">
        <w:rPr>
          <w:b/>
        </w:rPr>
        <w:t>RIZMAN</w:t>
      </w:r>
      <w:r w:rsidRPr="0025266B">
        <w:rPr>
          <w:b/>
        </w:rPr>
        <w:tab/>
      </w:r>
      <w:r w:rsidRPr="0025266B">
        <w:rPr>
          <w:b/>
        </w:rPr>
        <w:tab/>
      </w:r>
      <w:r w:rsidRPr="0025266B">
        <w:rPr>
          <w:b/>
        </w:rPr>
        <w:tab/>
      </w:r>
      <w:r w:rsidRPr="0025266B">
        <w:t>Ministry of Finance</w:t>
      </w:r>
    </w:p>
    <w:p w14:paraId="1245CF33" w14:textId="77777777" w:rsidR="00FB1300" w:rsidRPr="0025266B" w:rsidRDefault="00FB1300" w:rsidP="00460C69">
      <w:r w:rsidRPr="0025266B">
        <w:t xml:space="preserve">Mr. Peter </w:t>
      </w:r>
      <w:r w:rsidRPr="0025266B">
        <w:rPr>
          <w:b/>
        </w:rPr>
        <w:t>HARVAN</w:t>
      </w:r>
      <w:r w:rsidRPr="0025266B">
        <w:rPr>
          <w:b/>
        </w:rPr>
        <w:tab/>
      </w:r>
      <w:r w:rsidRPr="0025266B">
        <w:rPr>
          <w:b/>
        </w:rPr>
        <w:tab/>
      </w:r>
      <w:r w:rsidRPr="0025266B">
        <w:tab/>
        <w:t>Ministry of Finance</w:t>
      </w:r>
    </w:p>
    <w:p w14:paraId="1B2A9B91" w14:textId="77777777" w:rsidR="00FB1300" w:rsidRPr="0025266B" w:rsidRDefault="00FB1300" w:rsidP="00460C69">
      <w:pPr>
        <w:rPr>
          <w:b/>
          <w:i/>
        </w:rPr>
      </w:pPr>
      <w:r w:rsidRPr="0025266B">
        <w:rPr>
          <w:b/>
          <w:i/>
        </w:rPr>
        <w:t>SUOMI FINLAND</w:t>
      </w:r>
    </w:p>
    <w:p w14:paraId="4C9EBA74" w14:textId="77777777" w:rsidR="00FB1300" w:rsidRPr="0025266B" w:rsidRDefault="00FB1300" w:rsidP="00460C69">
      <w:r w:rsidRPr="0025266B">
        <w:t xml:space="preserve">Mr. Ilari </w:t>
      </w:r>
      <w:r w:rsidRPr="0025266B">
        <w:rPr>
          <w:b/>
        </w:rPr>
        <w:t>AHOLA</w:t>
      </w:r>
      <w:r w:rsidRPr="0025266B">
        <w:rPr>
          <w:b/>
        </w:rPr>
        <w:tab/>
      </w:r>
      <w:r w:rsidRPr="0025266B">
        <w:rPr>
          <w:b/>
        </w:rPr>
        <w:tab/>
      </w:r>
      <w:r w:rsidRPr="0025266B">
        <w:tab/>
        <w:t>Ministry of Finance</w:t>
      </w:r>
    </w:p>
    <w:p w14:paraId="0063D780" w14:textId="77777777" w:rsidR="00FB1300" w:rsidRPr="0025266B" w:rsidRDefault="00FB1300" w:rsidP="00460C69">
      <w:pPr>
        <w:keepNext/>
        <w:rPr>
          <w:b/>
          <w:i/>
        </w:rPr>
      </w:pPr>
      <w:r w:rsidRPr="0025266B">
        <w:rPr>
          <w:b/>
          <w:i/>
        </w:rPr>
        <w:lastRenderedPageBreak/>
        <w:t>SVERIGE</w:t>
      </w:r>
    </w:p>
    <w:p w14:paraId="114EF76F" w14:textId="77777777" w:rsidR="00FB1300" w:rsidRPr="0025266B" w:rsidRDefault="00FB1300" w:rsidP="00460C69">
      <w:pPr>
        <w:keepNext/>
      </w:pPr>
      <w:r w:rsidRPr="0025266B">
        <w:t xml:space="preserve">Mr. Jonas </w:t>
      </w:r>
      <w:r w:rsidRPr="0025266B">
        <w:rPr>
          <w:b/>
        </w:rPr>
        <w:t>NORLIN</w:t>
      </w:r>
      <w:r w:rsidRPr="0025266B">
        <w:rPr>
          <w:b/>
        </w:rPr>
        <w:tab/>
      </w:r>
      <w:r w:rsidRPr="0025266B">
        <w:rPr>
          <w:b/>
        </w:rPr>
        <w:tab/>
      </w:r>
      <w:r w:rsidRPr="0025266B">
        <w:rPr>
          <w:b/>
        </w:rPr>
        <w:tab/>
      </w:r>
      <w:r w:rsidRPr="0025266B">
        <w:t>Ministry of Finance</w:t>
      </w:r>
    </w:p>
    <w:p w14:paraId="1D771E11" w14:textId="77777777" w:rsidR="00FB1300" w:rsidRPr="0025266B" w:rsidRDefault="00FB1300" w:rsidP="00460C69">
      <w:pPr>
        <w:keepNext/>
      </w:pPr>
      <w:r w:rsidRPr="0025266B">
        <w:t xml:space="preserve">Mr. Olle </w:t>
      </w:r>
      <w:r w:rsidRPr="0025266B">
        <w:rPr>
          <w:b/>
        </w:rPr>
        <w:t>SUNDBERG</w:t>
      </w:r>
      <w:r w:rsidRPr="0025266B">
        <w:rPr>
          <w:b/>
        </w:rPr>
        <w:tab/>
      </w:r>
      <w:r w:rsidRPr="0025266B">
        <w:tab/>
      </w:r>
      <w:r w:rsidRPr="0025266B">
        <w:tab/>
        <w:t xml:space="preserve">Ministry of Health and Social Affairs </w:t>
      </w:r>
    </w:p>
    <w:p w14:paraId="7DC9319E" w14:textId="77777777" w:rsidR="00FB1300" w:rsidRPr="0025266B" w:rsidRDefault="00FB1300" w:rsidP="00460C69">
      <w:pPr>
        <w:rPr>
          <w:b/>
          <w:i/>
        </w:rPr>
      </w:pPr>
      <w:r w:rsidRPr="0025266B">
        <w:rPr>
          <w:b/>
          <w:i/>
        </w:rPr>
        <w:t>UNITED KINGDOM</w:t>
      </w:r>
    </w:p>
    <w:p w14:paraId="2A817CB3" w14:textId="77777777" w:rsidR="00FB1300" w:rsidRPr="0025266B" w:rsidRDefault="00FB1300" w:rsidP="00460C69">
      <w:r w:rsidRPr="0025266B">
        <w:t xml:space="preserve">Mr. George </w:t>
      </w:r>
      <w:r w:rsidRPr="0025266B">
        <w:rPr>
          <w:b/>
        </w:rPr>
        <w:t>VERNON</w:t>
      </w:r>
      <w:r w:rsidRPr="0025266B">
        <w:rPr>
          <w:b/>
        </w:rPr>
        <w:tab/>
      </w:r>
      <w:r w:rsidRPr="0025266B">
        <w:rPr>
          <w:b/>
        </w:rPr>
        <w:tab/>
      </w:r>
      <w:r w:rsidRPr="0025266B">
        <w:rPr>
          <w:b/>
        </w:rPr>
        <w:tab/>
      </w:r>
      <w:r w:rsidRPr="0025266B">
        <w:t>HM Treasury</w:t>
      </w:r>
    </w:p>
    <w:p w14:paraId="4499B412" w14:textId="77777777" w:rsidR="00FB1300" w:rsidRPr="0025266B" w:rsidRDefault="00FB1300" w:rsidP="00460C69">
      <w:r w:rsidRPr="0025266B">
        <w:t xml:space="preserve">Mr. Vincent </w:t>
      </w:r>
      <w:r w:rsidRPr="0025266B">
        <w:rPr>
          <w:b/>
        </w:rPr>
        <w:t>TANG</w:t>
      </w:r>
      <w:r w:rsidRPr="0025266B">
        <w:tab/>
      </w:r>
      <w:r w:rsidRPr="0025266B">
        <w:tab/>
      </w:r>
      <w:r w:rsidRPr="0025266B">
        <w:tab/>
        <w:t>HM Treasury</w:t>
      </w:r>
      <w:r w:rsidRPr="0025266B">
        <w:tab/>
      </w:r>
    </w:p>
    <w:p w14:paraId="579DF699" w14:textId="77777777" w:rsidR="00FB1300" w:rsidRPr="0025266B" w:rsidRDefault="00FB1300" w:rsidP="00460C69">
      <w:pPr>
        <w:rPr>
          <w:b/>
          <w:i/>
        </w:rPr>
      </w:pPr>
      <w:r w:rsidRPr="0025266B">
        <w:rPr>
          <w:b/>
          <w:i/>
        </w:rPr>
        <w:t>OBSERVERS</w:t>
      </w:r>
    </w:p>
    <w:p w14:paraId="620A202D" w14:textId="77777777" w:rsidR="00FB1300" w:rsidRPr="0025266B" w:rsidRDefault="00FB1300" w:rsidP="00460C69">
      <w:r w:rsidRPr="0025266B">
        <w:t xml:space="preserve">Mr. Yngvar </w:t>
      </w:r>
      <w:r w:rsidRPr="0025266B">
        <w:rPr>
          <w:b/>
        </w:rPr>
        <w:t>DYVI</w:t>
      </w:r>
      <w:r w:rsidRPr="0025266B">
        <w:rPr>
          <w:b/>
        </w:rPr>
        <w:tab/>
      </w:r>
      <w:r w:rsidRPr="0025266B">
        <w:rPr>
          <w:b/>
        </w:rPr>
        <w:tab/>
      </w:r>
      <w:r w:rsidRPr="0025266B">
        <w:rPr>
          <w:b/>
        </w:rPr>
        <w:tab/>
      </w:r>
      <w:r w:rsidRPr="0025266B">
        <w:t>Ministry of Finance, Norway</w:t>
      </w:r>
    </w:p>
    <w:p w14:paraId="39813AF6" w14:textId="77777777" w:rsidR="00FB1300" w:rsidRPr="0025266B" w:rsidRDefault="00FB1300" w:rsidP="00460C69">
      <w:r w:rsidRPr="0025266B">
        <w:t xml:space="preserve">Mr. Per-Mathis </w:t>
      </w:r>
      <w:r w:rsidRPr="0025266B">
        <w:rPr>
          <w:b/>
        </w:rPr>
        <w:t>KONGSRUD</w:t>
      </w:r>
      <w:r w:rsidRPr="0025266B">
        <w:tab/>
      </w:r>
      <w:r w:rsidRPr="0025266B">
        <w:tab/>
        <w:t>Ministry of Finance, Norway</w:t>
      </w:r>
    </w:p>
    <w:p w14:paraId="2DBFB653" w14:textId="77777777" w:rsidR="00FB1300" w:rsidRPr="0025266B" w:rsidRDefault="00FB1300" w:rsidP="00460C69">
      <w:pPr>
        <w:rPr>
          <w:b/>
          <w:i/>
        </w:rPr>
      </w:pPr>
      <w:r w:rsidRPr="0025266B">
        <w:rPr>
          <w:b/>
          <w:i/>
        </w:rPr>
        <w:t>EUROPEAN CENTRAL BANK</w:t>
      </w:r>
    </w:p>
    <w:p w14:paraId="2EC26884" w14:textId="77777777" w:rsidR="00FB1300" w:rsidRPr="0025266B" w:rsidRDefault="00FB1300" w:rsidP="00460C69">
      <w:pPr>
        <w:rPr>
          <w:b/>
        </w:rPr>
      </w:pPr>
      <w:r w:rsidRPr="0025266B">
        <w:t xml:space="preserve">Ms. Carolin </w:t>
      </w:r>
      <w:r w:rsidRPr="0025266B">
        <w:rPr>
          <w:b/>
        </w:rPr>
        <w:t>NERLICH</w:t>
      </w:r>
    </w:p>
    <w:p w14:paraId="73306C0A" w14:textId="77777777" w:rsidR="00FB1300" w:rsidRPr="0025266B" w:rsidRDefault="00FB1300" w:rsidP="00460C69">
      <w:pPr>
        <w:rPr>
          <w:b/>
          <w:i/>
        </w:rPr>
      </w:pPr>
      <w:r w:rsidRPr="0025266B">
        <w:rPr>
          <w:b/>
          <w:i/>
        </w:rPr>
        <w:t>EUROSTAT</w:t>
      </w:r>
    </w:p>
    <w:p w14:paraId="23AD9E8A" w14:textId="77777777" w:rsidR="00FB1300" w:rsidRPr="0025266B" w:rsidRDefault="00FB1300" w:rsidP="00460C69">
      <w:pPr>
        <w:rPr>
          <w:b/>
        </w:rPr>
      </w:pPr>
      <w:r w:rsidRPr="0025266B">
        <w:t xml:space="preserve">Mr. Giampaolo </w:t>
      </w:r>
      <w:r w:rsidRPr="0025266B">
        <w:rPr>
          <w:b/>
        </w:rPr>
        <w:t>LANZIERI</w:t>
      </w:r>
    </w:p>
    <w:p w14:paraId="56A7E4FB" w14:textId="77777777" w:rsidR="00FB1300" w:rsidRPr="0025266B" w:rsidRDefault="00FB1300" w:rsidP="00460C69">
      <w:pPr>
        <w:rPr>
          <w:b/>
          <w:i/>
        </w:rPr>
      </w:pPr>
      <w:r w:rsidRPr="0025266B">
        <w:rPr>
          <w:b/>
          <w:i/>
        </w:rPr>
        <w:t xml:space="preserve">EPC SECRETARIAT </w:t>
      </w:r>
    </w:p>
    <w:p w14:paraId="02084AA7" w14:textId="77777777" w:rsidR="00FB1300" w:rsidRPr="0025266B" w:rsidRDefault="00FB1300" w:rsidP="00460C69">
      <w:pPr>
        <w:rPr>
          <w:b/>
        </w:rPr>
      </w:pPr>
      <w:r w:rsidRPr="0025266B">
        <w:t xml:space="preserve">Mr. Jens </w:t>
      </w:r>
      <w:r w:rsidRPr="0025266B">
        <w:rPr>
          <w:b/>
        </w:rPr>
        <w:t>LARSEN</w:t>
      </w:r>
    </w:p>
    <w:p w14:paraId="13249780" w14:textId="77777777" w:rsidR="00FB1300" w:rsidRPr="0025266B" w:rsidRDefault="00FB1300" w:rsidP="00460C69">
      <w:pPr>
        <w:rPr>
          <w:b/>
        </w:rPr>
      </w:pPr>
      <w:r w:rsidRPr="0025266B">
        <w:t xml:space="preserve">Mr. Fuat </w:t>
      </w:r>
      <w:r w:rsidRPr="0025266B">
        <w:rPr>
          <w:b/>
        </w:rPr>
        <w:t>VARDAR</w:t>
      </w:r>
    </w:p>
    <w:p w14:paraId="7DD4D121" w14:textId="77777777" w:rsidR="00FB1300" w:rsidRPr="0025266B" w:rsidRDefault="00FB1300" w:rsidP="00460C69">
      <w:pPr>
        <w:rPr>
          <w:b/>
          <w:i/>
        </w:rPr>
      </w:pPr>
      <w:r w:rsidRPr="0025266B">
        <w:rPr>
          <w:b/>
          <w:i/>
        </w:rPr>
        <w:t>EUROPEAN COMMISSION</w:t>
      </w:r>
    </w:p>
    <w:p w14:paraId="6867E8B4" w14:textId="77777777" w:rsidR="00FB1300" w:rsidRPr="0025266B" w:rsidRDefault="00FB1300" w:rsidP="00460C69">
      <w:pPr>
        <w:rPr>
          <w:b/>
        </w:rPr>
      </w:pPr>
      <w:r w:rsidRPr="0025266B">
        <w:t xml:space="preserve">Mr. Giuseppe </w:t>
      </w:r>
      <w:r w:rsidRPr="0025266B">
        <w:rPr>
          <w:b/>
        </w:rPr>
        <w:t>CARONE</w:t>
      </w:r>
    </w:p>
    <w:p w14:paraId="75573C32" w14:textId="77777777" w:rsidR="00FB1300" w:rsidRPr="0025266B" w:rsidRDefault="00FB1300" w:rsidP="00460C69">
      <w:pPr>
        <w:rPr>
          <w:b/>
        </w:rPr>
      </w:pPr>
      <w:r w:rsidRPr="0025266B">
        <w:t xml:space="preserve">Mr. Per </w:t>
      </w:r>
      <w:r w:rsidRPr="0025266B">
        <w:rPr>
          <w:b/>
        </w:rPr>
        <w:t>ECKEFELDT</w:t>
      </w:r>
    </w:p>
    <w:p w14:paraId="2EAD3F34" w14:textId="77777777" w:rsidR="00FB1300" w:rsidRPr="0025266B" w:rsidRDefault="00FB1300" w:rsidP="00460C69"/>
    <w:p w14:paraId="475E7D3D" w14:textId="77777777" w:rsidR="00FB1300" w:rsidRDefault="00FB1300" w:rsidP="00460C69"/>
    <w:bookmarkEnd w:id="9"/>
    <w:p w14:paraId="0EF774B7" w14:textId="77777777" w:rsidR="00FB1300" w:rsidRDefault="00FB1300" w:rsidP="00460C69">
      <w:pPr>
        <w:sectPr w:rsidR="00FB1300" w:rsidSect="00FB1300">
          <w:headerReference w:type="even" r:id="rId10"/>
          <w:headerReference w:type="default" r:id="rId11"/>
          <w:footerReference w:type="even" r:id="rId12"/>
          <w:footerReference w:type="default" r:id="rId13"/>
          <w:headerReference w:type="first" r:id="rId14"/>
          <w:footerReference w:type="first" r:id="rId15"/>
          <w:endnotePr>
            <w:numFmt w:val="decimal"/>
          </w:endnotePr>
          <w:pgSz w:w="11907" w:h="16839"/>
          <w:pgMar w:top="2693" w:right="1701" w:bottom="1417" w:left="1701" w:header="709" w:footer="1191" w:gutter="0"/>
          <w:pgNumType w:fmt="lowerRoman"/>
          <w:cols w:space="708"/>
          <w:titlePg/>
          <w:docGrid w:linePitch="360"/>
        </w:sectPr>
      </w:pPr>
    </w:p>
    <w:bookmarkStart w:id="10" w:name="GUID470918E34FF441B2A15EAACCEF33F3E3"/>
    <w:p w14:paraId="46454501" w14:textId="77777777" w:rsidR="009F3ED8" w:rsidRPr="009F3ED8" w:rsidRDefault="00FB1300">
      <w:pPr>
        <w:pStyle w:val="Sadraj1"/>
      </w:pPr>
      <w:r w:rsidRPr="009F3ED8">
        <w:lastRenderedPageBreak/>
        <w:fldChar w:fldCharType="begin"/>
      </w:r>
      <w:r w:rsidRPr="009F3ED8">
        <w:instrText xml:space="preserve"> TOC \f \h \z \u \o"3-3" \t"Subsection Title;3"</w:instrText>
      </w:r>
      <w:r w:rsidRPr="009F3ED8">
        <w:fldChar w:fldCharType="separate"/>
      </w:r>
      <w:hyperlink w:anchor="_Toc511664408" w:history="1">
        <w:r w:rsidR="009F3ED8" w:rsidRPr="009F3ED8">
          <w:t>Executive Summary</w:t>
        </w:r>
        <w:r w:rsidR="009F3ED8" w:rsidRPr="009F3ED8">
          <w:rPr>
            <w:webHidden/>
          </w:rPr>
          <w:tab/>
          <w:t>1</w:t>
        </w:r>
      </w:hyperlink>
    </w:p>
    <w:p w14:paraId="6A751DDD" w14:textId="77777777" w:rsidR="009F3ED8" w:rsidRPr="009F3ED8" w:rsidRDefault="002F4485">
      <w:pPr>
        <w:pStyle w:val="Sadraj3"/>
      </w:pPr>
      <w:hyperlink w:anchor="_Toc511664409" w:history="1">
        <w:r w:rsidR="009F3ED8" w:rsidRPr="009F3ED8">
          <w:t>1.</w:t>
        </w:r>
        <w:r w:rsidR="009F3ED8" w:rsidRPr="009F3ED8">
          <w:tab/>
          <w:t>2018 Ageing Report: mandate and broad principles</w:t>
        </w:r>
        <w:r w:rsidR="009F3ED8" w:rsidRPr="009F3ED8">
          <w:rPr>
            <w:webHidden/>
          </w:rPr>
          <w:tab/>
          <w:t>1</w:t>
        </w:r>
      </w:hyperlink>
    </w:p>
    <w:p w14:paraId="2A0793B5" w14:textId="77777777" w:rsidR="009F3ED8" w:rsidRPr="009F3ED8" w:rsidRDefault="002F4485">
      <w:pPr>
        <w:pStyle w:val="Sadraj3"/>
      </w:pPr>
      <w:hyperlink w:anchor="_Toc511664410" w:history="1">
        <w:r w:rsidR="009F3ED8" w:rsidRPr="009F3ED8">
          <w:t>2.</w:t>
        </w:r>
        <w:r w:rsidR="009F3ED8" w:rsidRPr="009F3ED8">
          <w:tab/>
          <w:t>The economic and budgetary impact of population ageing</w:t>
        </w:r>
        <w:r w:rsidR="009F3ED8" w:rsidRPr="009F3ED8">
          <w:rPr>
            <w:webHidden/>
          </w:rPr>
          <w:tab/>
          <w:t>3</w:t>
        </w:r>
      </w:hyperlink>
    </w:p>
    <w:p w14:paraId="7FBA5A38" w14:textId="77777777" w:rsidR="009F3ED8" w:rsidRPr="009F3ED8" w:rsidRDefault="002F4485">
      <w:pPr>
        <w:pStyle w:val="Sadraj1"/>
      </w:pPr>
      <w:hyperlink w:anchor="_Toc511664411" w:history="1">
        <w:r w:rsidR="009F3ED8" w:rsidRPr="009F3ED8">
          <w:t>Part I:</w:t>
        </w:r>
        <w:r w:rsidR="009F3ED8" w:rsidRPr="009F3ED8">
          <w:tab/>
          <w:t>Underlying demographic and macroeconomic assumptions</w:t>
        </w:r>
        <w:r w:rsidR="009F3ED8" w:rsidRPr="009F3ED8">
          <w:rPr>
            <w:webHidden/>
          </w:rPr>
          <w:tab/>
          <w:t>15</w:t>
        </w:r>
      </w:hyperlink>
    </w:p>
    <w:p w14:paraId="2B2423E3" w14:textId="77777777" w:rsidR="009F3ED8" w:rsidRPr="009F3ED8" w:rsidRDefault="002F4485">
      <w:pPr>
        <w:pStyle w:val="Sadraj2"/>
      </w:pPr>
      <w:hyperlink w:anchor="_Toc511664412" w:history="1">
        <w:r w:rsidR="009F3ED8" w:rsidRPr="009F3ED8">
          <w:t>1.</w:t>
        </w:r>
        <w:r w:rsidR="009F3ED8" w:rsidRPr="009F3ED8">
          <w:tab/>
          <w:t>Demographic assumptions</w:t>
        </w:r>
        <w:r w:rsidR="009F3ED8" w:rsidRPr="009F3ED8">
          <w:rPr>
            <w:webHidden/>
          </w:rPr>
          <w:tab/>
          <w:t>16</w:t>
        </w:r>
      </w:hyperlink>
    </w:p>
    <w:p w14:paraId="24817397" w14:textId="77777777" w:rsidR="009F3ED8" w:rsidRPr="009F3ED8" w:rsidRDefault="002F4485">
      <w:pPr>
        <w:pStyle w:val="Sadraj3"/>
      </w:pPr>
      <w:hyperlink w:anchor="_Toc511664413" w:history="1">
        <w:r w:rsidR="009F3ED8" w:rsidRPr="009F3ED8">
          <w:t>1.1.</w:t>
        </w:r>
        <w:r w:rsidR="009F3ED8" w:rsidRPr="009F3ED8">
          <w:tab/>
          <w:t>Population projectionS</w:t>
        </w:r>
        <w:r w:rsidR="009F3ED8" w:rsidRPr="009F3ED8">
          <w:rPr>
            <w:webHidden/>
          </w:rPr>
          <w:tab/>
          <w:t>16</w:t>
        </w:r>
      </w:hyperlink>
    </w:p>
    <w:p w14:paraId="153C1D35" w14:textId="77777777" w:rsidR="009F3ED8" w:rsidRPr="009F3ED8" w:rsidRDefault="002F4485">
      <w:pPr>
        <w:pStyle w:val="Sadraj2"/>
      </w:pPr>
      <w:hyperlink w:anchor="_Toc511664414" w:history="1">
        <w:r w:rsidR="009F3ED8" w:rsidRPr="009F3ED8">
          <w:t>2.</w:t>
        </w:r>
        <w:r w:rsidR="009F3ED8" w:rsidRPr="009F3ED8">
          <w:tab/>
          <w:t>Macroeconomic assumptions</w:t>
        </w:r>
        <w:r w:rsidR="009F3ED8" w:rsidRPr="009F3ED8">
          <w:rPr>
            <w:webHidden/>
          </w:rPr>
          <w:tab/>
          <w:t>29</w:t>
        </w:r>
      </w:hyperlink>
    </w:p>
    <w:p w14:paraId="3E393A51" w14:textId="77777777" w:rsidR="009F3ED8" w:rsidRPr="009F3ED8" w:rsidRDefault="002F4485">
      <w:pPr>
        <w:pStyle w:val="Sadraj3"/>
      </w:pPr>
      <w:hyperlink w:anchor="_Toc511664415" w:history="1">
        <w:r w:rsidR="009F3ED8" w:rsidRPr="009F3ED8">
          <w:t>2.1.</w:t>
        </w:r>
        <w:r w:rsidR="009F3ED8" w:rsidRPr="009F3ED8">
          <w:tab/>
          <w:t>Background</w:t>
        </w:r>
        <w:r w:rsidR="009F3ED8" w:rsidRPr="009F3ED8">
          <w:rPr>
            <w:webHidden/>
          </w:rPr>
          <w:tab/>
          <w:t>29</w:t>
        </w:r>
      </w:hyperlink>
    </w:p>
    <w:p w14:paraId="347F1AE1" w14:textId="77777777" w:rsidR="009F3ED8" w:rsidRPr="009F3ED8" w:rsidRDefault="002F4485">
      <w:pPr>
        <w:pStyle w:val="Sadraj3"/>
      </w:pPr>
      <w:hyperlink w:anchor="_Toc511664416" w:history="1">
        <w:r w:rsidR="009F3ED8" w:rsidRPr="009F3ED8">
          <w:t>2.2.</w:t>
        </w:r>
        <w:r w:rsidR="009F3ED8" w:rsidRPr="009F3ED8">
          <w:tab/>
          <w:t>Labour force projections</w:t>
        </w:r>
        <w:r w:rsidR="009F3ED8" w:rsidRPr="009F3ED8">
          <w:rPr>
            <w:webHidden/>
          </w:rPr>
          <w:tab/>
          <w:t>29</w:t>
        </w:r>
      </w:hyperlink>
    </w:p>
    <w:p w14:paraId="0B370155" w14:textId="77777777" w:rsidR="009F3ED8" w:rsidRPr="009F3ED8" w:rsidRDefault="002F4485">
      <w:pPr>
        <w:pStyle w:val="Sadraj3"/>
      </w:pPr>
      <w:hyperlink w:anchor="_Toc511664417" w:history="1">
        <w:r w:rsidR="009F3ED8" w:rsidRPr="009F3ED8">
          <w:t>2.3.</w:t>
        </w:r>
        <w:r w:rsidR="009F3ED8" w:rsidRPr="009F3ED8">
          <w:tab/>
          <w:t>Projections of labour productivity and gdp</w:t>
        </w:r>
        <w:r w:rsidR="009F3ED8" w:rsidRPr="009F3ED8">
          <w:rPr>
            <w:webHidden/>
          </w:rPr>
          <w:tab/>
          <w:t>39</w:t>
        </w:r>
      </w:hyperlink>
    </w:p>
    <w:p w14:paraId="583ADA51" w14:textId="77777777" w:rsidR="009F3ED8" w:rsidRPr="009F3ED8" w:rsidRDefault="002F4485">
      <w:pPr>
        <w:pStyle w:val="Sadraj3"/>
      </w:pPr>
      <w:hyperlink w:anchor="_Toc511664418" w:history="1">
        <w:r w:rsidR="009F3ED8" w:rsidRPr="009F3ED8">
          <w:t>2.4.</w:t>
        </w:r>
        <w:r w:rsidR="009F3ED8" w:rsidRPr="009F3ED8">
          <w:tab/>
          <w:t>Comparison with the 2015 Ageing Report</w:t>
        </w:r>
        <w:r w:rsidR="009F3ED8" w:rsidRPr="009F3ED8">
          <w:rPr>
            <w:webHidden/>
          </w:rPr>
          <w:tab/>
          <w:t>42</w:t>
        </w:r>
      </w:hyperlink>
    </w:p>
    <w:p w14:paraId="64D6375B" w14:textId="77777777" w:rsidR="009F3ED8" w:rsidRPr="009F3ED8" w:rsidRDefault="002F4485">
      <w:pPr>
        <w:pStyle w:val="Sadraj2"/>
      </w:pPr>
      <w:hyperlink w:anchor="_Toc511664419" w:history="1">
        <w:r w:rsidR="009F3ED8" w:rsidRPr="009F3ED8">
          <w:t>3.</w:t>
        </w:r>
        <w:r w:rsidR="009F3ED8" w:rsidRPr="009F3ED8">
          <w:tab/>
          <w:t>Sensitivity tests</w:t>
        </w:r>
        <w:r w:rsidR="009F3ED8" w:rsidRPr="009F3ED8">
          <w:rPr>
            <w:webHidden/>
          </w:rPr>
          <w:tab/>
          <w:t>46</w:t>
        </w:r>
      </w:hyperlink>
    </w:p>
    <w:p w14:paraId="09168769" w14:textId="77777777" w:rsidR="009F3ED8" w:rsidRPr="009F3ED8" w:rsidRDefault="002F4485">
      <w:pPr>
        <w:pStyle w:val="Sadraj3"/>
      </w:pPr>
      <w:hyperlink w:anchor="_Toc511664420" w:history="1">
        <w:r w:rsidR="009F3ED8" w:rsidRPr="009F3ED8">
          <w:t>3.1.</w:t>
        </w:r>
        <w:r w:rsidR="009F3ED8" w:rsidRPr="009F3ED8">
          <w:tab/>
          <w:t>Overview of the sensitivity tests and alternative scenarios</w:t>
        </w:r>
        <w:r w:rsidR="009F3ED8" w:rsidRPr="009F3ED8">
          <w:rPr>
            <w:webHidden/>
          </w:rPr>
          <w:tab/>
          <w:t>46</w:t>
        </w:r>
      </w:hyperlink>
    </w:p>
    <w:p w14:paraId="40558975" w14:textId="77777777" w:rsidR="009F3ED8" w:rsidRPr="009F3ED8" w:rsidRDefault="002F4485">
      <w:pPr>
        <w:pStyle w:val="Sadraj3"/>
      </w:pPr>
      <w:hyperlink w:anchor="_Toc511664421" w:history="1">
        <w:r w:rsidR="009F3ED8" w:rsidRPr="009F3ED8">
          <w:t>3.2.</w:t>
        </w:r>
        <w:r w:rsidR="009F3ED8" w:rsidRPr="009F3ED8">
          <w:tab/>
          <w:t>Potential GDP Projection results</w:t>
        </w:r>
        <w:r w:rsidR="009F3ED8" w:rsidRPr="009F3ED8">
          <w:rPr>
            <w:webHidden/>
          </w:rPr>
          <w:tab/>
          <w:t>47</w:t>
        </w:r>
      </w:hyperlink>
    </w:p>
    <w:p w14:paraId="2C871DD4" w14:textId="77777777" w:rsidR="009F3ED8" w:rsidRPr="009F3ED8" w:rsidRDefault="002F4485">
      <w:pPr>
        <w:pStyle w:val="Sadraj1"/>
      </w:pPr>
      <w:hyperlink w:anchor="_Toc511664422" w:history="1">
        <w:r w:rsidR="009F3ED8" w:rsidRPr="009F3ED8">
          <w:t>Part II:</w:t>
        </w:r>
        <w:r w:rsidR="009F3ED8" w:rsidRPr="009F3ED8">
          <w:tab/>
          <w:t>Long-term projections of age-related expenditure and unemployment benefits</w:t>
        </w:r>
        <w:r w:rsidR="009F3ED8" w:rsidRPr="009F3ED8">
          <w:rPr>
            <w:webHidden/>
          </w:rPr>
          <w:tab/>
          <w:t>49</w:t>
        </w:r>
      </w:hyperlink>
    </w:p>
    <w:p w14:paraId="56901D10" w14:textId="77777777" w:rsidR="009F3ED8" w:rsidRPr="009F3ED8" w:rsidRDefault="002F4485">
      <w:pPr>
        <w:pStyle w:val="Sadraj2"/>
      </w:pPr>
      <w:hyperlink w:anchor="_Toc511664423" w:history="1">
        <w:r w:rsidR="009F3ED8" w:rsidRPr="009F3ED8">
          <w:t>1.</w:t>
        </w:r>
        <w:r w:rsidR="009F3ED8" w:rsidRPr="009F3ED8">
          <w:tab/>
          <w:t>Pensions</w:t>
        </w:r>
        <w:r w:rsidR="009F3ED8" w:rsidRPr="009F3ED8">
          <w:rPr>
            <w:webHidden/>
          </w:rPr>
          <w:tab/>
          <w:t>50</w:t>
        </w:r>
      </w:hyperlink>
    </w:p>
    <w:p w14:paraId="71B7E0DA" w14:textId="77777777" w:rsidR="009F3ED8" w:rsidRPr="009F3ED8" w:rsidRDefault="002F4485">
      <w:pPr>
        <w:pStyle w:val="Sadraj3"/>
      </w:pPr>
      <w:hyperlink w:anchor="_Toc511664424" w:history="1">
        <w:r w:rsidR="009F3ED8" w:rsidRPr="009F3ED8">
          <w:t>1.1.</w:t>
        </w:r>
        <w:r w:rsidR="009F3ED8" w:rsidRPr="009F3ED8">
          <w:tab/>
          <w:t>Introduction</w:t>
        </w:r>
        <w:r w:rsidR="009F3ED8" w:rsidRPr="009F3ED8">
          <w:rPr>
            <w:webHidden/>
          </w:rPr>
          <w:tab/>
          <w:t>50</w:t>
        </w:r>
      </w:hyperlink>
    </w:p>
    <w:p w14:paraId="3639F692" w14:textId="77777777" w:rsidR="009F3ED8" w:rsidRPr="009F3ED8" w:rsidRDefault="002F4485">
      <w:pPr>
        <w:pStyle w:val="Sadraj3"/>
      </w:pPr>
      <w:hyperlink w:anchor="_Toc511664425" w:history="1">
        <w:r w:rsidR="009F3ED8" w:rsidRPr="009F3ED8">
          <w:t>1.2.</w:t>
        </w:r>
        <w:r w:rsidR="009F3ED8" w:rsidRPr="009F3ED8">
          <w:tab/>
          <w:t>Taxonomy of main pension schemes in EU countries </w:t>
        </w:r>
        <w:r w:rsidR="009F3ED8" w:rsidRPr="009F3ED8">
          <w:rPr>
            <w:webHidden/>
          </w:rPr>
          <w:tab/>
          <w:t>50</w:t>
        </w:r>
      </w:hyperlink>
    </w:p>
    <w:p w14:paraId="68B4FDC0" w14:textId="77777777" w:rsidR="009F3ED8" w:rsidRPr="009F3ED8" w:rsidRDefault="002F4485">
      <w:pPr>
        <w:pStyle w:val="Sadraj3"/>
      </w:pPr>
      <w:hyperlink w:anchor="_Toc511664426" w:history="1">
        <w:r w:rsidR="009F3ED8" w:rsidRPr="009F3ED8">
          <w:t>1.3.</w:t>
        </w:r>
        <w:r w:rsidR="009F3ED8" w:rsidRPr="009F3ED8">
          <w:tab/>
          <w:t>Coverage of pension projections</w:t>
        </w:r>
        <w:r w:rsidR="009F3ED8" w:rsidRPr="009F3ED8">
          <w:rPr>
            <w:webHidden/>
          </w:rPr>
          <w:tab/>
          <w:t>52</w:t>
        </w:r>
      </w:hyperlink>
    </w:p>
    <w:p w14:paraId="0277B03B" w14:textId="77777777" w:rsidR="009F3ED8" w:rsidRPr="009F3ED8" w:rsidRDefault="002F4485">
      <w:pPr>
        <w:pStyle w:val="Sadraj3"/>
      </w:pPr>
      <w:hyperlink w:anchor="_Toc511664427" w:history="1">
        <w:r w:rsidR="009F3ED8" w:rsidRPr="009F3ED8">
          <w:t>1.4.</w:t>
        </w:r>
        <w:r w:rsidR="009F3ED8" w:rsidRPr="009F3ED8">
          <w:tab/>
          <w:t>Features of pension systems in the EU</w:t>
        </w:r>
        <w:r w:rsidR="009F3ED8" w:rsidRPr="009F3ED8">
          <w:rPr>
            <w:webHidden/>
          </w:rPr>
          <w:tab/>
          <w:t>52</w:t>
        </w:r>
      </w:hyperlink>
    </w:p>
    <w:p w14:paraId="44B0761D" w14:textId="77777777" w:rsidR="009F3ED8" w:rsidRPr="009F3ED8" w:rsidRDefault="002F4485">
      <w:pPr>
        <w:pStyle w:val="Sadraj3"/>
      </w:pPr>
      <w:hyperlink w:anchor="_Toc511664428" w:history="1">
        <w:r w:rsidR="009F3ED8" w:rsidRPr="009F3ED8">
          <w:t>1.5.</w:t>
        </w:r>
        <w:r w:rsidR="009F3ED8" w:rsidRPr="009F3ED8">
          <w:tab/>
          <w:t>Pension expenditure projections</w:t>
        </w:r>
        <w:r w:rsidR="009F3ED8" w:rsidRPr="009F3ED8">
          <w:rPr>
            <w:webHidden/>
          </w:rPr>
          <w:tab/>
          <w:t>67</w:t>
        </w:r>
      </w:hyperlink>
    </w:p>
    <w:p w14:paraId="40B01699" w14:textId="77777777" w:rsidR="009F3ED8" w:rsidRPr="009F3ED8" w:rsidRDefault="002F4485">
      <w:pPr>
        <w:pStyle w:val="Sadraj3"/>
      </w:pPr>
      <w:hyperlink w:anchor="_Toc511664429" w:history="1">
        <w:r w:rsidR="009F3ED8" w:rsidRPr="009F3ED8">
          <w:t>1.6.</w:t>
        </w:r>
        <w:r w:rsidR="009F3ED8" w:rsidRPr="009F3ED8">
          <w:tab/>
          <w:t>Drivers of pension expenditure</w:t>
        </w:r>
        <w:r w:rsidR="009F3ED8" w:rsidRPr="009F3ED8">
          <w:rPr>
            <w:webHidden/>
          </w:rPr>
          <w:tab/>
          <w:t>77</w:t>
        </w:r>
      </w:hyperlink>
    </w:p>
    <w:p w14:paraId="3E5FB0D1" w14:textId="77777777" w:rsidR="009F3ED8" w:rsidRPr="009F3ED8" w:rsidRDefault="002F4485">
      <w:pPr>
        <w:pStyle w:val="Sadraj3"/>
      </w:pPr>
      <w:hyperlink w:anchor="_Toc511664430" w:history="1">
        <w:r w:rsidR="009F3ED8" w:rsidRPr="009F3ED8">
          <w:t>1.7.</w:t>
        </w:r>
        <w:r w:rsidR="009F3ED8" w:rsidRPr="009F3ED8">
          <w:tab/>
          <w:t>Disaggregation of new pensions</w:t>
        </w:r>
        <w:r w:rsidR="009F3ED8" w:rsidRPr="009F3ED8">
          <w:rPr>
            <w:webHidden/>
          </w:rPr>
          <w:tab/>
          <w:t>87</w:t>
        </w:r>
      </w:hyperlink>
    </w:p>
    <w:p w14:paraId="780F1578" w14:textId="77777777" w:rsidR="009F3ED8" w:rsidRPr="009F3ED8" w:rsidRDefault="002F4485">
      <w:pPr>
        <w:pStyle w:val="Sadraj3"/>
      </w:pPr>
      <w:hyperlink w:anchor="_Toc511664431" w:history="1">
        <w:r w:rsidR="009F3ED8" w:rsidRPr="009F3ED8">
          <w:t>1.8.</w:t>
        </w:r>
        <w:r w:rsidR="009F3ED8" w:rsidRPr="009F3ED8">
          <w:tab/>
          <w:t>Sensitivity tests</w:t>
        </w:r>
        <w:r w:rsidR="009F3ED8" w:rsidRPr="009F3ED8">
          <w:rPr>
            <w:webHidden/>
          </w:rPr>
          <w:tab/>
          <w:t>89</w:t>
        </w:r>
      </w:hyperlink>
    </w:p>
    <w:p w14:paraId="75B78ABC" w14:textId="77777777" w:rsidR="009F3ED8" w:rsidRPr="009F3ED8" w:rsidRDefault="002F4485">
      <w:pPr>
        <w:pStyle w:val="Sadraj3"/>
      </w:pPr>
      <w:hyperlink w:anchor="_Toc511664432" w:history="1">
        <w:r w:rsidR="009F3ED8" w:rsidRPr="009F3ED8">
          <w:t>1.9.</w:t>
        </w:r>
        <w:r w:rsidR="009F3ED8" w:rsidRPr="009F3ED8">
          <w:tab/>
          <w:t>Comparison with the 2015 Ageing Report </w:t>
        </w:r>
        <w:r w:rsidR="009F3ED8" w:rsidRPr="009F3ED8">
          <w:rPr>
            <w:webHidden/>
          </w:rPr>
          <w:tab/>
          <w:t>96</w:t>
        </w:r>
      </w:hyperlink>
    </w:p>
    <w:p w14:paraId="1D524F1A" w14:textId="77777777" w:rsidR="009F3ED8" w:rsidRPr="009F3ED8" w:rsidRDefault="002F4485">
      <w:pPr>
        <w:pStyle w:val="Sadraj3"/>
      </w:pPr>
      <w:hyperlink w:anchor="_Toc511664433" w:history="1">
        <w:r w:rsidR="009F3ED8" w:rsidRPr="009F3ED8">
          <w:t>1.10.</w:t>
        </w:r>
        <w:r w:rsidR="009F3ED8" w:rsidRPr="009F3ED8">
          <w:tab/>
          <w:t>Scope for improvement of member states pension projections</w:t>
        </w:r>
        <w:r w:rsidR="009F3ED8" w:rsidRPr="009F3ED8">
          <w:rPr>
            <w:webHidden/>
          </w:rPr>
          <w:tab/>
          <w:t>101</w:t>
        </w:r>
      </w:hyperlink>
    </w:p>
    <w:p w14:paraId="79B15535" w14:textId="77777777" w:rsidR="009F3ED8" w:rsidRPr="009F3ED8" w:rsidRDefault="002F4485">
      <w:pPr>
        <w:pStyle w:val="Sadraj2"/>
      </w:pPr>
      <w:hyperlink w:anchor="_Toc511664434" w:history="1">
        <w:r w:rsidR="009F3ED8" w:rsidRPr="009F3ED8">
          <w:t>2.</w:t>
        </w:r>
        <w:r w:rsidR="009F3ED8" w:rsidRPr="009F3ED8">
          <w:tab/>
          <w:t>Health care expenditure</w:t>
        </w:r>
        <w:r w:rsidR="009F3ED8" w:rsidRPr="009F3ED8">
          <w:rPr>
            <w:webHidden/>
          </w:rPr>
          <w:tab/>
          <w:t>102</w:t>
        </w:r>
      </w:hyperlink>
    </w:p>
    <w:p w14:paraId="231EDE5F" w14:textId="77777777" w:rsidR="009F3ED8" w:rsidRPr="009F3ED8" w:rsidRDefault="002F4485">
      <w:pPr>
        <w:pStyle w:val="Sadraj3"/>
      </w:pPr>
      <w:hyperlink w:anchor="_Toc511664435" w:history="1">
        <w:r w:rsidR="009F3ED8" w:rsidRPr="009F3ED8">
          <w:t>2.1.</w:t>
        </w:r>
        <w:r w:rsidR="009F3ED8" w:rsidRPr="009F3ED8">
          <w:tab/>
          <w:t>Introduction</w:t>
        </w:r>
        <w:r w:rsidR="009F3ED8" w:rsidRPr="009F3ED8">
          <w:rPr>
            <w:webHidden/>
          </w:rPr>
          <w:tab/>
          <w:t>102</w:t>
        </w:r>
      </w:hyperlink>
    </w:p>
    <w:p w14:paraId="7245AFC3" w14:textId="77777777" w:rsidR="009F3ED8" w:rsidRPr="009F3ED8" w:rsidRDefault="002F4485">
      <w:pPr>
        <w:pStyle w:val="Sadraj3"/>
      </w:pPr>
      <w:hyperlink w:anchor="_Toc511664436" w:history="1">
        <w:r w:rsidR="009F3ED8" w:rsidRPr="009F3ED8">
          <w:t>2.2.</w:t>
        </w:r>
        <w:r w:rsidR="009F3ED8" w:rsidRPr="009F3ED8">
          <w:tab/>
          <w:t>Determinants of health care expenditure</w:t>
        </w:r>
        <w:r w:rsidR="009F3ED8" w:rsidRPr="009F3ED8">
          <w:rPr>
            <w:webHidden/>
          </w:rPr>
          <w:tab/>
          <w:t>102</w:t>
        </w:r>
      </w:hyperlink>
    </w:p>
    <w:p w14:paraId="7674B017" w14:textId="77777777" w:rsidR="009F3ED8" w:rsidRPr="009F3ED8" w:rsidRDefault="002F4485">
      <w:pPr>
        <w:pStyle w:val="Sadraj3"/>
      </w:pPr>
      <w:hyperlink w:anchor="_Toc511664437" w:history="1">
        <w:r w:rsidR="009F3ED8" w:rsidRPr="009F3ED8">
          <w:t>2.3.</w:t>
        </w:r>
        <w:r w:rsidR="009F3ED8" w:rsidRPr="009F3ED8">
          <w:tab/>
          <w:t>Short overview of the projection methodology</w:t>
        </w:r>
        <w:r w:rsidR="009F3ED8" w:rsidRPr="009F3ED8">
          <w:rPr>
            <w:webHidden/>
          </w:rPr>
          <w:tab/>
          <w:t>109</w:t>
        </w:r>
      </w:hyperlink>
    </w:p>
    <w:p w14:paraId="7594640E" w14:textId="77777777" w:rsidR="009F3ED8" w:rsidRPr="009F3ED8" w:rsidRDefault="002F4485">
      <w:pPr>
        <w:pStyle w:val="Sadraj3"/>
      </w:pPr>
      <w:hyperlink w:anchor="_Toc511664438" w:history="1">
        <w:r w:rsidR="009F3ED8" w:rsidRPr="009F3ED8">
          <w:t>2.4.</w:t>
        </w:r>
        <w:r w:rsidR="009F3ED8" w:rsidRPr="009F3ED8">
          <w:tab/>
          <w:t>Projection results</w:t>
        </w:r>
        <w:r w:rsidR="009F3ED8" w:rsidRPr="009F3ED8">
          <w:rPr>
            <w:webHidden/>
          </w:rPr>
          <w:tab/>
          <w:t>117</w:t>
        </w:r>
      </w:hyperlink>
    </w:p>
    <w:p w14:paraId="58CF571C" w14:textId="77777777" w:rsidR="009F3ED8" w:rsidRPr="009F3ED8" w:rsidRDefault="002F4485">
      <w:pPr>
        <w:pStyle w:val="Sadraj3"/>
      </w:pPr>
      <w:hyperlink w:anchor="_Toc511664439" w:history="1">
        <w:r w:rsidR="009F3ED8" w:rsidRPr="009F3ED8">
          <w:t>2.5.</w:t>
        </w:r>
        <w:r w:rsidR="009F3ED8" w:rsidRPr="009F3ED8">
          <w:tab/>
          <w:t>Comparison with the 2015 Ageing Report</w:t>
        </w:r>
        <w:r w:rsidR="009F3ED8" w:rsidRPr="009F3ED8">
          <w:rPr>
            <w:webHidden/>
          </w:rPr>
          <w:tab/>
          <w:t>128</w:t>
        </w:r>
      </w:hyperlink>
    </w:p>
    <w:p w14:paraId="254DA7E9" w14:textId="77777777" w:rsidR="009F3ED8" w:rsidRPr="009F3ED8" w:rsidRDefault="002F4485">
      <w:pPr>
        <w:pStyle w:val="Sadraj3"/>
      </w:pPr>
      <w:hyperlink w:anchor="_Toc511664440" w:history="1">
        <w:r w:rsidR="009F3ED8" w:rsidRPr="009F3ED8">
          <w:t>2.6.</w:t>
        </w:r>
        <w:r w:rsidR="009F3ED8" w:rsidRPr="009F3ED8">
          <w:tab/>
          <w:t>Conclusions</w:t>
        </w:r>
        <w:r w:rsidR="009F3ED8" w:rsidRPr="009F3ED8">
          <w:rPr>
            <w:webHidden/>
          </w:rPr>
          <w:tab/>
          <w:t>130</w:t>
        </w:r>
      </w:hyperlink>
    </w:p>
    <w:p w14:paraId="2F2F6E36" w14:textId="77777777" w:rsidR="009F3ED8" w:rsidRPr="009F3ED8" w:rsidRDefault="002F4485">
      <w:pPr>
        <w:pStyle w:val="Sadraj2"/>
      </w:pPr>
      <w:hyperlink w:anchor="_Toc511664441" w:history="1">
        <w:r w:rsidR="009F3ED8" w:rsidRPr="009F3ED8">
          <w:t>3.</w:t>
        </w:r>
        <w:r w:rsidR="009F3ED8" w:rsidRPr="009F3ED8">
          <w:tab/>
          <w:t>Long term care</w:t>
        </w:r>
        <w:r w:rsidR="009F3ED8" w:rsidRPr="009F3ED8">
          <w:rPr>
            <w:webHidden/>
          </w:rPr>
          <w:tab/>
          <w:t>133</w:t>
        </w:r>
      </w:hyperlink>
    </w:p>
    <w:p w14:paraId="49A3DBEB" w14:textId="77777777" w:rsidR="009F3ED8" w:rsidRPr="009F3ED8" w:rsidRDefault="002F4485">
      <w:pPr>
        <w:pStyle w:val="Sadraj3"/>
      </w:pPr>
      <w:hyperlink w:anchor="_Toc511664442" w:history="1">
        <w:r w:rsidR="009F3ED8" w:rsidRPr="009F3ED8">
          <w:t>3.1.</w:t>
        </w:r>
        <w:r w:rsidR="009F3ED8" w:rsidRPr="009F3ED8">
          <w:tab/>
          <w:t>Introduction</w:t>
        </w:r>
        <w:r w:rsidR="009F3ED8" w:rsidRPr="009F3ED8">
          <w:rPr>
            <w:webHidden/>
          </w:rPr>
          <w:tab/>
          <w:t>133</w:t>
        </w:r>
      </w:hyperlink>
    </w:p>
    <w:p w14:paraId="2E389918" w14:textId="77777777" w:rsidR="009F3ED8" w:rsidRPr="009F3ED8" w:rsidRDefault="002F4485">
      <w:pPr>
        <w:pStyle w:val="Sadraj3"/>
      </w:pPr>
      <w:hyperlink w:anchor="_Toc511664443" w:history="1">
        <w:r w:rsidR="009F3ED8" w:rsidRPr="009F3ED8">
          <w:t>3.2.</w:t>
        </w:r>
        <w:r w:rsidR="009F3ED8" w:rsidRPr="009F3ED8">
          <w:tab/>
          <w:t>Determinants of long-term care expenditure</w:t>
        </w:r>
        <w:r w:rsidR="009F3ED8" w:rsidRPr="009F3ED8">
          <w:rPr>
            <w:webHidden/>
          </w:rPr>
          <w:tab/>
          <w:t>134</w:t>
        </w:r>
      </w:hyperlink>
    </w:p>
    <w:p w14:paraId="4C55F593" w14:textId="77777777" w:rsidR="009F3ED8" w:rsidRPr="009F3ED8" w:rsidRDefault="002F4485">
      <w:pPr>
        <w:pStyle w:val="Sadraj3"/>
      </w:pPr>
      <w:hyperlink w:anchor="_Toc511664444" w:history="1">
        <w:r w:rsidR="009F3ED8" w:rsidRPr="009F3ED8">
          <w:t>3.3.</w:t>
        </w:r>
        <w:r w:rsidR="009F3ED8" w:rsidRPr="009F3ED8">
          <w:tab/>
          <w:t>Overview of the projection methodology</w:t>
        </w:r>
        <w:r w:rsidR="009F3ED8" w:rsidRPr="009F3ED8">
          <w:rPr>
            <w:webHidden/>
          </w:rPr>
          <w:tab/>
          <w:t>140</w:t>
        </w:r>
      </w:hyperlink>
    </w:p>
    <w:p w14:paraId="18BAE9A9" w14:textId="77777777" w:rsidR="009F3ED8" w:rsidRPr="009F3ED8" w:rsidRDefault="002F4485">
      <w:pPr>
        <w:pStyle w:val="Sadraj3"/>
      </w:pPr>
      <w:hyperlink w:anchor="_Toc511664445" w:history="1">
        <w:r w:rsidR="009F3ED8" w:rsidRPr="009F3ED8">
          <w:t>3.4.</w:t>
        </w:r>
        <w:r w:rsidR="009F3ED8" w:rsidRPr="009F3ED8">
          <w:tab/>
          <w:t>Projection results</w:t>
        </w:r>
        <w:r w:rsidR="009F3ED8" w:rsidRPr="009F3ED8">
          <w:rPr>
            <w:webHidden/>
          </w:rPr>
          <w:tab/>
          <w:t>144</w:t>
        </w:r>
      </w:hyperlink>
    </w:p>
    <w:p w14:paraId="55A2C964" w14:textId="77777777" w:rsidR="009F3ED8" w:rsidRPr="009F3ED8" w:rsidRDefault="002F4485">
      <w:pPr>
        <w:pStyle w:val="Sadraj3"/>
      </w:pPr>
      <w:hyperlink w:anchor="_Toc511664446" w:history="1">
        <w:r w:rsidR="009F3ED8" w:rsidRPr="009F3ED8">
          <w:t>3.5.</w:t>
        </w:r>
        <w:r w:rsidR="009F3ED8" w:rsidRPr="009F3ED8">
          <w:tab/>
          <w:t>Comparison with the 2015 Ageing Report</w:t>
        </w:r>
        <w:r w:rsidR="009F3ED8" w:rsidRPr="009F3ED8">
          <w:rPr>
            <w:webHidden/>
          </w:rPr>
          <w:tab/>
          <w:t>154</w:t>
        </w:r>
      </w:hyperlink>
    </w:p>
    <w:p w14:paraId="6114E8BA" w14:textId="77777777" w:rsidR="009F3ED8" w:rsidRPr="009F3ED8" w:rsidRDefault="002F4485">
      <w:pPr>
        <w:pStyle w:val="Sadraj3"/>
      </w:pPr>
      <w:hyperlink w:anchor="_Toc511664447" w:history="1">
        <w:r w:rsidR="009F3ED8" w:rsidRPr="009F3ED8">
          <w:t>3.6.</w:t>
        </w:r>
        <w:r w:rsidR="009F3ED8" w:rsidRPr="009F3ED8">
          <w:tab/>
          <w:t>Conclusions</w:t>
        </w:r>
        <w:r w:rsidR="009F3ED8" w:rsidRPr="009F3ED8">
          <w:rPr>
            <w:webHidden/>
          </w:rPr>
          <w:tab/>
          <w:t>157</w:t>
        </w:r>
      </w:hyperlink>
    </w:p>
    <w:p w14:paraId="7A311AE2" w14:textId="77777777" w:rsidR="009F3ED8" w:rsidRPr="009F3ED8" w:rsidRDefault="002F4485">
      <w:pPr>
        <w:pStyle w:val="Sadraj2"/>
      </w:pPr>
      <w:hyperlink w:anchor="_Toc511664448" w:history="1">
        <w:r w:rsidR="009F3ED8" w:rsidRPr="009F3ED8">
          <w:t>4.</w:t>
        </w:r>
        <w:r w:rsidR="009F3ED8" w:rsidRPr="009F3ED8">
          <w:tab/>
          <w:t>Education</w:t>
        </w:r>
        <w:r w:rsidR="009F3ED8" w:rsidRPr="009F3ED8">
          <w:rPr>
            <w:webHidden/>
          </w:rPr>
          <w:tab/>
          <w:t>160</w:t>
        </w:r>
      </w:hyperlink>
    </w:p>
    <w:p w14:paraId="48E13ED8" w14:textId="77777777" w:rsidR="009F3ED8" w:rsidRPr="009F3ED8" w:rsidRDefault="002F4485">
      <w:pPr>
        <w:pStyle w:val="Sadraj3"/>
      </w:pPr>
      <w:hyperlink w:anchor="_Toc511664449" w:history="1">
        <w:r w:rsidR="009F3ED8" w:rsidRPr="009F3ED8">
          <w:t>4.1.</w:t>
        </w:r>
        <w:r w:rsidR="009F3ED8" w:rsidRPr="009F3ED8">
          <w:tab/>
          <w:t>Introduction</w:t>
        </w:r>
        <w:r w:rsidR="009F3ED8" w:rsidRPr="009F3ED8">
          <w:rPr>
            <w:webHidden/>
          </w:rPr>
          <w:tab/>
          <w:t>160</w:t>
        </w:r>
      </w:hyperlink>
    </w:p>
    <w:p w14:paraId="0434D04B" w14:textId="77777777" w:rsidR="009F3ED8" w:rsidRPr="009F3ED8" w:rsidRDefault="002F4485">
      <w:pPr>
        <w:pStyle w:val="Sadraj3"/>
      </w:pPr>
      <w:hyperlink w:anchor="_Toc511664450" w:history="1">
        <w:r w:rsidR="009F3ED8" w:rsidRPr="009F3ED8">
          <w:t>4.2.</w:t>
        </w:r>
        <w:r w:rsidR="009F3ED8" w:rsidRPr="009F3ED8">
          <w:tab/>
          <w:t>General characteristics of national education systems</w:t>
        </w:r>
        <w:r w:rsidR="009F3ED8" w:rsidRPr="009F3ED8">
          <w:rPr>
            <w:webHidden/>
          </w:rPr>
          <w:tab/>
          <w:t>160</w:t>
        </w:r>
      </w:hyperlink>
    </w:p>
    <w:p w14:paraId="79278F54" w14:textId="77777777" w:rsidR="009F3ED8" w:rsidRPr="009F3ED8" w:rsidRDefault="002F4485">
      <w:pPr>
        <w:pStyle w:val="Sadraj3"/>
      </w:pPr>
      <w:hyperlink w:anchor="_Toc511664451" w:history="1">
        <w:r w:rsidR="009F3ED8" w:rsidRPr="009F3ED8">
          <w:t>4.3.</w:t>
        </w:r>
        <w:r w:rsidR="009F3ED8" w:rsidRPr="009F3ED8">
          <w:tab/>
          <w:t>Projection results</w:t>
        </w:r>
        <w:r w:rsidR="009F3ED8" w:rsidRPr="009F3ED8">
          <w:rPr>
            <w:webHidden/>
          </w:rPr>
          <w:tab/>
          <w:t>163</w:t>
        </w:r>
      </w:hyperlink>
    </w:p>
    <w:p w14:paraId="7DB291A8" w14:textId="77777777" w:rsidR="009F3ED8" w:rsidRPr="009F3ED8" w:rsidRDefault="002F4485">
      <w:pPr>
        <w:pStyle w:val="Sadraj3"/>
      </w:pPr>
      <w:hyperlink w:anchor="_Toc511664452" w:history="1">
        <w:r w:rsidR="009F3ED8" w:rsidRPr="009F3ED8">
          <w:t>4.4.</w:t>
        </w:r>
        <w:r w:rsidR="009F3ED8" w:rsidRPr="009F3ED8">
          <w:tab/>
          <w:t>Sensitivity tests</w:t>
        </w:r>
        <w:r w:rsidR="009F3ED8" w:rsidRPr="009F3ED8">
          <w:rPr>
            <w:webHidden/>
          </w:rPr>
          <w:tab/>
          <w:t>168</w:t>
        </w:r>
      </w:hyperlink>
    </w:p>
    <w:p w14:paraId="468ADBE2" w14:textId="77777777" w:rsidR="009F3ED8" w:rsidRPr="009F3ED8" w:rsidRDefault="002F4485">
      <w:pPr>
        <w:pStyle w:val="Sadraj2"/>
      </w:pPr>
      <w:hyperlink w:anchor="_Toc511664453" w:history="1">
        <w:r w:rsidR="009F3ED8" w:rsidRPr="009F3ED8">
          <w:t>5.</w:t>
        </w:r>
        <w:r w:rsidR="009F3ED8" w:rsidRPr="009F3ED8">
          <w:tab/>
          <w:t>Unemployment benefit expenditure</w:t>
        </w:r>
        <w:r w:rsidR="009F3ED8" w:rsidRPr="009F3ED8">
          <w:rPr>
            <w:webHidden/>
          </w:rPr>
          <w:tab/>
          <w:t>171</w:t>
        </w:r>
      </w:hyperlink>
    </w:p>
    <w:p w14:paraId="58223EB3" w14:textId="77777777" w:rsidR="009F3ED8" w:rsidRPr="009F3ED8" w:rsidRDefault="002F4485">
      <w:pPr>
        <w:pStyle w:val="Sadraj3"/>
      </w:pPr>
      <w:hyperlink w:anchor="_Toc511664454" w:history="1">
        <w:r w:rsidR="009F3ED8" w:rsidRPr="009F3ED8">
          <w:t>5.1.</w:t>
        </w:r>
        <w:r w:rsidR="009F3ED8" w:rsidRPr="009F3ED8">
          <w:tab/>
          <w:t>Introduction</w:t>
        </w:r>
        <w:r w:rsidR="009F3ED8" w:rsidRPr="009F3ED8">
          <w:rPr>
            <w:webHidden/>
          </w:rPr>
          <w:tab/>
          <w:t>171</w:t>
        </w:r>
      </w:hyperlink>
    </w:p>
    <w:p w14:paraId="34CC2B73" w14:textId="77777777" w:rsidR="009F3ED8" w:rsidRPr="009F3ED8" w:rsidRDefault="002F4485">
      <w:pPr>
        <w:pStyle w:val="Sadraj3"/>
      </w:pPr>
      <w:hyperlink w:anchor="_Toc511664455" w:history="1">
        <w:r w:rsidR="009F3ED8" w:rsidRPr="009F3ED8">
          <w:t>5.2.</w:t>
        </w:r>
        <w:r w:rsidR="009F3ED8" w:rsidRPr="009F3ED8">
          <w:tab/>
          <w:t>The input data</w:t>
        </w:r>
        <w:r w:rsidR="009F3ED8" w:rsidRPr="009F3ED8">
          <w:rPr>
            <w:webHidden/>
          </w:rPr>
          <w:tab/>
          <w:t>171</w:t>
        </w:r>
      </w:hyperlink>
    </w:p>
    <w:p w14:paraId="17ABAD20" w14:textId="77777777" w:rsidR="009F3ED8" w:rsidRPr="009F3ED8" w:rsidRDefault="002F4485">
      <w:pPr>
        <w:pStyle w:val="Sadraj3"/>
      </w:pPr>
      <w:hyperlink w:anchor="_Toc511664456" w:history="1">
        <w:r w:rsidR="009F3ED8" w:rsidRPr="009F3ED8">
          <w:t>5.3.</w:t>
        </w:r>
        <w:r w:rsidR="009F3ED8" w:rsidRPr="009F3ED8">
          <w:tab/>
          <w:t>Unemployment benefit expenditure: baseline  projections</w:t>
        </w:r>
        <w:r w:rsidR="009F3ED8" w:rsidRPr="009F3ED8">
          <w:rPr>
            <w:webHidden/>
          </w:rPr>
          <w:tab/>
          <w:t>173</w:t>
        </w:r>
      </w:hyperlink>
    </w:p>
    <w:p w14:paraId="301D7001" w14:textId="77777777" w:rsidR="009F3ED8" w:rsidRPr="009F3ED8" w:rsidRDefault="002F4485">
      <w:pPr>
        <w:pStyle w:val="Sadraj3"/>
      </w:pPr>
      <w:hyperlink w:anchor="_Toc511664457" w:history="1">
        <w:r w:rsidR="009F3ED8" w:rsidRPr="009F3ED8">
          <w:t>5.4.</w:t>
        </w:r>
        <w:r w:rsidR="009F3ED8" w:rsidRPr="009F3ED8">
          <w:tab/>
          <w:t>Demographic and macro-economic risk scenarios</w:t>
        </w:r>
        <w:r w:rsidR="009F3ED8" w:rsidRPr="009F3ED8">
          <w:rPr>
            <w:webHidden/>
          </w:rPr>
          <w:tab/>
          <w:t>173</w:t>
        </w:r>
      </w:hyperlink>
    </w:p>
    <w:p w14:paraId="745EA5DC" w14:textId="77777777" w:rsidR="009F3ED8" w:rsidRPr="009F3ED8" w:rsidRDefault="002F4485">
      <w:pPr>
        <w:pStyle w:val="Sadraj3"/>
      </w:pPr>
      <w:hyperlink w:anchor="_Toc511664458" w:history="1">
        <w:r w:rsidR="009F3ED8" w:rsidRPr="009F3ED8">
          <w:t>5.5.</w:t>
        </w:r>
        <w:r w:rsidR="009F3ED8" w:rsidRPr="009F3ED8">
          <w:tab/>
          <w:t>Comparison with the 2015 Ageing Report</w:t>
        </w:r>
        <w:r w:rsidR="009F3ED8" w:rsidRPr="009F3ED8">
          <w:rPr>
            <w:webHidden/>
          </w:rPr>
          <w:tab/>
          <w:t>173</w:t>
        </w:r>
      </w:hyperlink>
    </w:p>
    <w:p w14:paraId="6E0DDE68" w14:textId="77777777" w:rsidR="009F3ED8" w:rsidRPr="009F3ED8" w:rsidRDefault="002F4485">
      <w:pPr>
        <w:pStyle w:val="Sadraj2"/>
      </w:pPr>
      <w:hyperlink w:anchor="_Toc511664459" w:history="1">
        <w:r w:rsidR="009F3ED8" w:rsidRPr="009F3ED8">
          <w:t>Annexes</w:t>
        </w:r>
        <w:r w:rsidR="009F3ED8" w:rsidRPr="009F3ED8">
          <w:rPr>
            <w:webHidden/>
          </w:rPr>
          <w:tab/>
          <w:t>175</w:t>
        </w:r>
      </w:hyperlink>
    </w:p>
    <w:p w14:paraId="251A34CB" w14:textId="77777777" w:rsidR="009F3ED8" w:rsidRPr="009F3ED8" w:rsidRDefault="002F4485">
      <w:pPr>
        <w:pStyle w:val="Sadraj2"/>
      </w:pPr>
      <w:hyperlink w:anchor="_Toc511664460" w:history="1">
        <w:r w:rsidR="009F3ED8" w:rsidRPr="009F3ED8">
          <w:t>AI.</w:t>
        </w:r>
        <w:r w:rsidR="009F3ED8" w:rsidRPr="009F3ED8">
          <w:tab/>
          <w:t>Pension questionnaire</w:t>
        </w:r>
        <w:r w:rsidR="009F3ED8" w:rsidRPr="009F3ED8">
          <w:rPr>
            <w:webHidden/>
          </w:rPr>
          <w:tab/>
          <w:t>175</w:t>
        </w:r>
      </w:hyperlink>
    </w:p>
    <w:p w14:paraId="796810B5" w14:textId="77777777" w:rsidR="009F3ED8" w:rsidRPr="009F3ED8" w:rsidRDefault="002F4485">
      <w:pPr>
        <w:pStyle w:val="Sadraj2"/>
      </w:pPr>
      <w:hyperlink w:anchor="_Toc511664461" w:history="1">
        <w:r w:rsidR="009F3ED8" w:rsidRPr="009F3ED8">
          <w:t>AII.</w:t>
        </w:r>
        <w:r w:rsidR="009F3ED8" w:rsidRPr="009F3ED8">
          <w:tab/>
          <w:t>Additional information on pension systems and projections</w:t>
        </w:r>
        <w:r w:rsidR="009F3ED8" w:rsidRPr="009F3ED8">
          <w:rPr>
            <w:webHidden/>
          </w:rPr>
          <w:tab/>
          <w:t>179</w:t>
        </w:r>
      </w:hyperlink>
    </w:p>
    <w:p w14:paraId="2855DC1A" w14:textId="77777777" w:rsidR="009F3ED8" w:rsidRPr="009F3ED8" w:rsidRDefault="002F4485">
      <w:pPr>
        <w:pStyle w:val="Sadraj2"/>
      </w:pPr>
      <w:hyperlink w:anchor="_Toc511664462" w:history="1">
        <w:r w:rsidR="009F3ED8" w:rsidRPr="009F3ED8">
          <w:t>AIII.</w:t>
        </w:r>
        <w:r w:rsidR="009F3ED8" w:rsidRPr="009F3ED8">
          <w:tab/>
          <w:t>Input data used to project health care expenditure</w:t>
        </w:r>
        <w:r w:rsidR="009F3ED8" w:rsidRPr="009F3ED8">
          <w:rPr>
            <w:webHidden/>
          </w:rPr>
          <w:tab/>
          <w:t>185</w:t>
        </w:r>
      </w:hyperlink>
    </w:p>
    <w:p w14:paraId="00E99E1A" w14:textId="77777777" w:rsidR="009F3ED8" w:rsidRPr="009F3ED8" w:rsidRDefault="002F4485">
      <w:pPr>
        <w:pStyle w:val="Sadraj2"/>
      </w:pPr>
      <w:hyperlink w:anchor="_Toc511664463" w:history="1">
        <w:r w:rsidR="009F3ED8" w:rsidRPr="009F3ED8">
          <w:t>AIV.</w:t>
        </w:r>
        <w:r w:rsidR="009F3ED8" w:rsidRPr="009F3ED8">
          <w:tab/>
          <w:t>Input data used and long-term care expenditure</w:t>
        </w:r>
        <w:r w:rsidR="009F3ED8" w:rsidRPr="009F3ED8">
          <w:rPr>
            <w:webHidden/>
          </w:rPr>
          <w:tab/>
          <w:t>188</w:t>
        </w:r>
      </w:hyperlink>
    </w:p>
    <w:p w14:paraId="1D62F7F5" w14:textId="77777777" w:rsidR="009F3ED8" w:rsidRPr="009F3ED8" w:rsidRDefault="002F4485">
      <w:pPr>
        <w:pStyle w:val="Sadraj2"/>
      </w:pPr>
      <w:hyperlink w:anchor="_Toc511664464" w:history="1">
        <w:r w:rsidR="009F3ED8" w:rsidRPr="009F3ED8">
          <w:t>AV.</w:t>
        </w:r>
        <w:r w:rsidR="009F3ED8" w:rsidRPr="009F3ED8">
          <w:tab/>
          <w:t>Input data used to project education expenditure</w:t>
        </w:r>
        <w:r w:rsidR="009F3ED8" w:rsidRPr="009F3ED8">
          <w:rPr>
            <w:webHidden/>
          </w:rPr>
          <w:tab/>
          <w:t>195</w:t>
        </w:r>
      </w:hyperlink>
    </w:p>
    <w:p w14:paraId="78CF216E" w14:textId="77777777" w:rsidR="009F3ED8" w:rsidRPr="009F3ED8" w:rsidRDefault="002F4485">
      <w:pPr>
        <w:pStyle w:val="Sadraj3"/>
      </w:pPr>
      <w:hyperlink w:anchor="_Toc511664465" w:history="1">
        <w:r w:rsidR="009F3ED8" w:rsidRPr="009F3ED8">
          <w:t>AV.1.</w:t>
        </w:r>
        <w:r w:rsidR="009F3ED8" w:rsidRPr="009F3ED8">
          <w:tab/>
          <w:t>METHODOLOGY</w:t>
        </w:r>
        <w:r w:rsidR="009F3ED8" w:rsidRPr="009F3ED8">
          <w:rPr>
            <w:webHidden/>
          </w:rPr>
          <w:tab/>
          <w:t>195</w:t>
        </w:r>
      </w:hyperlink>
    </w:p>
    <w:p w14:paraId="3D4283D7" w14:textId="77777777" w:rsidR="009F3ED8" w:rsidRPr="009F3ED8" w:rsidRDefault="002F4485">
      <w:pPr>
        <w:pStyle w:val="Sadraj3"/>
      </w:pPr>
      <w:hyperlink w:anchor="_Toc511664466" w:history="1">
        <w:r w:rsidR="009F3ED8" w:rsidRPr="009F3ED8">
          <w:t>AV.2.</w:t>
        </w:r>
        <w:r w:rsidR="009F3ED8" w:rsidRPr="009F3ED8">
          <w:tab/>
          <w:t>DATA</w:t>
        </w:r>
        <w:r w:rsidR="009F3ED8" w:rsidRPr="009F3ED8">
          <w:rPr>
            <w:webHidden/>
          </w:rPr>
          <w:tab/>
          <w:t>195</w:t>
        </w:r>
      </w:hyperlink>
    </w:p>
    <w:p w14:paraId="3BC8AF8A" w14:textId="77777777" w:rsidR="009F3ED8" w:rsidRPr="009F3ED8" w:rsidRDefault="002F4485">
      <w:pPr>
        <w:pStyle w:val="Sadraj1"/>
      </w:pPr>
      <w:hyperlink w:anchor="_Toc511664467" w:history="1">
        <w:r w:rsidR="009F3ED8" w:rsidRPr="009F3ED8">
          <w:t>Part III:</w:t>
        </w:r>
        <w:r w:rsidR="009F3ED8" w:rsidRPr="009F3ED8">
          <w:tab/>
          <w:t>Statistical Annex – CROSS-COUNTRY TABLES</w:t>
        </w:r>
        <w:r w:rsidR="009F3ED8" w:rsidRPr="009F3ED8">
          <w:rPr>
            <w:webHidden/>
          </w:rPr>
          <w:tab/>
          <w:t>199</w:t>
        </w:r>
      </w:hyperlink>
    </w:p>
    <w:p w14:paraId="1D031235" w14:textId="77777777" w:rsidR="009F3ED8" w:rsidRPr="009F3ED8" w:rsidRDefault="002F4485">
      <w:pPr>
        <w:pStyle w:val="Sadraj2"/>
      </w:pPr>
      <w:hyperlink w:anchor="_Toc511664468" w:history="1">
        <w:r w:rsidR="009F3ED8" w:rsidRPr="009F3ED8">
          <w:t>1.</w:t>
        </w:r>
        <w:r w:rsidR="009F3ED8" w:rsidRPr="009F3ED8">
          <w:tab/>
          <w:t>Tables</w:t>
        </w:r>
        <w:r w:rsidR="009F3ED8" w:rsidRPr="009F3ED8">
          <w:rPr>
            <w:webHidden/>
          </w:rPr>
          <w:tab/>
          <w:t>200</w:t>
        </w:r>
      </w:hyperlink>
    </w:p>
    <w:p w14:paraId="19DE4343" w14:textId="77777777" w:rsidR="009F3ED8" w:rsidRPr="009F3ED8" w:rsidRDefault="002F4485">
      <w:pPr>
        <w:pStyle w:val="Sadraj1"/>
      </w:pPr>
      <w:hyperlink w:anchor="_Toc511664469" w:history="1">
        <w:r w:rsidR="009F3ED8" w:rsidRPr="009F3ED8">
          <w:t>Part IV:</w:t>
        </w:r>
        <w:r w:rsidR="009F3ED8" w:rsidRPr="009F3ED8">
          <w:tab/>
          <w:t>Statistical Annex  – COUNTRY FICHES</w:t>
        </w:r>
        <w:r w:rsidR="009F3ED8" w:rsidRPr="009F3ED8">
          <w:rPr>
            <w:webHidden/>
          </w:rPr>
          <w:tab/>
          <w:t>279</w:t>
        </w:r>
      </w:hyperlink>
    </w:p>
    <w:p w14:paraId="7EC72A2B" w14:textId="77777777" w:rsidR="009F3ED8" w:rsidRPr="009F3ED8" w:rsidRDefault="002F4485">
      <w:pPr>
        <w:pStyle w:val="Sadraj2"/>
      </w:pPr>
      <w:hyperlink w:anchor="_Toc511664470" w:history="1">
        <w:r w:rsidR="009F3ED8" w:rsidRPr="009F3ED8">
          <w:t>1.</w:t>
        </w:r>
        <w:r w:rsidR="009F3ED8" w:rsidRPr="009F3ED8">
          <w:tab/>
          <w:t>Belgium</w:t>
        </w:r>
        <w:r w:rsidR="009F3ED8" w:rsidRPr="009F3ED8">
          <w:rPr>
            <w:webHidden/>
          </w:rPr>
          <w:tab/>
          <w:t>280</w:t>
        </w:r>
      </w:hyperlink>
    </w:p>
    <w:p w14:paraId="39A9A2BE" w14:textId="77777777" w:rsidR="009F3ED8" w:rsidRPr="009F3ED8" w:rsidRDefault="002F4485">
      <w:pPr>
        <w:pStyle w:val="Sadraj2"/>
      </w:pPr>
      <w:hyperlink w:anchor="_Toc511664471" w:history="1">
        <w:r w:rsidR="009F3ED8" w:rsidRPr="009F3ED8">
          <w:t>2.</w:t>
        </w:r>
        <w:r w:rsidR="009F3ED8" w:rsidRPr="009F3ED8">
          <w:tab/>
          <w:t>Bulgaria</w:t>
        </w:r>
        <w:r w:rsidR="009F3ED8" w:rsidRPr="009F3ED8">
          <w:rPr>
            <w:webHidden/>
          </w:rPr>
          <w:tab/>
          <w:t>283</w:t>
        </w:r>
      </w:hyperlink>
    </w:p>
    <w:p w14:paraId="3BD514E3" w14:textId="77777777" w:rsidR="009F3ED8" w:rsidRPr="009F3ED8" w:rsidRDefault="002F4485">
      <w:pPr>
        <w:pStyle w:val="Sadraj2"/>
      </w:pPr>
      <w:hyperlink w:anchor="_Toc511664472" w:history="1">
        <w:r w:rsidR="009F3ED8" w:rsidRPr="009F3ED8">
          <w:t>3.</w:t>
        </w:r>
        <w:r w:rsidR="009F3ED8" w:rsidRPr="009F3ED8">
          <w:tab/>
          <w:t>The Czech Republic</w:t>
        </w:r>
        <w:r w:rsidR="009F3ED8" w:rsidRPr="009F3ED8">
          <w:rPr>
            <w:webHidden/>
          </w:rPr>
          <w:tab/>
          <w:t>286</w:t>
        </w:r>
      </w:hyperlink>
    </w:p>
    <w:p w14:paraId="788F1557" w14:textId="77777777" w:rsidR="009F3ED8" w:rsidRPr="009F3ED8" w:rsidRDefault="002F4485">
      <w:pPr>
        <w:pStyle w:val="Sadraj2"/>
      </w:pPr>
      <w:hyperlink w:anchor="_Toc511664473" w:history="1">
        <w:r w:rsidR="009F3ED8" w:rsidRPr="009F3ED8">
          <w:t>4.</w:t>
        </w:r>
        <w:r w:rsidR="009F3ED8" w:rsidRPr="009F3ED8">
          <w:tab/>
          <w:t>Denmark</w:t>
        </w:r>
        <w:r w:rsidR="009F3ED8" w:rsidRPr="009F3ED8">
          <w:rPr>
            <w:webHidden/>
          </w:rPr>
          <w:tab/>
          <w:t>289</w:t>
        </w:r>
      </w:hyperlink>
    </w:p>
    <w:p w14:paraId="24329262" w14:textId="77777777" w:rsidR="009F3ED8" w:rsidRPr="009F3ED8" w:rsidRDefault="002F4485">
      <w:pPr>
        <w:pStyle w:val="Sadraj2"/>
      </w:pPr>
      <w:hyperlink w:anchor="_Toc511664474" w:history="1">
        <w:r w:rsidR="009F3ED8" w:rsidRPr="009F3ED8">
          <w:t>5.</w:t>
        </w:r>
        <w:r w:rsidR="009F3ED8" w:rsidRPr="009F3ED8">
          <w:tab/>
          <w:t>Germany</w:t>
        </w:r>
        <w:r w:rsidR="009F3ED8" w:rsidRPr="009F3ED8">
          <w:rPr>
            <w:webHidden/>
          </w:rPr>
          <w:tab/>
          <w:t>292</w:t>
        </w:r>
      </w:hyperlink>
    </w:p>
    <w:p w14:paraId="4326831B" w14:textId="77777777" w:rsidR="009F3ED8" w:rsidRPr="009F3ED8" w:rsidRDefault="002F4485">
      <w:pPr>
        <w:pStyle w:val="Sadraj2"/>
      </w:pPr>
      <w:hyperlink w:anchor="_Toc511664475" w:history="1">
        <w:r w:rsidR="009F3ED8" w:rsidRPr="009F3ED8">
          <w:t>6.</w:t>
        </w:r>
        <w:r w:rsidR="009F3ED8" w:rsidRPr="009F3ED8">
          <w:tab/>
          <w:t>Estonia</w:t>
        </w:r>
        <w:r w:rsidR="009F3ED8" w:rsidRPr="009F3ED8">
          <w:rPr>
            <w:webHidden/>
          </w:rPr>
          <w:tab/>
          <w:t>295</w:t>
        </w:r>
      </w:hyperlink>
    </w:p>
    <w:p w14:paraId="378083EB" w14:textId="77777777" w:rsidR="009F3ED8" w:rsidRPr="009F3ED8" w:rsidRDefault="002F4485">
      <w:pPr>
        <w:pStyle w:val="Sadraj2"/>
      </w:pPr>
      <w:hyperlink w:anchor="_Toc511664476" w:history="1">
        <w:r w:rsidR="009F3ED8" w:rsidRPr="009F3ED8">
          <w:t>7.</w:t>
        </w:r>
        <w:r w:rsidR="009F3ED8" w:rsidRPr="009F3ED8">
          <w:tab/>
          <w:t>Ireland</w:t>
        </w:r>
        <w:r w:rsidR="009F3ED8" w:rsidRPr="009F3ED8">
          <w:rPr>
            <w:webHidden/>
          </w:rPr>
          <w:tab/>
          <w:t>298</w:t>
        </w:r>
      </w:hyperlink>
    </w:p>
    <w:p w14:paraId="5851916E" w14:textId="77777777" w:rsidR="009F3ED8" w:rsidRPr="009F3ED8" w:rsidRDefault="002F4485">
      <w:pPr>
        <w:pStyle w:val="Sadraj2"/>
      </w:pPr>
      <w:hyperlink w:anchor="_Toc511664477" w:history="1">
        <w:r w:rsidR="009F3ED8" w:rsidRPr="009F3ED8">
          <w:t>8.</w:t>
        </w:r>
        <w:r w:rsidR="009F3ED8" w:rsidRPr="009F3ED8">
          <w:tab/>
          <w:t>Greece</w:t>
        </w:r>
        <w:r w:rsidR="009F3ED8" w:rsidRPr="009F3ED8">
          <w:rPr>
            <w:webHidden/>
          </w:rPr>
          <w:tab/>
          <w:t>301</w:t>
        </w:r>
      </w:hyperlink>
    </w:p>
    <w:p w14:paraId="4C45189B" w14:textId="77777777" w:rsidR="009F3ED8" w:rsidRPr="009F3ED8" w:rsidRDefault="002F4485">
      <w:pPr>
        <w:pStyle w:val="Sadraj2"/>
      </w:pPr>
      <w:hyperlink w:anchor="_Toc511664478" w:history="1">
        <w:r w:rsidR="009F3ED8" w:rsidRPr="009F3ED8">
          <w:t>9.</w:t>
        </w:r>
        <w:r w:rsidR="009F3ED8" w:rsidRPr="009F3ED8">
          <w:tab/>
          <w:t>Spain</w:t>
        </w:r>
        <w:r w:rsidR="009F3ED8" w:rsidRPr="009F3ED8">
          <w:rPr>
            <w:webHidden/>
          </w:rPr>
          <w:tab/>
          <w:t>304</w:t>
        </w:r>
      </w:hyperlink>
    </w:p>
    <w:p w14:paraId="11CDBE84" w14:textId="77777777" w:rsidR="009F3ED8" w:rsidRPr="009F3ED8" w:rsidRDefault="002F4485">
      <w:pPr>
        <w:pStyle w:val="Sadraj2"/>
      </w:pPr>
      <w:hyperlink w:anchor="_Toc511664479" w:history="1">
        <w:r w:rsidR="009F3ED8" w:rsidRPr="009F3ED8">
          <w:t>10.</w:t>
        </w:r>
        <w:r w:rsidR="009F3ED8" w:rsidRPr="009F3ED8">
          <w:tab/>
          <w:t>France</w:t>
        </w:r>
        <w:r w:rsidR="009F3ED8" w:rsidRPr="009F3ED8">
          <w:rPr>
            <w:webHidden/>
          </w:rPr>
          <w:tab/>
          <w:t>307</w:t>
        </w:r>
      </w:hyperlink>
    </w:p>
    <w:p w14:paraId="1D127704" w14:textId="77777777" w:rsidR="009F3ED8" w:rsidRPr="009F3ED8" w:rsidRDefault="002F4485">
      <w:pPr>
        <w:pStyle w:val="Sadraj2"/>
      </w:pPr>
      <w:hyperlink w:anchor="_Toc511664480" w:history="1">
        <w:r w:rsidR="009F3ED8" w:rsidRPr="009F3ED8">
          <w:t>11.</w:t>
        </w:r>
        <w:r w:rsidR="009F3ED8" w:rsidRPr="009F3ED8">
          <w:tab/>
          <w:t>Croatia</w:t>
        </w:r>
        <w:r w:rsidR="009F3ED8" w:rsidRPr="009F3ED8">
          <w:rPr>
            <w:webHidden/>
          </w:rPr>
          <w:tab/>
          <w:t>310</w:t>
        </w:r>
      </w:hyperlink>
    </w:p>
    <w:p w14:paraId="686C9C9B" w14:textId="77777777" w:rsidR="009F3ED8" w:rsidRPr="009F3ED8" w:rsidRDefault="002F4485">
      <w:pPr>
        <w:pStyle w:val="Sadraj2"/>
      </w:pPr>
      <w:hyperlink w:anchor="_Toc511664481" w:history="1">
        <w:r w:rsidR="009F3ED8" w:rsidRPr="009F3ED8">
          <w:t>12.</w:t>
        </w:r>
        <w:r w:rsidR="009F3ED8" w:rsidRPr="009F3ED8">
          <w:tab/>
          <w:t>Italy</w:t>
        </w:r>
        <w:r w:rsidR="009F3ED8" w:rsidRPr="009F3ED8">
          <w:rPr>
            <w:webHidden/>
          </w:rPr>
          <w:tab/>
          <w:t>313</w:t>
        </w:r>
      </w:hyperlink>
    </w:p>
    <w:p w14:paraId="29C0E371" w14:textId="77777777" w:rsidR="009F3ED8" w:rsidRPr="009F3ED8" w:rsidRDefault="002F4485">
      <w:pPr>
        <w:pStyle w:val="Sadraj2"/>
      </w:pPr>
      <w:hyperlink w:anchor="_Toc511664482" w:history="1">
        <w:r w:rsidR="009F3ED8" w:rsidRPr="009F3ED8">
          <w:t>13.</w:t>
        </w:r>
        <w:r w:rsidR="009F3ED8" w:rsidRPr="009F3ED8">
          <w:tab/>
          <w:t>Cyprus</w:t>
        </w:r>
        <w:r w:rsidR="009F3ED8" w:rsidRPr="009F3ED8">
          <w:rPr>
            <w:webHidden/>
          </w:rPr>
          <w:tab/>
          <w:t>316</w:t>
        </w:r>
      </w:hyperlink>
    </w:p>
    <w:p w14:paraId="67E22690" w14:textId="77777777" w:rsidR="009F3ED8" w:rsidRPr="009F3ED8" w:rsidRDefault="002F4485">
      <w:pPr>
        <w:pStyle w:val="Sadraj2"/>
      </w:pPr>
      <w:hyperlink w:anchor="_Toc511664483" w:history="1">
        <w:r w:rsidR="009F3ED8" w:rsidRPr="009F3ED8">
          <w:t>14.</w:t>
        </w:r>
        <w:r w:rsidR="009F3ED8" w:rsidRPr="009F3ED8">
          <w:tab/>
          <w:t>Latvia</w:t>
        </w:r>
        <w:r w:rsidR="009F3ED8" w:rsidRPr="009F3ED8">
          <w:rPr>
            <w:webHidden/>
          </w:rPr>
          <w:tab/>
          <w:t>319</w:t>
        </w:r>
      </w:hyperlink>
    </w:p>
    <w:p w14:paraId="69EE4B36" w14:textId="77777777" w:rsidR="009F3ED8" w:rsidRPr="009F3ED8" w:rsidRDefault="002F4485">
      <w:pPr>
        <w:pStyle w:val="Sadraj2"/>
      </w:pPr>
      <w:hyperlink w:anchor="_Toc511664484" w:history="1">
        <w:r w:rsidR="009F3ED8" w:rsidRPr="009F3ED8">
          <w:t>15.</w:t>
        </w:r>
        <w:r w:rsidR="009F3ED8" w:rsidRPr="009F3ED8">
          <w:tab/>
          <w:t>Lithuania</w:t>
        </w:r>
        <w:r w:rsidR="009F3ED8" w:rsidRPr="009F3ED8">
          <w:rPr>
            <w:webHidden/>
          </w:rPr>
          <w:tab/>
          <w:t>322</w:t>
        </w:r>
      </w:hyperlink>
    </w:p>
    <w:p w14:paraId="75C83BD8" w14:textId="77777777" w:rsidR="009F3ED8" w:rsidRPr="009F3ED8" w:rsidRDefault="002F4485">
      <w:pPr>
        <w:pStyle w:val="Sadraj2"/>
      </w:pPr>
      <w:hyperlink w:anchor="_Toc511664485" w:history="1">
        <w:r w:rsidR="009F3ED8" w:rsidRPr="009F3ED8">
          <w:t>16.</w:t>
        </w:r>
        <w:r w:rsidR="009F3ED8" w:rsidRPr="009F3ED8">
          <w:tab/>
          <w:t>Luxembourg</w:t>
        </w:r>
        <w:r w:rsidR="009F3ED8" w:rsidRPr="009F3ED8">
          <w:rPr>
            <w:webHidden/>
          </w:rPr>
          <w:tab/>
          <w:t>325</w:t>
        </w:r>
      </w:hyperlink>
    </w:p>
    <w:p w14:paraId="1DACB685" w14:textId="77777777" w:rsidR="009F3ED8" w:rsidRPr="009F3ED8" w:rsidRDefault="002F4485">
      <w:pPr>
        <w:pStyle w:val="Sadraj2"/>
      </w:pPr>
      <w:hyperlink w:anchor="_Toc511664486" w:history="1">
        <w:r w:rsidR="009F3ED8" w:rsidRPr="009F3ED8">
          <w:t>17.</w:t>
        </w:r>
        <w:r w:rsidR="009F3ED8" w:rsidRPr="009F3ED8">
          <w:tab/>
          <w:t>Hungary</w:t>
        </w:r>
        <w:r w:rsidR="009F3ED8" w:rsidRPr="009F3ED8">
          <w:rPr>
            <w:webHidden/>
          </w:rPr>
          <w:tab/>
          <w:t>328</w:t>
        </w:r>
      </w:hyperlink>
    </w:p>
    <w:p w14:paraId="05E2D946" w14:textId="77777777" w:rsidR="009F3ED8" w:rsidRPr="009F3ED8" w:rsidRDefault="002F4485">
      <w:pPr>
        <w:pStyle w:val="Sadraj2"/>
      </w:pPr>
      <w:hyperlink w:anchor="_Toc511664487" w:history="1">
        <w:r w:rsidR="009F3ED8" w:rsidRPr="009F3ED8">
          <w:t>18.</w:t>
        </w:r>
        <w:r w:rsidR="009F3ED8" w:rsidRPr="009F3ED8">
          <w:tab/>
          <w:t>Malta</w:t>
        </w:r>
        <w:r w:rsidR="009F3ED8" w:rsidRPr="009F3ED8">
          <w:rPr>
            <w:webHidden/>
          </w:rPr>
          <w:tab/>
          <w:t>331</w:t>
        </w:r>
      </w:hyperlink>
    </w:p>
    <w:p w14:paraId="6AB5F472" w14:textId="77777777" w:rsidR="009F3ED8" w:rsidRPr="009F3ED8" w:rsidRDefault="002F4485">
      <w:pPr>
        <w:pStyle w:val="Sadraj2"/>
      </w:pPr>
      <w:hyperlink w:anchor="_Toc511664488" w:history="1">
        <w:r w:rsidR="009F3ED8" w:rsidRPr="009F3ED8">
          <w:t>19.</w:t>
        </w:r>
        <w:r w:rsidR="009F3ED8" w:rsidRPr="009F3ED8">
          <w:tab/>
          <w:t>The Netherlands</w:t>
        </w:r>
        <w:r w:rsidR="009F3ED8" w:rsidRPr="009F3ED8">
          <w:rPr>
            <w:webHidden/>
          </w:rPr>
          <w:tab/>
          <w:t>334</w:t>
        </w:r>
      </w:hyperlink>
    </w:p>
    <w:p w14:paraId="616FA516" w14:textId="77777777" w:rsidR="009F3ED8" w:rsidRPr="009F3ED8" w:rsidRDefault="002F4485">
      <w:pPr>
        <w:pStyle w:val="Sadraj2"/>
      </w:pPr>
      <w:hyperlink w:anchor="_Toc511664489" w:history="1">
        <w:r w:rsidR="009F3ED8" w:rsidRPr="009F3ED8">
          <w:t>20.</w:t>
        </w:r>
        <w:r w:rsidR="009F3ED8" w:rsidRPr="009F3ED8">
          <w:tab/>
          <w:t>Austria</w:t>
        </w:r>
        <w:r w:rsidR="009F3ED8" w:rsidRPr="009F3ED8">
          <w:rPr>
            <w:webHidden/>
          </w:rPr>
          <w:tab/>
          <w:t>337</w:t>
        </w:r>
      </w:hyperlink>
    </w:p>
    <w:p w14:paraId="131D1782" w14:textId="77777777" w:rsidR="009F3ED8" w:rsidRPr="009F3ED8" w:rsidRDefault="002F4485">
      <w:pPr>
        <w:pStyle w:val="Sadraj2"/>
      </w:pPr>
      <w:hyperlink w:anchor="_Toc511664490" w:history="1">
        <w:r w:rsidR="009F3ED8" w:rsidRPr="009F3ED8">
          <w:t>21.</w:t>
        </w:r>
        <w:r w:rsidR="009F3ED8" w:rsidRPr="009F3ED8">
          <w:tab/>
          <w:t>Poland</w:t>
        </w:r>
        <w:r w:rsidR="009F3ED8" w:rsidRPr="009F3ED8">
          <w:rPr>
            <w:webHidden/>
          </w:rPr>
          <w:tab/>
          <w:t>340</w:t>
        </w:r>
      </w:hyperlink>
    </w:p>
    <w:p w14:paraId="5E1B99E3" w14:textId="77777777" w:rsidR="009F3ED8" w:rsidRPr="009F3ED8" w:rsidRDefault="002F4485">
      <w:pPr>
        <w:pStyle w:val="Sadraj2"/>
      </w:pPr>
      <w:hyperlink w:anchor="_Toc511664491" w:history="1">
        <w:r w:rsidR="009F3ED8" w:rsidRPr="009F3ED8">
          <w:t>22.</w:t>
        </w:r>
        <w:r w:rsidR="009F3ED8" w:rsidRPr="009F3ED8">
          <w:tab/>
          <w:t>Portugal</w:t>
        </w:r>
        <w:r w:rsidR="009F3ED8" w:rsidRPr="009F3ED8">
          <w:rPr>
            <w:webHidden/>
          </w:rPr>
          <w:tab/>
          <w:t>343</w:t>
        </w:r>
      </w:hyperlink>
    </w:p>
    <w:p w14:paraId="63EB7420" w14:textId="77777777" w:rsidR="009F3ED8" w:rsidRPr="009F3ED8" w:rsidRDefault="002F4485">
      <w:pPr>
        <w:pStyle w:val="Sadraj2"/>
      </w:pPr>
      <w:hyperlink w:anchor="_Toc511664492" w:history="1">
        <w:r w:rsidR="009F3ED8" w:rsidRPr="009F3ED8">
          <w:t>23.</w:t>
        </w:r>
        <w:r w:rsidR="009F3ED8" w:rsidRPr="009F3ED8">
          <w:tab/>
          <w:t>Romania</w:t>
        </w:r>
        <w:r w:rsidR="009F3ED8" w:rsidRPr="009F3ED8">
          <w:rPr>
            <w:webHidden/>
          </w:rPr>
          <w:tab/>
          <w:t>346</w:t>
        </w:r>
      </w:hyperlink>
    </w:p>
    <w:p w14:paraId="5AD2E795" w14:textId="77777777" w:rsidR="009F3ED8" w:rsidRPr="009F3ED8" w:rsidRDefault="002F4485">
      <w:pPr>
        <w:pStyle w:val="Sadraj2"/>
      </w:pPr>
      <w:hyperlink w:anchor="_Toc511664493" w:history="1">
        <w:r w:rsidR="009F3ED8" w:rsidRPr="009F3ED8">
          <w:t>24.</w:t>
        </w:r>
        <w:r w:rsidR="009F3ED8" w:rsidRPr="009F3ED8">
          <w:tab/>
          <w:t>Slovenia</w:t>
        </w:r>
        <w:r w:rsidR="009F3ED8" w:rsidRPr="009F3ED8">
          <w:rPr>
            <w:webHidden/>
          </w:rPr>
          <w:tab/>
          <w:t>349</w:t>
        </w:r>
      </w:hyperlink>
    </w:p>
    <w:p w14:paraId="680B37E9" w14:textId="77777777" w:rsidR="009F3ED8" w:rsidRPr="009F3ED8" w:rsidRDefault="002F4485">
      <w:pPr>
        <w:pStyle w:val="Sadraj2"/>
      </w:pPr>
      <w:hyperlink w:anchor="_Toc511664494" w:history="1">
        <w:r w:rsidR="009F3ED8" w:rsidRPr="009F3ED8">
          <w:t>25.</w:t>
        </w:r>
        <w:r w:rsidR="009F3ED8" w:rsidRPr="009F3ED8">
          <w:tab/>
          <w:t>Slovakia</w:t>
        </w:r>
        <w:r w:rsidR="009F3ED8" w:rsidRPr="009F3ED8">
          <w:rPr>
            <w:webHidden/>
          </w:rPr>
          <w:tab/>
          <w:t>352</w:t>
        </w:r>
      </w:hyperlink>
    </w:p>
    <w:p w14:paraId="116CDE5B" w14:textId="77777777" w:rsidR="009F3ED8" w:rsidRPr="009F3ED8" w:rsidRDefault="002F4485">
      <w:pPr>
        <w:pStyle w:val="Sadraj2"/>
      </w:pPr>
      <w:hyperlink w:anchor="_Toc511664495" w:history="1">
        <w:r w:rsidR="009F3ED8" w:rsidRPr="009F3ED8">
          <w:t>26.</w:t>
        </w:r>
        <w:r w:rsidR="009F3ED8" w:rsidRPr="009F3ED8">
          <w:tab/>
          <w:t>Finland</w:t>
        </w:r>
        <w:r w:rsidR="009F3ED8" w:rsidRPr="009F3ED8">
          <w:rPr>
            <w:webHidden/>
          </w:rPr>
          <w:tab/>
          <w:t>355</w:t>
        </w:r>
      </w:hyperlink>
    </w:p>
    <w:p w14:paraId="189B1470" w14:textId="77777777" w:rsidR="009F3ED8" w:rsidRPr="009F3ED8" w:rsidRDefault="002F4485">
      <w:pPr>
        <w:pStyle w:val="Sadraj2"/>
      </w:pPr>
      <w:hyperlink w:anchor="_Toc511664496" w:history="1">
        <w:r w:rsidR="009F3ED8" w:rsidRPr="009F3ED8">
          <w:t>27.</w:t>
        </w:r>
        <w:r w:rsidR="009F3ED8" w:rsidRPr="009F3ED8">
          <w:tab/>
          <w:t>Sweden</w:t>
        </w:r>
        <w:r w:rsidR="009F3ED8" w:rsidRPr="009F3ED8">
          <w:rPr>
            <w:webHidden/>
          </w:rPr>
          <w:tab/>
          <w:t>358</w:t>
        </w:r>
      </w:hyperlink>
    </w:p>
    <w:p w14:paraId="106BDC31" w14:textId="77777777" w:rsidR="009F3ED8" w:rsidRPr="009F3ED8" w:rsidRDefault="002F4485">
      <w:pPr>
        <w:pStyle w:val="Sadraj2"/>
      </w:pPr>
      <w:hyperlink w:anchor="_Toc511664497" w:history="1">
        <w:r w:rsidR="009F3ED8" w:rsidRPr="009F3ED8">
          <w:t>28.</w:t>
        </w:r>
        <w:r w:rsidR="009F3ED8" w:rsidRPr="009F3ED8">
          <w:tab/>
          <w:t>United Kingdom</w:t>
        </w:r>
        <w:r w:rsidR="009F3ED8" w:rsidRPr="009F3ED8">
          <w:rPr>
            <w:webHidden/>
          </w:rPr>
          <w:tab/>
          <w:t>361</w:t>
        </w:r>
      </w:hyperlink>
    </w:p>
    <w:p w14:paraId="14EAEC91" w14:textId="77777777" w:rsidR="009F3ED8" w:rsidRPr="009F3ED8" w:rsidRDefault="002F4485">
      <w:pPr>
        <w:pStyle w:val="Sadraj2"/>
      </w:pPr>
      <w:hyperlink w:anchor="_Toc511664498" w:history="1">
        <w:r w:rsidR="009F3ED8" w:rsidRPr="009F3ED8">
          <w:t>29.</w:t>
        </w:r>
        <w:r w:rsidR="009F3ED8" w:rsidRPr="009F3ED8">
          <w:tab/>
          <w:t>Norway</w:t>
        </w:r>
        <w:r w:rsidR="009F3ED8" w:rsidRPr="009F3ED8">
          <w:rPr>
            <w:webHidden/>
          </w:rPr>
          <w:tab/>
          <w:t>364</w:t>
        </w:r>
      </w:hyperlink>
    </w:p>
    <w:p w14:paraId="138222F6" w14:textId="77777777" w:rsidR="009F3ED8" w:rsidRPr="009F3ED8" w:rsidRDefault="002F4485">
      <w:pPr>
        <w:pStyle w:val="Sadraj2"/>
      </w:pPr>
      <w:hyperlink w:anchor="_Toc511664499" w:history="1">
        <w:r w:rsidR="009F3ED8" w:rsidRPr="009F3ED8">
          <w:t>30.</w:t>
        </w:r>
        <w:r w:rsidR="009F3ED8" w:rsidRPr="009F3ED8">
          <w:tab/>
          <w:t>Euro Area</w:t>
        </w:r>
        <w:r w:rsidR="009F3ED8" w:rsidRPr="009F3ED8">
          <w:rPr>
            <w:webHidden/>
          </w:rPr>
          <w:tab/>
          <w:t>367</w:t>
        </w:r>
      </w:hyperlink>
    </w:p>
    <w:p w14:paraId="0283F842" w14:textId="77777777" w:rsidR="009F3ED8" w:rsidRPr="009F3ED8" w:rsidRDefault="002F4485">
      <w:pPr>
        <w:pStyle w:val="Sadraj2"/>
      </w:pPr>
      <w:hyperlink w:anchor="_Toc511664500" w:history="1">
        <w:r w:rsidR="009F3ED8" w:rsidRPr="009F3ED8">
          <w:t>31.</w:t>
        </w:r>
        <w:r w:rsidR="009F3ED8" w:rsidRPr="009F3ED8">
          <w:tab/>
          <w:t>European Union 27</w:t>
        </w:r>
        <w:r w:rsidR="009F3ED8" w:rsidRPr="009F3ED8">
          <w:rPr>
            <w:webHidden/>
          </w:rPr>
          <w:tab/>
          <w:t>370</w:t>
        </w:r>
      </w:hyperlink>
    </w:p>
    <w:p w14:paraId="1BD7BAFE" w14:textId="77777777" w:rsidR="009F3ED8" w:rsidRPr="009F3ED8" w:rsidRDefault="002F4485">
      <w:pPr>
        <w:pStyle w:val="Sadraj2"/>
      </w:pPr>
      <w:hyperlink w:anchor="_Toc511664501" w:history="1">
        <w:r w:rsidR="009F3ED8" w:rsidRPr="009F3ED8">
          <w:t>32.</w:t>
        </w:r>
        <w:r w:rsidR="009F3ED8" w:rsidRPr="009F3ED8">
          <w:tab/>
          <w:t>European Union*</w:t>
        </w:r>
        <w:r w:rsidR="009F3ED8" w:rsidRPr="009F3ED8">
          <w:rPr>
            <w:webHidden/>
          </w:rPr>
          <w:tab/>
          <w:t>373</w:t>
        </w:r>
      </w:hyperlink>
    </w:p>
    <w:p w14:paraId="3E2D72E6" w14:textId="77777777" w:rsidR="009F3ED8" w:rsidRPr="009F3ED8" w:rsidRDefault="002F4485">
      <w:pPr>
        <w:pStyle w:val="Sadraj1"/>
      </w:pPr>
      <w:hyperlink w:anchor="_Toc511664502" w:history="1">
        <w:r w:rsidR="009F3ED8" w:rsidRPr="009F3ED8">
          <w:t>Part V:</w:t>
        </w:r>
        <w:r w:rsidR="009F3ED8" w:rsidRPr="009F3ED8">
          <w:tab/>
          <w:t>Resources</w:t>
        </w:r>
        <w:r w:rsidR="009F3ED8" w:rsidRPr="009F3ED8">
          <w:rPr>
            <w:webHidden/>
          </w:rPr>
          <w:tab/>
          <w:t>377</w:t>
        </w:r>
      </w:hyperlink>
    </w:p>
    <w:p w14:paraId="709DBD1D" w14:textId="77777777" w:rsidR="009F3ED8" w:rsidRPr="009F3ED8" w:rsidRDefault="002F4485">
      <w:pPr>
        <w:pStyle w:val="Sadraj2"/>
      </w:pPr>
      <w:hyperlink w:anchor="_Toc511664503" w:history="1">
        <w:r w:rsidR="009F3ED8" w:rsidRPr="009F3ED8">
          <w:t>1.</w:t>
        </w:r>
        <w:r w:rsidR="009F3ED8" w:rsidRPr="009F3ED8">
          <w:tab/>
          <w:t>Abbreviations and symbols used</w:t>
        </w:r>
        <w:r w:rsidR="009F3ED8" w:rsidRPr="009F3ED8">
          <w:rPr>
            <w:webHidden/>
          </w:rPr>
          <w:tab/>
          <w:t>378</w:t>
        </w:r>
      </w:hyperlink>
    </w:p>
    <w:p w14:paraId="6E6D0063" w14:textId="77777777" w:rsidR="009F3ED8" w:rsidRPr="009F3ED8" w:rsidRDefault="002F4485">
      <w:pPr>
        <w:pStyle w:val="Sadraj2"/>
      </w:pPr>
      <w:hyperlink w:anchor="_Toc511664504" w:history="1">
        <w:r w:rsidR="009F3ED8" w:rsidRPr="009F3ED8">
          <w:t>2.</w:t>
        </w:r>
        <w:r w:rsidR="009F3ED8" w:rsidRPr="009F3ED8">
          <w:tab/>
          <w:t>References</w:t>
        </w:r>
        <w:r w:rsidR="009F3ED8" w:rsidRPr="009F3ED8">
          <w:rPr>
            <w:webHidden/>
          </w:rPr>
          <w:tab/>
          <w:t>382</w:t>
        </w:r>
      </w:hyperlink>
    </w:p>
    <w:p w14:paraId="66B4C3BC" w14:textId="77777777" w:rsidR="00FB1300" w:rsidRDefault="00FB1300" w:rsidP="00FB1300">
      <w:r w:rsidRPr="009F3ED8">
        <w:fldChar w:fldCharType="end"/>
      </w:r>
    </w:p>
    <w:p w14:paraId="3FC5E12F" w14:textId="77777777" w:rsidR="00FB1300" w:rsidRPr="009F3ED8" w:rsidRDefault="00FB1300" w:rsidP="00FB1300">
      <w:pPr>
        <w:pStyle w:val="HEADINGTOC"/>
      </w:pPr>
      <w:bookmarkStart w:id="11" w:name="EP_CONTENT_TABLES"/>
      <w:r w:rsidRPr="009F3ED8">
        <w:t>LIST OF Tables</w:t>
      </w:r>
    </w:p>
    <w:p w14:paraId="255C9268" w14:textId="77777777" w:rsidR="009F3ED8" w:rsidRPr="009F3ED8" w:rsidRDefault="00FB1300">
      <w:pPr>
        <w:pStyle w:val="Sadraj5"/>
      </w:pPr>
      <w:r w:rsidRPr="009F3ED8">
        <w:fldChar w:fldCharType="begin"/>
      </w:r>
      <w:r w:rsidRPr="009F3ED8">
        <w:instrText xml:space="preserve"> TOC \ftable \h \z \u </w:instrText>
      </w:r>
      <w:r w:rsidRPr="009F3ED8">
        <w:fldChar w:fldCharType="separate"/>
      </w:r>
      <w:hyperlink w:anchor="_Toc511664505" w:history="1">
        <w:r w:rsidR="009F3ED8" w:rsidRPr="009F3ED8">
          <w:t>1.</w:t>
        </w:r>
        <w:r w:rsidR="009F3ED8" w:rsidRPr="009F3ED8">
          <w:tab/>
          <w:t>Overview of the 2018 long-term budgetary projections – Baseline scenario</w:t>
        </w:r>
        <w:r w:rsidR="009F3ED8" w:rsidRPr="009F3ED8">
          <w:rPr>
            <w:webHidden/>
          </w:rPr>
          <w:tab/>
          <w:t>12</w:t>
        </w:r>
      </w:hyperlink>
    </w:p>
    <w:p w14:paraId="6B695A73" w14:textId="77777777" w:rsidR="009F3ED8" w:rsidRPr="009F3ED8" w:rsidRDefault="002F4485">
      <w:pPr>
        <w:pStyle w:val="Sadraj5"/>
      </w:pPr>
      <w:hyperlink w:anchor="_Toc511664506" w:history="1">
        <w:r w:rsidR="009F3ED8" w:rsidRPr="009F3ED8">
          <w:t>2.</w:t>
        </w:r>
        <w:r w:rsidR="009F3ED8" w:rsidRPr="009F3ED8">
          <w:tab/>
          <w:t>Overview of the 2018 long-term budgetary projections – TFP risk scenario</w:t>
        </w:r>
        <w:r w:rsidR="009F3ED8" w:rsidRPr="009F3ED8">
          <w:rPr>
            <w:webHidden/>
          </w:rPr>
          <w:tab/>
          <w:t>12</w:t>
        </w:r>
      </w:hyperlink>
    </w:p>
    <w:p w14:paraId="43BFD03C" w14:textId="77777777" w:rsidR="009F3ED8" w:rsidRPr="009F3ED8" w:rsidRDefault="002F4485">
      <w:pPr>
        <w:pStyle w:val="Sadraj5"/>
      </w:pPr>
      <w:hyperlink w:anchor="_Toc511664507" w:history="1">
        <w:r w:rsidR="009F3ED8" w:rsidRPr="009F3ED8">
          <w:t>3.</w:t>
        </w:r>
        <w:r w:rsidR="009F3ED8" w:rsidRPr="009F3ED8">
          <w:tab/>
          <w:t>Overview of the 2018 long-term budgetary projections – AWG risk scenario</w:t>
        </w:r>
        <w:r w:rsidR="009F3ED8" w:rsidRPr="009F3ED8">
          <w:rPr>
            <w:webHidden/>
          </w:rPr>
          <w:tab/>
          <w:t>12</w:t>
        </w:r>
      </w:hyperlink>
    </w:p>
    <w:p w14:paraId="30A45B59" w14:textId="77777777" w:rsidR="009F3ED8" w:rsidRPr="009F3ED8" w:rsidRDefault="002F4485">
      <w:pPr>
        <w:pStyle w:val="Sadraj5"/>
      </w:pPr>
      <w:hyperlink w:anchor="_Toc511664508" w:history="1">
        <w:r w:rsidR="009F3ED8" w:rsidRPr="009F3ED8">
          <w:t>I.1.1.</w:t>
        </w:r>
        <w:r w:rsidR="009F3ED8" w:rsidRPr="009F3ED8">
          <w:tab/>
          <w:t>Projection of net migration flows, 2016-70</w:t>
        </w:r>
        <w:r w:rsidR="009F3ED8" w:rsidRPr="009F3ED8">
          <w:rPr>
            <w:webHidden/>
          </w:rPr>
          <w:tab/>
          <w:t>19</w:t>
        </w:r>
      </w:hyperlink>
    </w:p>
    <w:p w14:paraId="2C513F19" w14:textId="77777777" w:rsidR="009F3ED8" w:rsidRPr="009F3ED8" w:rsidRDefault="002F4485">
      <w:pPr>
        <w:pStyle w:val="Sadraj5"/>
      </w:pPr>
      <w:hyperlink w:anchor="_Toc511664509" w:history="1">
        <w:r w:rsidR="009F3ED8" w:rsidRPr="009F3ED8">
          <w:t>I.1.2.</w:t>
        </w:r>
        <w:r w:rsidR="009F3ED8" w:rsidRPr="009F3ED8">
          <w:tab/>
          <w:t>Total population projections, 2016-70</w:t>
        </w:r>
        <w:r w:rsidR="009F3ED8" w:rsidRPr="009F3ED8">
          <w:rPr>
            <w:webHidden/>
          </w:rPr>
          <w:tab/>
          <w:t>22</w:t>
        </w:r>
      </w:hyperlink>
    </w:p>
    <w:p w14:paraId="43EE6CC9" w14:textId="77777777" w:rsidR="009F3ED8" w:rsidRPr="009F3ED8" w:rsidRDefault="002F4485">
      <w:pPr>
        <w:pStyle w:val="Sadraj5"/>
      </w:pPr>
      <w:hyperlink w:anchor="_Toc511664510" w:history="1">
        <w:r w:rsidR="009F3ED8" w:rsidRPr="009F3ED8">
          <w:t>I.1.3.</w:t>
        </w:r>
        <w:r w:rsidR="009F3ED8" w:rsidRPr="009F3ED8">
          <w:tab/>
          <w:t>Decomposition of the population by age-groups, 2016 and 2070</w:t>
        </w:r>
        <w:r w:rsidR="009F3ED8" w:rsidRPr="009F3ED8">
          <w:rPr>
            <w:webHidden/>
          </w:rPr>
          <w:tab/>
          <w:t>23</w:t>
        </w:r>
      </w:hyperlink>
    </w:p>
    <w:p w14:paraId="2CD03888" w14:textId="77777777" w:rsidR="009F3ED8" w:rsidRPr="009F3ED8" w:rsidRDefault="002F4485">
      <w:pPr>
        <w:pStyle w:val="Sadraj5"/>
      </w:pPr>
      <w:hyperlink w:anchor="_Toc511664511" w:history="1">
        <w:r w:rsidR="009F3ED8" w:rsidRPr="009F3ED8">
          <w:t>I.1.4.</w:t>
        </w:r>
        <w:r w:rsidR="009F3ED8" w:rsidRPr="009F3ED8">
          <w:tab/>
          <w:t>Demographic dependency ratios, 2016-2070 (%)</w:t>
        </w:r>
        <w:r w:rsidR="009F3ED8" w:rsidRPr="009F3ED8">
          <w:rPr>
            <w:webHidden/>
          </w:rPr>
          <w:tab/>
          <w:t>24</w:t>
        </w:r>
      </w:hyperlink>
    </w:p>
    <w:p w14:paraId="4B158742" w14:textId="77777777" w:rsidR="009F3ED8" w:rsidRPr="009F3ED8" w:rsidRDefault="002F4485">
      <w:pPr>
        <w:pStyle w:val="Sadraj5"/>
      </w:pPr>
      <w:hyperlink w:anchor="_Toc511664512" w:history="1">
        <w:r w:rsidR="009F3ED8" w:rsidRPr="009F3ED8">
          <w:t>I.1.5.</w:t>
        </w:r>
        <w:r w:rsidR="009F3ED8" w:rsidRPr="009F3ED8">
          <w:tab/>
          <w:t>Comparison of population and dependency ratio projections used in 2018 and 2015 Cost of Ageing projection exercises, 2016 - 2060</w:t>
        </w:r>
        <w:r w:rsidR="009F3ED8" w:rsidRPr="009F3ED8">
          <w:rPr>
            <w:webHidden/>
          </w:rPr>
          <w:tab/>
          <w:t>25</w:t>
        </w:r>
      </w:hyperlink>
    </w:p>
    <w:p w14:paraId="13F2BE41" w14:textId="77777777" w:rsidR="009F3ED8" w:rsidRPr="009F3ED8" w:rsidRDefault="002F4485">
      <w:pPr>
        <w:pStyle w:val="Sadraj5"/>
      </w:pPr>
      <w:hyperlink w:anchor="_Toc511664513" w:history="1">
        <w:r w:rsidR="009F3ED8" w:rsidRPr="009F3ED8">
          <w:t>I.1.6.</w:t>
        </w:r>
        <w:r w:rsidR="009F3ED8" w:rsidRPr="009F3ED8">
          <w:tab/>
          <w:t>Comparison of demographic assumptions used in 2018 and 2015 Cost of Ageing projection exercises, 2016-60</w:t>
        </w:r>
        <w:r w:rsidR="009F3ED8" w:rsidRPr="009F3ED8">
          <w:rPr>
            <w:webHidden/>
          </w:rPr>
          <w:tab/>
          <w:t>26</w:t>
        </w:r>
      </w:hyperlink>
    </w:p>
    <w:p w14:paraId="62797DD5" w14:textId="77777777" w:rsidR="009F3ED8" w:rsidRPr="009F3ED8" w:rsidRDefault="002F4485">
      <w:pPr>
        <w:pStyle w:val="Sadraj5"/>
      </w:pPr>
      <w:hyperlink w:anchor="_Toc511664514" w:history="1">
        <w:r w:rsidR="009F3ED8" w:rsidRPr="009F3ED8">
          <w:t>I.1.7.</w:t>
        </w:r>
        <w:r w:rsidR="009F3ED8" w:rsidRPr="009F3ED8">
          <w:tab/>
          <w:t>Old-age dependency ratio (65+/(15-64)</w:t>
        </w:r>
        <w:r w:rsidR="009F3ED8" w:rsidRPr="009F3ED8">
          <w:rPr>
            <w:webHidden/>
          </w:rPr>
          <w:tab/>
          <w:t>28</w:t>
        </w:r>
      </w:hyperlink>
    </w:p>
    <w:p w14:paraId="69DD3363" w14:textId="77777777" w:rsidR="009F3ED8" w:rsidRPr="009F3ED8" w:rsidRDefault="002F4485">
      <w:pPr>
        <w:pStyle w:val="Sadraj5"/>
      </w:pPr>
      <w:hyperlink w:anchor="_Toc511664515" w:history="1">
        <w:r w:rsidR="009F3ED8" w:rsidRPr="009F3ED8">
          <w:t>I.2.1.</w:t>
        </w:r>
        <w:r w:rsidR="009F3ED8" w:rsidRPr="009F3ED8">
          <w:tab/>
          <w:t>Decomposition of annual average potential GDP growth rates, 2016-2070 (%)</w:t>
        </w:r>
        <w:r w:rsidR="009F3ED8" w:rsidRPr="009F3ED8">
          <w:rPr>
            <w:webHidden/>
          </w:rPr>
          <w:tab/>
          <w:t>42</w:t>
        </w:r>
      </w:hyperlink>
    </w:p>
    <w:p w14:paraId="66094317" w14:textId="77777777" w:rsidR="009F3ED8" w:rsidRPr="009F3ED8" w:rsidRDefault="002F4485">
      <w:pPr>
        <w:pStyle w:val="Sadraj5"/>
      </w:pPr>
      <w:hyperlink w:anchor="_Toc511664516" w:history="1">
        <w:r w:rsidR="009F3ED8" w:rsidRPr="009F3ED8">
          <w:t>I.2.2.</w:t>
        </w:r>
        <w:r w:rsidR="009F3ED8" w:rsidRPr="009F3ED8">
          <w:tab/>
          <w:t>Long-term projections compared (2015 and 2018 projections): labour force developments</w:t>
        </w:r>
        <w:r w:rsidR="009F3ED8" w:rsidRPr="009F3ED8">
          <w:rPr>
            <w:webHidden/>
          </w:rPr>
          <w:tab/>
          <w:t>44</w:t>
        </w:r>
      </w:hyperlink>
    </w:p>
    <w:p w14:paraId="0C5FB94D" w14:textId="77777777" w:rsidR="009F3ED8" w:rsidRPr="009F3ED8" w:rsidRDefault="002F4485">
      <w:pPr>
        <w:pStyle w:val="Sadraj5"/>
      </w:pPr>
      <w:hyperlink w:anchor="_Toc511664517" w:history="1">
        <w:r w:rsidR="009F3ED8" w:rsidRPr="009F3ED8">
          <w:t>I.2.3.</w:t>
        </w:r>
        <w:r w:rsidR="009F3ED8" w:rsidRPr="009F3ED8">
          <w:tab/>
          <w:t>Long-term projections compared (2015 and 2018): potential GDP growth and its determinants</w:t>
        </w:r>
        <w:r w:rsidR="009F3ED8" w:rsidRPr="009F3ED8">
          <w:rPr>
            <w:webHidden/>
          </w:rPr>
          <w:tab/>
          <w:t>45</w:t>
        </w:r>
      </w:hyperlink>
    </w:p>
    <w:p w14:paraId="4F5480AF" w14:textId="77777777" w:rsidR="009F3ED8" w:rsidRPr="009F3ED8" w:rsidRDefault="002F4485">
      <w:pPr>
        <w:pStyle w:val="Sadraj5"/>
      </w:pPr>
      <w:hyperlink w:anchor="_Toc511664518" w:history="1">
        <w:r w:rsidR="009F3ED8" w:rsidRPr="009F3ED8">
          <w:t>I.3.1.</w:t>
        </w:r>
        <w:r w:rsidR="009F3ED8" w:rsidRPr="009F3ED8">
          <w:tab/>
          <w:t>Overview of sensitivity tests and policy scenario</w:t>
        </w:r>
        <w:r w:rsidR="009F3ED8" w:rsidRPr="009F3ED8">
          <w:rPr>
            <w:webHidden/>
          </w:rPr>
          <w:tab/>
          <w:t>46</w:t>
        </w:r>
      </w:hyperlink>
    </w:p>
    <w:p w14:paraId="77D99EE0" w14:textId="77777777" w:rsidR="009F3ED8" w:rsidRPr="009F3ED8" w:rsidRDefault="002F4485">
      <w:pPr>
        <w:pStyle w:val="Sadraj5"/>
      </w:pPr>
      <w:hyperlink w:anchor="_Toc511664519" w:history="1">
        <w:r w:rsidR="009F3ED8" w:rsidRPr="009F3ED8">
          <w:t>I.3.2.</w:t>
        </w:r>
        <w:r w:rsidR="009F3ED8" w:rsidRPr="009F3ED8">
          <w:tab/>
          <w:t>Decomposition of average annual potential GDP growth of the European Union, 2016-2070 (%)</w:t>
        </w:r>
        <w:r w:rsidR="009F3ED8" w:rsidRPr="009F3ED8">
          <w:rPr>
            <w:webHidden/>
          </w:rPr>
          <w:tab/>
          <w:t>46</w:t>
        </w:r>
      </w:hyperlink>
    </w:p>
    <w:p w14:paraId="72B0E764" w14:textId="77777777" w:rsidR="009F3ED8" w:rsidRPr="009F3ED8" w:rsidRDefault="002F4485">
      <w:pPr>
        <w:pStyle w:val="Sadraj5"/>
      </w:pPr>
      <w:hyperlink w:anchor="_Toc511664520" w:history="1">
        <w:r w:rsidR="009F3ED8" w:rsidRPr="009F3ED8">
          <w:t>II.1.1.</w:t>
        </w:r>
        <w:r w:rsidR="009F3ED8" w:rsidRPr="009F3ED8">
          <w:tab/>
          <w:t>Main public pension scheme types in the EU</w:t>
        </w:r>
        <w:r w:rsidR="009F3ED8" w:rsidRPr="009F3ED8">
          <w:rPr>
            <w:webHidden/>
          </w:rPr>
          <w:tab/>
          <w:t>50</w:t>
        </w:r>
      </w:hyperlink>
    </w:p>
    <w:p w14:paraId="07A9D673" w14:textId="77777777" w:rsidR="009F3ED8" w:rsidRPr="009F3ED8" w:rsidRDefault="002F4485">
      <w:pPr>
        <w:pStyle w:val="Sadraj5"/>
      </w:pPr>
      <w:hyperlink w:anchor="_Toc511664521" w:history="1">
        <w:r w:rsidR="009F3ED8" w:rsidRPr="009F3ED8">
          <w:t>II.1.2.</w:t>
        </w:r>
        <w:r w:rsidR="009F3ED8" w:rsidRPr="009F3ED8">
          <w:tab/>
          <w:t>Automatic balancing mechanisms, sustainability factors and links to life expectancy in pension systems</w:t>
        </w:r>
        <w:r w:rsidR="009F3ED8" w:rsidRPr="009F3ED8">
          <w:rPr>
            <w:webHidden/>
          </w:rPr>
          <w:tab/>
          <w:t>54</w:t>
        </w:r>
      </w:hyperlink>
    </w:p>
    <w:p w14:paraId="1994BBA4" w14:textId="77777777" w:rsidR="009F3ED8" w:rsidRPr="009F3ED8" w:rsidRDefault="002F4485">
      <w:pPr>
        <w:pStyle w:val="Sadraj5"/>
      </w:pPr>
      <w:hyperlink w:anchor="_Toc511664522" w:history="1">
        <w:r w:rsidR="009F3ED8" w:rsidRPr="009F3ED8">
          <w:t>II.1.3.</w:t>
        </w:r>
        <w:r w:rsidR="009F3ED8" w:rsidRPr="009F3ED8">
          <w:tab/>
          <w:t>Statutory retirement ages, early retirement (in brackets) and incentives to postpone retirement</w:t>
        </w:r>
        <w:r w:rsidR="009F3ED8" w:rsidRPr="009F3ED8">
          <w:rPr>
            <w:webHidden/>
          </w:rPr>
          <w:tab/>
          <w:t>56</w:t>
        </w:r>
      </w:hyperlink>
    </w:p>
    <w:p w14:paraId="79EF4F74" w14:textId="77777777" w:rsidR="009F3ED8" w:rsidRPr="009F3ED8" w:rsidRDefault="002F4485">
      <w:pPr>
        <w:pStyle w:val="Sadraj5"/>
      </w:pPr>
      <w:hyperlink w:anchor="_Toc511664523" w:history="1">
        <w:r w:rsidR="009F3ED8" w:rsidRPr="009F3ED8">
          <w:t>II.1.4.</w:t>
        </w:r>
        <w:r w:rsidR="009F3ED8" w:rsidRPr="009F3ED8">
          <w:tab/>
          <w:t>Average effective exit age from the labour market by gender</w:t>
        </w:r>
        <w:r w:rsidR="009F3ED8" w:rsidRPr="009F3ED8">
          <w:rPr>
            <w:webHidden/>
          </w:rPr>
          <w:tab/>
          <w:t>57</w:t>
        </w:r>
      </w:hyperlink>
    </w:p>
    <w:p w14:paraId="6CC7FCEA" w14:textId="77777777" w:rsidR="009F3ED8" w:rsidRPr="009F3ED8" w:rsidRDefault="002F4485">
      <w:pPr>
        <w:pStyle w:val="Sadraj5"/>
      </w:pPr>
      <w:hyperlink w:anchor="_Toc511664524" w:history="1">
        <w:r w:rsidR="009F3ED8" w:rsidRPr="009F3ED8">
          <w:t>II.1.5.</w:t>
        </w:r>
        <w:r w:rsidR="009F3ED8" w:rsidRPr="009F3ED8">
          <w:tab/>
          <w:t>Duration of retirement by gender, also as percentage of average working career length and of adult life spent at retirement, respectively</w:t>
        </w:r>
        <w:r w:rsidR="009F3ED8" w:rsidRPr="009F3ED8">
          <w:rPr>
            <w:webHidden/>
          </w:rPr>
          <w:tab/>
          <w:t>58</w:t>
        </w:r>
      </w:hyperlink>
    </w:p>
    <w:p w14:paraId="4F3E8CE0" w14:textId="77777777" w:rsidR="009F3ED8" w:rsidRPr="009F3ED8" w:rsidRDefault="002F4485">
      <w:pPr>
        <w:pStyle w:val="Sadraj5"/>
      </w:pPr>
      <w:hyperlink w:anchor="_Toc511664525" w:history="1">
        <w:r w:rsidR="009F3ED8" w:rsidRPr="009F3ED8">
          <w:t>II.1.6.</w:t>
        </w:r>
        <w:r w:rsidR="009F3ED8" w:rsidRPr="009F3ED8">
          <w:tab/>
          <w:t>Contributions to the public pension system in 2016 and 2070 (% of GDP)</w:t>
        </w:r>
        <w:r w:rsidR="009F3ED8" w:rsidRPr="009F3ED8">
          <w:rPr>
            <w:webHidden/>
          </w:rPr>
          <w:tab/>
          <w:t>60</w:t>
        </w:r>
      </w:hyperlink>
    </w:p>
    <w:p w14:paraId="2DAF4E8F" w14:textId="77777777" w:rsidR="009F3ED8" w:rsidRPr="009F3ED8" w:rsidRDefault="002F4485">
      <w:pPr>
        <w:pStyle w:val="Sadraj5"/>
      </w:pPr>
      <w:hyperlink w:anchor="_Toc511664526" w:history="1">
        <w:r w:rsidR="009F3ED8" w:rsidRPr="009F3ED8">
          <w:t>II.1.7.</w:t>
        </w:r>
        <w:r w:rsidR="009F3ED8" w:rsidRPr="009F3ED8">
          <w:tab/>
          <w:t>Contribution rates to the public pension system</w:t>
        </w:r>
        <w:r w:rsidR="009F3ED8" w:rsidRPr="009F3ED8">
          <w:rPr>
            <w:webHidden/>
          </w:rPr>
          <w:tab/>
          <w:t>62</w:t>
        </w:r>
      </w:hyperlink>
    </w:p>
    <w:p w14:paraId="39658DFB" w14:textId="77777777" w:rsidR="009F3ED8" w:rsidRPr="009F3ED8" w:rsidRDefault="002F4485">
      <w:pPr>
        <w:pStyle w:val="Sadraj5"/>
      </w:pPr>
      <w:hyperlink w:anchor="_Toc511664527" w:history="1">
        <w:r w:rsidR="009F3ED8" w:rsidRPr="009F3ED8">
          <w:t>II.1.8.</w:t>
        </w:r>
        <w:r w:rsidR="009F3ED8" w:rsidRPr="009F3ED8">
          <w:tab/>
          <w:t>Level and change in gross public pension expenditure; 2016-2070, baseline scenario (%/pps. of GDP)</w:t>
        </w:r>
        <w:r w:rsidR="009F3ED8" w:rsidRPr="009F3ED8">
          <w:rPr>
            <w:webHidden/>
          </w:rPr>
          <w:tab/>
          <w:t>67</w:t>
        </w:r>
      </w:hyperlink>
    </w:p>
    <w:p w14:paraId="08049B59" w14:textId="77777777" w:rsidR="009F3ED8" w:rsidRPr="009F3ED8" w:rsidRDefault="002F4485">
      <w:pPr>
        <w:pStyle w:val="Sadraj5"/>
      </w:pPr>
      <w:hyperlink w:anchor="_Toc511664528" w:history="1">
        <w:r w:rsidR="009F3ED8" w:rsidRPr="009F3ED8">
          <w:t>II.1.9.</w:t>
        </w:r>
        <w:r w:rsidR="009F3ED8" w:rsidRPr="009F3ED8">
          <w:tab/>
          <w:t>Breakdown per period of change in gross public pension expenditure (pps. of GDP)</w:t>
        </w:r>
        <w:r w:rsidR="009F3ED8" w:rsidRPr="009F3ED8">
          <w:rPr>
            <w:webHidden/>
          </w:rPr>
          <w:tab/>
          <w:t>70</w:t>
        </w:r>
      </w:hyperlink>
    </w:p>
    <w:p w14:paraId="33C84B8C" w14:textId="77777777" w:rsidR="009F3ED8" w:rsidRPr="009F3ED8" w:rsidRDefault="002F4485">
      <w:pPr>
        <w:pStyle w:val="Sadraj5"/>
      </w:pPr>
      <w:hyperlink w:anchor="_Toc511664529" w:history="1">
        <w:r w:rsidR="009F3ED8" w:rsidRPr="009F3ED8">
          <w:t>II.1.10.</w:t>
        </w:r>
        <w:r w:rsidR="009F3ED8" w:rsidRPr="009F3ED8">
          <w:tab/>
          <w:t>Change in public pension expenditure per age group in 2016-2070 (pps. of GDP)</w:t>
        </w:r>
        <w:r w:rsidR="009F3ED8" w:rsidRPr="009F3ED8">
          <w:rPr>
            <w:webHidden/>
          </w:rPr>
          <w:tab/>
          <w:t>75</w:t>
        </w:r>
      </w:hyperlink>
    </w:p>
    <w:p w14:paraId="260705C3" w14:textId="77777777" w:rsidR="009F3ED8" w:rsidRPr="009F3ED8" w:rsidRDefault="002F4485">
      <w:pPr>
        <w:pStyle w:val="Sadraj5"/>
      </w:pPr>
      <w:hyperlink w:anchor="_Toc511664530" w:history="1">
        <w:r w:rsidR="009F3ED8" w:rsidRPr="009F3ED8">
          <w:t>II.1.11.</w:t>
        </w:r>
        <w:r w:rsidR="009F3ED8" w:rsidRPr="009F3ED8">
          <w:tab/>
          <w:t>Breakdown of change in gross public pension expenditure; 2016-2070 (pps. of GDP)</w:t>
        </w:r>
        <w:r w:rsidR="009F3ED8" w:rsidRPr="009F3ED8">
          <w:rPr>
            <w:webHidden/>
          </w:rPr>
          <w:tab/>
          <w:t>79</w:t>
        </w:r>
      </w:hyperlink>
    </w:p>
    <w:p w14:paraId="7674E3C0" w14:textId="77777777" w:rsidR="009F3ED8" w:rsidRPr="009F3ED8" w:rsidRDefault="002F4485">
      <w:pPr>
        <w:pStyle w:val="Sadraj5"/>
      </w:pPr>
      <w:hyperlink w:anchor="_Toc511664531" w:history="1">
        <w:r w:rsidR="009F3ED8" w:rsidRPr="009F3ED8">
          <w:t>II.1.12.</w:t>
        </w:r>
        <w:r w:rsidR="009F3ED8" w:rsidRPr="009F3ED8">
          <w:tab/>
          <w:t>Contribution of the dependency ratio effect to the change in public pension expenditure (pps. of GDP)</w:t>
        </w:r>
        <w:r w:rsidR="009F3ED8" w:rsidRPr="009F3ED8">
          <w:rPr>
            <w:webHidden/>
          </w:rPr>
          <w:tab/>
          <w:t>80</w:t>
        </w:r>
      </w:hyperlink>
    </w:p>
    <w:p w14:paraId="7D523BC0" w14:textId="77777777" w:rsidR="009F3ED8" w:rsidRPr="009F3ED8" w:rsidRDefault="002F4485">
      <w:pPr>
        <w:pStyle w:val="Sadraj5"/>
      </w:pPr>
      <w:hyperlink w:anchor="_Toc511664532" w:history="1">
        <w:r w:rsidR="009F3ED8" w:rsidRPr="009F3ED8">
          <w:t>II.1.13.</w:t>
        </w:r>
        <w:r w:rsidR="009F3ED8" w:rsidRPr="009F3ED8">
          <w:tab/>
          <w:t>Coverage ratio (% of population &gt;65y)</w:t>
        </w:r>
        <w:r w:rsidR="009F3ED8" w:rsidRPr="009F3ED8">
          <w:rPr>
            <w:webHidden/>
          </w:rPr>
          <w:tab/>
          <w:t>81</w:t>
        </w:r>
      </w:hyperlink>
    </w:p>
    <w:p w14:paraId="56CB3075" w14:textId="77777777" w:rsidR="009F3ED8" w:rsidRPr="009F3ED8" w:rsidRDefault="002F4485">
      <w:pPr>
        <w:pStyle w:val="Sadraj5"/>
      </w:pPr>
      <w:hyperlink w:anchor="_Toc511664533" w:history="1">
        <w:r w:rsidR="009F3ED8" w:rsidRPr="009F3ED8">
          <w:t>II.1.14.</w:t>
        </w:r>
        <w:r w:rsidR="009F3ED8" w:rsidRPr="009F3ED8">
          <w:tab/>
          <w:t>Contribution of the coverage ratio effect to the change in public pension expenditure (pps. of GDP)</w:t>
        </w:r>
        <w:r w:rsidR="009F3ED8" w:rsidRPr="009F3ED8">
          <w:rPr>
            <w:webHidden/>
          </w:rPr>
          <w:tab/>
          <w:t>81</w:t>
        </w:r>
      </w:hyperlink>
    </w:p>
    <w:p w14:paraId="4C0ECE26" w14:textId="77777777" w:rsidR="009F3ED8" w:rsidRPr="009F3ED8" w:rsidRDefault="002F4485">
      <w:pPr>
        <w:pStyle w:val="Sadraj5"/>
      </w:pPr>
      <w:hyperlink w:anchor="_Toc511664534" w:history="1">
        <w:r w:rsidR="009F3ED8" w:rsidRPr="009F3ED8">
          <w:t>II.1.15.</w:t>
        </w:r>
        <w:r w:rsidR="009F3ED8" w:rsidRPr="009F3ED8">
          <w:tab/>
          <w:t>Contribution of the benefit ratio effect to the change in public pension expenditure (pps. of GDP)</w:t>
        </w:r>
        <w:r w:rsidR="009F3ED8" w:rsidRPr="009F3ED8">
          <w:rPr>
            <w:webHidden/>
          </w:rPr>
          <w:tab/>
          <w:t>82</w:t>
        </w:r>
      </w:hyperlink>
    </w:p>
    <w:p w14:paraId="6F0752E1" w14:textId="77777777" w:rsidR="009F3ED8" w:rsidRPr="009F3ED8" w:rsidRDefault="002F4485">
      <w:pPr>
        <w:pStyle w:val="Sadraj5"/>
      </w:pPr>
      <w:hyperlink w:anchor="_Toc511664535" w:history="1">
        <w:r w:rsidR="009F3ED8" w:rsidRPr="009F3ED8">
          <w:t>II.1.16.</w:t>
        </w:r>
        <w:r w:rsidR="009F3ED8" w:rsidRPr="009F3ED8">
          <w:tab/>
          <w:t>Contribution of the labour market effect to the change in public pension expenditure (pps. of GDP)</w:t>
        </w:r>
        <w:r w:rsidR="009F3ED8" w:rsidRPr="009F3ED8">
          <w:rPr>
            <w:webHidden/>
          </w:rPr>
          <w:tab/>
          <w:t>82</w:t>
        </w:r>
      </w:hyperlink>
    </w:p>
    <w:p w14:paraId="07038218" w14:textId="77777777" w:rsidR="009F3ED8" w:rsidRPr="009F3ED8" w:rsidRDefault="002F4485">
      <w:pPr>
        <w:pStyle w:val="Sadraj5"/>
      </w:pPr>
      <w:hyperlink w:anchor="_Toc511664536" w:history="1">
        <w:r w:rsidR="009F3ED8" w:rsidRPr="009F3ED8">
          <w:t>II.1.17.</w:t>
        </w:r>
        <w:r w:rsidR="009F3ED8" w:rsidRPr="009F3ED8">
          <w:tab/>
          <w:t>Benefit ratio: 2016 and 2070 (in %)</w:t>
        </w:r>
        <w:r w:rsidR="009F3ED8" w:rsidRPr="009F3ED8">
          <w:rPr>
            <w:webHidden/>
          </w:rPr>
          <w:tab/>
          <w:t>83</w:t>
        </w:r>
      </w:hyperlink>
    </w:p>
    <w:p w14:paraId="2CA28C0A" w14:textId="77777777" w:rsidR="009F3ED8" w:rsidRPr="009F3ED8" w:rsidRDefault="002F4485">
      <w:pPr>
        <w:pStyle w:val="Sadraj5"/>
      </w:pPr>
      <w:hyperlink w:anchor="_Toc511664537" w:history="1">
        <w:r w:rsidR="009F3ED8" w:rsidRPr="009F3ED8">
          <w:t>II.1.18.</w:t>
        </w:r>
        <w:r w:rsidR="009F3ED8" w:rsidRPr="009F3ED8">
          <w:tab/>
          <w:t>Replacement rates in 2016 and 2070 (%)</w:t>
        </w:r>
        <w:r w:rsidR="009F3ED8" w:rsidRPr="009F3ED8">
          <w:rPr>
            <w:webHidden/>
          </w:rPr>
          <w:tab/>
          <w:t>85</w:t>
        </w:r>
      </w:hyperlink>
    </w:p>
    <w:p w14:paraId="72E333BF" w14:textId="77777777" w:rsidR="009F3ED8" w:rsidRPr="009F3ED8" w:rsidRDefault="002F4485">
      <w:pPr>
        <w:pStyle w:val="Sadraj5"/>
      </w:pPr>
      <w:hyperlink w:anchor="_Toc511664538" w:history="1">
        <w:r w:rsidR="009F3ED8" w:rsidRPr="009F3ED8">
          <w:t>II.1.19.</w:t>
        </w:r>
        <w:r w:rsidR="009F3ED8" w:rsidRPr="009F3ED8">
          <w:tab/>
          <w:t>Minimum pensions (non-contributory only)</w:t>
        </w:r>
        <w:r w:rsidR="009F3ED8" w:rsidRPr="009F3ED8">
          <w:rPr>
            <w:webHidden/>
          </w:rPr>
          <w:tab/>
          <w:t>86</w:t>
        </w:r>
      </w:hyperlink>
    </w:p>
    <w:p w14:paraId="1145179B" w14:textId="77777777" w:rsidR="009F3ED8" w:rsidRPr="009F3ED8" w:rsidRDefault="002F4485">
      <w:pPr>
        <w:pStyle w:val="Sadraj5"/>
      </w:pPr>
      <w:hyperlink w:anchor="_Toc511664539" w:history="1">
        <w:r w:rsidR="009F3ED8" w:rsidRPr="009F3ED8">
          <w:t>II.1.20.</w:t>
        </w:r>
        <w:r w:rsidR="009F3ED8" w:rsidRPr="009F3ED8">
          <w:tab/>
          <w:t>Contributory period for new pensions (number of years)</w:t>
        </w:r>
        <w:r w:rsidR="009F3ED8" w:rsidRPr="009F3ED8">
          <w:rPr>
            <w:webHidden/>
          </w:rPr>
          <w:tab/>
          <w:t>87</w:t>
        </w:r>
      </w:hyperlink>
    </w:p>
    <w:p w14:paraId="22A75A78" w14:textId="77777777" w:rsidR="009F3ED8" w:rsidRPr="009F3ED8" w:rsidRDefault="002F4485">
      <w:pPr>
        <w:pStyle w:val="Sadraj5"/>
      </w:pPr>
      <w:hyperlink w:anchor="_Toc511664540" w:history="1">
        <w:r w:rsidR="009F3ED8" w:rsidRPr="009F3ED8">
          <w:t>II.1.21.</w:t>
        </w:r>
        <w:r w:rsidR="009F3ED8" w:rsidRPr="009F3ED8">
          <w:tab/>
          <w:t>Average effective accrual rates of new public pensions</w:t>
        </w:r>
        <w:r w:rsidR="009F3ED8" w:rsidRPr="009F3ED8">
          <w:rPr>
            <w:webHidden/>
          </w:rPr>
          <w:tab/>
          <w:t>88</w:t>
        </w:r>
      </w:hyperlink>
    </w:p>
    <w:p w14:paraId="09467A2D" w14:textId="77777777" w:rsidR="009F3ED8" w:rsidRPr="009F3ED8" w:rsidRDefault="002F4485">
      <w:pPr>
        <w:pStyle w:val="Sadraj5"/>
      </w:pPr>
      <w:hyperlink w:anchor="_Toc511664541" w:history="1">
        <w:r w:rsidR="009F3ED8" w:rsidRPr="009F3ED8">
          <w:t>II.1.22.</w:t>
        </w:r>
        <w:r w:rsidR="009F3ED8" w:rsidRPr="009F3ED8">
          <w:tab/>
          <w:t>Summary table: impact of all sensitivity tests on the change in gross public pension expenditure in 2016-2070 (deviation from baseline, pps. of GDP)</w:t>
        </w:r>
        <w:r w:rsidR="009F3ED8" w:rsidRPr="009F3ED8">
          <w:rPr>
            <w:webHidden/>
          </w:rPr>
          <w:tab/>
          <w:t>94</w:t>
        </w:r>
      </w:hyperlink>
    </w:p>
    <w:p w14:paraId="6FC9B5E2" w14:textId="77777777" w:rsidR="009F3ED8" w:rsidRPr="009F3ED8" w:rsidRDefault="002F4485">
      <w:pPr>
        <w:pStyle w:val="Sadraj5"/>
      </w:pPr>
      <w:hyperlink w:anchor="_Toc511664542" w:history="1">
        <w:r w:rsidR="009F3ED8" w:rsidRPr="009F3ED8">
          <w:t>II.1.23.</w:t>
        </w:r>
        <w:r w:rsidR="009F3ED8" w:rsidRPr="009F3ED8">
          <w:tab/>
          <w:t>Comparison of gross public pension expenditure levels in 2016 and 2060: 2015 vs. 2018 Ageing Reports (% and pps. of GDP)</w:t>
        </w:r>
        <w:r w:rsidR="009F3ED8" w:rsidRPr="009F3ED8">
          <w:rPr>
            <w:webHidden/>
          </w:rPr>
          <w:tab/>
          <w:t>97</w:t>
        </w:r>
      </w:hyperlink>
    </w:p>
    <w:p w14:paraId="28539F61" w14:textId="77777777" w:rsidR="009F3ED8" w:rsidRPr="009F3ED8" w:rsidRDefault="002F4485">
      <w:pPr>
        <w:pStyle w:val="Sadraj5"/>
      </w:pPr>
      <w:hyperlink w:anchor="_Toc511664543" w:history="1">
        <w:r w:rsidR="009F3ED8" w:rsidRPr="009F3ED8">
          <w:t>II.1.24.</w:t>
        </w:r>
        <w:r w:rsidR="009F3ED8" w:rsidRPr="009F3ED8">
          <w:tab/>
          <w:t>Breakdown of the difference in the gross public pension expenditure change in 2016-2060 between the 2018 and 2015 Ageing Reports (pps. of GDP)</w:t>
        </w:r>
        <w:r w:rsidR="009F3ED8" w:rsidRPr="009F3ED8">
          <w:rPr>
            <w:webHidden/>
          </w:rPr>
          <w:tab/>
          <w:t>98</w:t>
        </w:r>
      </w:hyperlink>
    </w:p>
    <w:p w14:paraId="2B1624E1" w14:textId="77777777" w:rsidR="009F3ED8" w:rsidRPr="009F3ED8" w:rsidRDefault="002F4485">
      <w:pPr>
        <w:pStyle w:val="Sadraj5"/>
      </w:pPr>
      <w:hyperlink w:anchor="_Toc511664544" w:history="1">
        <w:r w:rsidR="009F3ED8" w:rsidRPr="009F3ED8">
          <w:t>II.1.25.</w:t>
        </w:r>
        <w:r w:rsidR="009F3ED8" w:rsidRPr="009F3ED8">
          <w:tab/>
          <w:t>Alternative breakdown of the difference in the gross public pension expenditure change in 2016-2060 between the 2018 and 2015 Ageing Reports (pps. of GDP)</w:t>
        </w:r>
        <w:r w:rsidR="009F3ED8" w:rsidRPr="009F3ED8">
          <w:rPr>
            <w:webHidden/>
          </w:rPr>
          <w:tab/>
          <w:t>100</w:t>
        </w:r>
      </w:hyperlink>
    </w:p>
    <w:p w14:paraId="0B91A103" w14:textId="77777777" w:rsidR="009F3ED8" w:rsidRPr="009F3ED8" w:rsidRDefault="002F4485">
      <w:pPr>
        <w:pStyle w:val="Sadraj5"/>
      </w:pPr>
      <w:hyperlink w:anchor="_Toc511664545" w:history="1">
        <w:r w:rsidR="009F3ED8" w:rsidRPr="009F3ED8">
          <w:t>II.1.26.</w:t>
        </w:r>
        <w:r w:rsidR="009F3ED8" w:rsidRPr="009F3ED8">
          <w:tab/>
          <w:t>Scope for improvement in the Member States' projections</w:t>
        </w:r>
        <w:r w:rsidR="009F3ED8" w:rsidRPr="009F3ED8">
          <w:rPr>
            <w:webHidden/>
          </w:rPr>
          <w:tab/>
          <w:t>101</w:t>
        </w:r>
      </w:hyperlink>
    </w:p>
    <w:p w14:paraId="6CDA9853" w14:textId="77777777" w:rsidR="009F3ED8" w:rsidRPr="009F3ED8" w:rsidRDefault="002F4485">
      <w:pPr>
        <w:pStyle w:val="Sadraj5"/>
      </w:pPr>
      <w:hyperlink w:anchor="_Toc511664546" w:history="1">
        <w:r w:rsidR="009F3ED8" w:rsidRPr="009F3ED8">
          <w:t>II.2.1.</w:t>
        </w:r>
        <w:r w:rsidR="009F3ED8" w:rsidRPr="009F3ED8">
          <w:tab/>
          <w:t>Overview of the scenarios used to project health care spending</w:t>
        </w:r>
        <w:r w:rsidR="009F3ED8" w:rsidRPr="009F3ED8">
          <w:rPr>
            <w:webHidden/>
          </w:rPr>
          <w:tab/>
          <w:t>114</w:t>
        </w:r>
      </w:hyperlink>
    </w:p>
    <w:p w14:paraId="191296C0" w14:textId="77777777" w:rsidR="009F3ED8" w:rsidRPr="009F3ED8" w:rsidRDefault="002F4485">
      <w:pPr>
        <w:pStyle w:val="Sadraj5"/>
      </w:pPr>
      <w:hyperlink w:anchor="_Toc511664547" w:history="1">
        <w:r w:rsidR="009F3ED8" w:rsidRPr="009F3ED8">
          <w:t>II.2.2.</w:t>
        </w:r>
        <w:r w:rsidR="009F3ED8" w:rsidRPr="009F3ED8">
          <w:tab/>
          <w:t>Health care reforms with direct budget impact taken into account in the projections</w:t>
        </w:r>
        <w:r w:rsidR="009F3ED8" w:rsidRPr="009F3ED8">
          <w:rPr>
            <w:webHidden/>
          </w:rPr>
          <w:tab/>
          <w:t>117</w:t>
        </w:r>
      </w:hyperlink>
    </w:p>
    <w:p w14:paraId="792DFB1E" w14:textId="77777777" w:rsidR="009F3ED8" w:rsidRPr="009F3ED8" w:rsidRDefault="002F4485">
      <w:pPr>
        <w:pStyle w:val="Sadraj5"/>
      </w:pPr>
      <w:hyperlink w:anchor="_Toc511664548" w:history="1">
        <w:r w:rsidR="009F3ED8" w:rsidRPr="009F3ED8">
          <w:t>II.2.3.</w:t>
        </w:r>
        <w:r w:rsidR="009F3ED8" w:rsidRPr="009F3ED8">
          <w:tab/>
          <w:t>Demographic scenario - projected increase in public expenditure on health care over 2016-2070, as % of GDP</w:t>
        </w:r>
        <w:r w:rsidR="009F3ED8" w:rsidRPr="009F3ED8">
          <w:rPr>
            <w:webHidden/>
          </w:rPr>
          <w:tab/>
          <w:t>119</w:t>
        </w:r>
      </w:hyperlink>
    </w:p>
    <w:p w14:paraId="7407B704" w14:textId="77777777" w:rsidR="009F3ED8" w:rsidRPr="009F3ED8" w:rsidRDefault="002F4485">
      <w:pPr>
        <w:pStyle w:val="Sadraj5"/>
      </w:pPr>
      <w:hyperlink w:anchor="_Toc511664549" w:history="1">
        <w:r w:rsidR="009F3ED8" w:rsidRPr="009F3ED8">
          <w:t>II.2.4.</w:t>
        </w:r>
        <w:r w:rsidR="009F3ED8" w:rsidRPr="009F3ED8">
          <w:tab/>
          <w:t>High life expectancy scenario - projected increase in public expenditure on health care over 2016-2070, as % of GDP.</w:t>
        </w:r>
        <w:r w:rsidR="009F3ED8" w:rsidRPr="009F3ED8">
          <w:rPr>
            <w:webHidden/>
          </w:rPr>
          <w:tab/>
          <w:t>119</w:t>
        </w:r>
      </w:hyperlink>
    </w:p>
    <w:p w14:paraId="6704FDE0" w14:textId="77777777" w:rsidR="009F3ED8" w:rsidRPr="009F3ED8" w:rsidRDefault="002F4485">
      <w:pPr>
        <w:pStyle w:val="Sadraj5"/>
      </w:pPr>
      <w:hyperlink w:anchor="_Toc511664550" w:history="1">
        <w:r w:rsidR="009F3ED8" w:rsidRPr="009F3ED8">
          <w:t>II.2.5.</w:t>
        </w:r>
        <w:r w:rsidR="009F3ED8" w:rsidRPr="009F3ED8">
          <w:tab/>
          <w:t>Healthy ageing scenario - projected increase in public expenditure on health care over 2016-2070, as % of GDP</w:t>
        </w:r>
        <w:r w:rsidR="009F3ED8" w:rsidRPr="009F3ED8">
          <w:rPr>
            <w:webHidden/>
          </w:rPr>
          <w:tab/>
          <w:t>120</w:t>
        </w:r>
      </w:hyperlink>
    </w:p>
    <w:p w14:paraId="458C6A18" w14:textId="77777777" w:rsidR="009F3ED8" w:rsidRPr="009F3ED8" w:rsidRDefault="002F4485">
      <w:pPr>
        <w:pStyle w:val="Sadraj5"/>
      </w:pPr>
      <w:hyperlink w:anchor="_Toc511664551" w:history="1">
        <w:r w:rsidR="009F3ED8" w:rsidRPr="009F3ED8">
          <w:t>II.2.6.</w:t>
        </w:r>
        <w:r w:rsidR="009F3ED8" w:rsidRPr="009F3ED8">
          <w:tab/>
          <w:t>Death-related costs scenario - projected increase in public expenditure on health care over 2016-2070, as % of GDP</w:t>
        </w:r>
        <w:r w:rsidR="009F3ED8" w:rsidRPr="009F3ED8">
          <w:rPr>
            <w:webHidden/>
          </w:rPr>
          <w:tab/>
          <w:t>120</w:t>
        </w:r>
      </w:hyperlink>
    </w:p>
    <w:p w14:paraId="36CEEDE4" w14:textId="77777777" w:rsidR="009F3ED8" w:rsidRPr="009F3ED8" w:rsidRDefault="002F4485">
      <w:pPr>
        <w:pStyle w:val="Sadraj5"/>
      </w:pPr>
      <w:hyperlink w:anchor="_Toc511664552" w:history="1">
        <w:r w:rsidR="009F3ED8" w:rsidRPr="009F3ED8">
          <w:t>II.2.7.</w:t>
        </w:r>
        <w:r w:rsidR="009F3ED8" w:rsidRPr="009F3ED8">
          <w:tab/>
          <w:t>Income elasticity scenario - projected increase in public expenditure on health care over 2016-2070, as % of GDP</w:t>
        </w:r>
        <w:r w:rsidR="009F3ED8" w:rsidRPr="009F3ED8">
          <w:rPr>
            <w:webHidden/>
          </w:rPr>
          <w:tab/>
          <w:t>122</w:t>
        </w:r>
      </w:hyperlink>
    </w:p>
    <w:p w14:paraId="3B890F22" w14:textId="77777777" w:rsidR="009F3ED8" w:rsidRPr="009F3ED8" w:rsidRDefault="002F4485">
      <w:pPr>
        <w:pStyle w:val="Sadraj5"/>
      </w:pPr>
      <w:hyperlink w:anchor="_Toc511664553" w:history="1">
        <w:r w:rsidR="009F3ED8" w:rsidRPr="009F3ED8">
          <w:t>II.2.8.</w:t>
        </w:r>
        <w:r w:rsidR="009F3ED8" w:rsidRPr="009F3ED8">
          <w:tab/>
          <w:t>The EU28 cost convergence scenario - projected increase in public expenditure on health care over 2016-2070, as % of GDP</w:t>
        </w:r>
        <w:r w:rsidR="009F3ED8" w:rsidRPr="009F3ED8">
          <w:rPr>
            <w:webHidden/>
          </w:rPr>
          <w:tab/>
          <w:t>122</w:t>
        </w:r>
      </w:hyperlink>
    </w:p>
    <w:p w14:paraId="141653E3" w14:textId="77777777" w:rsidR="009F3ED8" w:rsidRPr="009F3ED8" w:rsidRDefault="002F4485">
      <w:pPr>
        <w:pStyle w:val="Sadraj5"/>
      </w:pPr>
      <w:hyperlink w:anchor="_Toc511664554" w:history="1">
        <w:r w:rsidR="009F3ED8" w:rsidRPr="009F3ED8">
          <w:t>II.2.9.</w:t>
        </w:r>
        <w:r w:rsidR="009F3ED8" w:rsidRPr="009F3ED8">
          <w:tab/>
          <w:t>Labour intensity scenario - projected increase in public expenditure on health care over 2016-2070, as % of GDP</w:t>
        </w:r>
        <w:r w:rsidR="009F3ED8" w:rsidRPr="009F3ED8">
          <w:rPr>
            <w:webHidden/>
          </w:rPr>
          <w:tab/>
          <w:t>123</w:t>
        </w:r>
      </w:hyperlink>
    </w:p>
    <w:p w14:paraId="379CD859" w14:textId="77777777" w:rsidR="009F3ED8" w:rsidRPr="009F3ED8" w:rsidRDefault="002F4485">
      <w:pPr>
        <w:pStyle w:val="Sadraj5"/>
      </w:pPr>
      <w:hyperlink w:anchor="_Toc511664555" w:history="1">
        <w:r w:rsidR="009F3ED8" w:rsidRPr="009F3ED8">
          <w:t>II.2.10.</w:t>
        </w:r>
        <w:r w:rsidR="009F3ED8" w:rsidRPr="009F3ED8">
          <w:tab/>
          <w:t>Sector-specific composite indexation scenario - projected increase in public expenditure on health care over 2016-2070, as % of GDP</w:t>
        </w:r>
        <w:r w:rsidR="009F3ED8" w:rsidRPr="009F3ED8">
          <w:rPr>
            <w:webHidden/>
          </w:rPr>
          <w:tab/>
          <w:t>123</w:t>
        </w:r>
      </w:hyperlink>
    </w:p>
    <w:p w14:paraId="1724A09B" w14:textId="77777777" w:rsidR="009F3ED8" w:rsidRPr="009F3ED8" w:rsidRDefault="002F4485">
      <w:pPr>
        <w:pStyle w:val="Sadraj5"/>
      </w:pPr>
      <w:hyperlink w:anchor="_Toc511664556" w:history="1">
        <w:r w:rsidR="009F3ED8" w:rsidRPr="009F3ED8">
          <w:t>II.2.11.</w:t>
        </w:r>
        <w:r w:rsidR="009F3ED8" w:rsidRPr="009F3ED8">
          <w:tab/>
          <w:t>Non-demographic determinants scenario - projected increase in public expenditure on health care over 2016-2070, as % of GDP</w:t>
        </w:r>
        <w:r w:rsidR="009F3ED8" w:rsidRPr="009F3ED8">
          <w:rPr>
            <w:webHidden/>
          </w:rPr>
          <w:tab/>
          <w:t>124</w:t>
        </w:r>
      </w:hyperlink>
    </w:p>
    <w:p w14:paraId="73321EB7" w14:textId="77777777" w:rsidR="009F3ED8" w:rsidRPr="009F3ED8" w:rsidRDefault="002F4485">
      <w:pPr>
        <w:pStyle w:val="Sadraj5"/>
      </w:pPr>
      <w:hyperlink w:anchor="_Toc511664557" w:history="1">
        <w:r w:rsidR="009F3ED8" w:rsidRPr="009F3ED8">
          <w:t>II.2.12.</w:t>
        </w:r>
        <w:r w:rsidR="009F3ED8" w:rsidRPr="009F3ED8">
          <w:tab/>
          <w:t>AWG reference scenario - projected increase in public expenditure on health care over 2016-2070, as % of GDP</w:t>
        </w:r>
        <w:r w:rsidR="009F3ED8" w:rsidRPr="009F3ED8">
          <w:rPr>
            <w:webHidden/>
          </w:rPr>
          <w:tab/>
          <w:t>124</w:t>
        </w:r>
      </w:hyperlink>
    </w:p>
    <w:p w14:paraId="64D14C76" w14:textId="77777777" w:rsidR="009F3ED8" w:rsidRPr="009F3ED8" w:rsidRDefault="002F4485">
      <w:pPr>
        <w:pStyle w:val="Sadraj5"/>
      </w:pPr>
      <w:hyperlink w:anchor="_Toc511664558" w:history="1">
        <w:r w:rsidR="009F3ED8" w:rsidRPr="009F3ED8">
          <w:t>II.2.13.</w:t>
        </w:r>
        <w:r w:rsidR="009F3ED8" w:rsidRPr="009F3ED8">
          <w:tab/>
          <w:t>AWG risk scenario - projected increase in public expenditure on health care over 2016-2070, as % of GDP</w:t>
        </w:r>
        <w:r w:rsidR="009F3ED8" w:rsidRPr="009F3ED8">
          <w:rPr>
            <w:webHidden/>
          </w:rPr>
          <w:tab/>
          <w:t>125</w:t>
        </w:r>
      </w:hyperlink>
    </w:p>
    <w:p w14:paraId="4C6F3FFB" w14:textId="77777777" w:rsidR="009F3ED8" w:rsidRPr="009F3ED8" w:rsidRDefault="002F4485">
      <w:pPr>
        <w:pStyle w:val="Sadraj5"/>
      </w:pPr>
      <w:hyperlink w:anchor="_Toc511664559" w:history="1">
        <w:r w:rsidR="009F3ED8" w:rsidRPr="009F3ED8">
          <w:t>II.2.14.</w:t>
        </w:r>
        <w:r w:rsidR="009F3ED8" w:rsidRPr="009F3ED8">
          <w:tab/>
          <w:t>TFP risk scenario - projected increase in public expenditure on health care over 2016-2070, as % of GDP</w:t>
        </w:r>
        <w:r w:rsidR="009F3ED8" w:rsidRPr="009F3ED8">
          <w:rPr>
            <w:webHidden/>
          </w:rPr>
          <w:tab/>
          <w:t>125</w:t>
        </w:r>
      </w:hyperlink>
    </w:p>
    <w:p w14:paraId="62F65659" w14:textId="77777777" w:rsidR="009F3ED8" w:rsidRPr="009F3ED8" w:rsidRDefault="002F4485">
      <w:pPr>
        <w:pStyle w:val="Sadraj5"/>
      </w:pPr>
      <w:hyperlink w:anchor="_Toc511664560" w:history="1">
        <w:r w:rsidR="009F3ED8" w:rsidRPr="009F3ED8">
          <w:t>II.2.15.</w:t>
        </w:r>
        <w:r w:rsidR="009F3ED8" w:rsidRPr="009F3ED8">
          <w:tab/>
          <w:t>Overview of scenario results - increase in public expenditure on health care over 2016-2070, as pps. of GDP</w:t>
        </w:r>
        <w:r w:rsidR="009F3ED8" w:rsidRPr="009F3ED8">
          <w:rPr>
            <w:webHidden/>
          </w:rPr>
          <w:tab/>
          <w:t>126</w:t>
        </w:r>
      </w:hyperlink>
    </w:p>
    <w:p w14:paraId="1F5B9031" w14:textId="77777777" w:rsidR="009F3ED8" w:rsidRPr="009F3ED8" w:rsidRDefault="002F4485">
      <w:pPr>
        <w:pStyle w:val="Sadraj5"/>
      </w:pPr>
      <w:hyperlink w:anchor="_Toc511664561" w:history="1">
        <w:r w:rsidR="009F3ED8" w:rsidRPr="009F3ED8">
          <w:t>II.2.16.</w:t>
        </w:r>
        <w:r w:rsidR="009F3ED8" w:rsidRPr="009F3ED8">
          <w:tab/>
          <w:t>Sensitivity tests of the AWG reference scenario on health care - increase in public expenditure on health care over 2016-2070, as pps. of GDP</w:t>
        </w:r>
        <w:r w:rsidR="009F3ED8" w:rsidRPr="009F3ED8">
          <w:rPr>
            <w:webHidden/>
          </w:rPr>
          <w:tab/>
          <w:t>127</w:t>
        </w:r>
      </w:hyperlink>
    </w:p>
    <w:p w14:paraId="16B764F2" w14:textId="77777777" w:rsidR="009F3ED8" w:rsidRPr="009F3ED8" w:rsidRDefault="002F4485">
      <w:pPr>
        <w:pStyle w:val="Sadraj5"/>
      </w:pPr>
      <w:hyperlink w:anchor="_Toc511664562" w:history="1">
        <w:r w:rsidR="009F3ED8" w:rsidRPr="009F3ED8">
          <w:t>II.2.17.</w:t>
        </w:r>
        <w:r w:rsidR="009F3ED8" w:rsidRPr="009F3ED8">
          <w:tab/>
          <w:t>Decomposing the impact of drivers on differences in spending growth in health care expenditures between the 2018 and 2015 Ageing Reports, in pps. of GDP</w:t>
        </w:r>
        <w:r w:rsidR="009F3ED8" w:rsidRPr="009F3ED8">
          <w:rPr>
            <w:webHidden/>
          </w:rPr>
          <w:tab/>
          <w:t>129</w:t>
        </w:r>
      </w:hyperlink>
    </w:p>
    <w:p w14:paraId="14A853C9" w14:textId="77777777" w:rsidR="009F3ED8" w:rsidRPr="009F3ED8" w:rsidRDefault="002F4485">
      <w:pPr>
        <w:pStyle w:val="Sadraj5"/>
      </w:pPr>
      <w:hyperlink w:anchor="_Toc511664563" w:history="1">
        <w:r w:rsidR="009F3ED8" w:rsidRPr="009F3ED8">
          <w:t>II.3.1.</w:t>
        </w:r>
        <w:r w:rsidR="009F3ED8" w:rsidRPr="009F3ED8">
          <w:tab/>
          <w:t>Overview of different scenarios used to project long-term care spending</w:t>
        </w:r>
        <w:r w:rsidR="009F3ED8" w:rsidRPr="009F3ED8">
          <w:rPr>
            <w:webHidden/>
          </w:rPr>
          <w:tab/>
          <w:t>142</w:t>
        </w:r>
      </w:hyperlink>
    </w:p>
    <w:p w14:paraId="18A2FE85" w14:textId="77777777" w:rsidR="009F3ED8" w:rsidRPr="009F3ED8" w:rsidRDefault="002F4485">
      <w:pPr>
        <w:pStyle w:val="Sadraj5"/>
      </w:pPr>
      <w:hyperlink w:anchor="_Toc511664564" w:history="1">
        <w:r w:rsidR="009F3ED8" w:rsidRPr="009F3ED8">
          <w:t>II.3.2.</w:t>
        </w:r>
        <w:r w:rsidR="009F3ED8" w:rsidRPr="009F3ED8">
          <w:tab/>
          <w:t>Long-term care reforms with direct budget impact taken into account in the projections</w:t>
        </w:r>
        <w:r w:rsidR="009F3ED8" w:rsidRPr="009F3ED8">
          <w:rPr>
            <w:webHidden/>
          </w:rPr>
          <w:tab/>
          <w:t>145</w:t>
        </w:r>
      </w:hyperlink>
    </w:p>
    <w:p w14:paraId="400AE625" w14:textId="77777777" w:rsidR="009F3ED8" w:rsidRPr="009F3ED8" w:rsidRDefault="002F4485">
      <w:pPr>
        <w:pStyle w:val="Sadraj5"/>
      </w:pPr>
      <w:hyperlink w:anchor="_Toc511664565" w:history="1">
        <w:r w:rsidR="009F3ED8" w:rsidRPr="009F3ED8">
          <w:t>II.3.3.</w:t>
        </w:r>
        <w:r w:rsidR="009F3ED8" w:rsidRPr="009F3ED8">
          <w:tab/>
          <w:t>Projections with country-specific indexation vs standard indexation</w:t>
        </w:r>
        <w:r w:rsidR="009F3ED8" w:rsidRPr="009F3ED8">
          <w:rPr>
            <w:webHidden/>
          </w:rPr>
          <w:tab/>
          <w:t>146</w:t>
        </w:r>
      </w:hyperlink>
    </w:p>
    <w:p w14:paraId="7D2BEB42" w14:textId="77777777" w:rsidR="009F3ED8" w:rsidRPr="009F3ED8" w:rsidRDefault="002F4485">
      <w:pPr>
        <w:pStyle w:val="Sadraj5"/>
      </w:pPr>
      <w:hyperlink w:anchor="_Toc511664566" w:history="1">
        <w:r w:rsidR="009F3ED8" w:rsidRPr="009F3ED8">
          <w:t>II.3.4.</w:t>
        </w:r>
        <w:r w:rsidR="009F3ED8" w:rsidRPr="009F3ED8">
          <w:tab/>
          <w:t>Demographic scenario, projected public expenditure on long-term care as % of GDP</w:t>
        </w:r>
        <w:r w:rsidR="009F3ED8" w:rsidRPr="009F3ED8">
          <w:rPr>
            <w:webHidden/>
          </w:rPr>
          <w:tab/>
          <w:t>146</w:t>
        </w:r>
      </w:hyperlink>
    </w:p>
    <w:p w14:paraId="18ED50AB" w14:textId="77777777" w:rsidR="009F3ED8" w:rsidRPr="009F3ED8" w:rsidRDefault="002F4485">
      <w:pPr>
        <w:pStyle w:val="Sadraj5"/>
      </w:pPr>
      <w:hyperlink w:anchor="_Toc511664567" w:history="1">
        <w:r w:rsidR="009F3ED8" w:rsidRPr="009F3ED8">
          <w:t>II.3.5.</w:t>
        </w:r>
        <w:r w:rsidR="009F3ED8" w:rsidRPr="009F3ED8">
          <w:tab/>
          <w:t>Base case scenario, projected public expenditure on long-term care as % of GDP</w:t>
        </w:r>
        <w:r w:rsidR="009F3ED8" w:rsidRPr="009F3ED8">
          <w:rPr>
            <w:webHidden/>
          </w:rPr>
          <w:tab/>
          <w:t>147</w:t>
        </w:r>
      </w:hyperlink>
    </w:p>
    <w:p w14:paraId="633C762D" w14:textId="77777777" w:rsidR="009F3ED8" w:rsidRPr="009F3ED8" w:rsidRDefault="002F4485">
      <w:pPr>
        <w:pStyle w:val="Sadraj5"/>
      </w:pPr>
      <w:hyperlink w:anchor="_Toc511664568" w:history="1">
        <w:r w:rsidR="009F3ED8" w:rsidRPr="009F3ED8">
          <w:t>II.3.6.</w:t>
        </w:r>
        <w:r w:rsidR="009F3ED8" w:rsidRPr="009F3ED8">
          <w:tab/>
          <w:t>High life expectancy scenario, projected public expenditure on long-term care as % of GDP</w:t>
        </w:r>
        <w:r w:rsidR="009F3ED8" w:rsidRPr="009F3ED8">
          <w:rPr>
            <w:webHidden/>
          </w:rPr>
          <w:tab/>
          <w:t>148</w:t>
        </w:r>
      </w:hyperlink>
    </w:p>
    <w:p w14:paraId="218E962F" w14:textId="77777777" w:rsidR="009F3ED8" w:rsidRPr="009F3ED8" w:rsidRDefault="002F4485">
      <w:pPr>
        <w:pStyle w:val="Sadraj5"/>
      </w:pPr>
      <w:hyperlink w:anchor="_Toc511664569" w:history="1">
        <w:r w:rsidR="009F3ED8" w:rsidRPr="009F3ED8">
          <w:t>II.3.7.</w:t>
        </w:r>
        <w:r w:rsidR="009F3ED8" w:rsidRPr="009F3ED8">
          <w:tab/>
          <w:t>Healthy ageing scenario, projected public expenditure on long-term care as % of GDP</w:t>
        </w:r>
        <w:r w:rsidR="009F3ED8" w:rsidRPr="009F3ED8">
          <w:rPr>
            <w:webHidden/>
          </w:rPr>
          <w:tab/>
          <w:t>148</w:t>
        </w:r>
      </w:hyperlink>
    </w:p>
    <w:p w14:paraId="762449E2" w14:textId="77777777" w:rsidR="009F3ED8" w:rsidRPr="009F3ED8" w:rsidRDefault="002F4485">
      <w:pPr>
        <w:pStyle w:val="Sadraj5"/>
      </w:pPr>
      <w:hyperlink w:anchor="_Toc511664570" w:history="1">
        <w:r w:rsidR="009F3ED8" w:rsidRPr="009F3ED8">
          <w:t>II.3.8.</w:t>
        </w:r>
        <w:r w:rsidR="009F3ED8" w:rsidRPr="009F3ED8">
          <w:tab/>
          <w:t>Shift from informal to formal care scenario, projected public expenditure on long-term care as % of GDP</w:t>
        </w:r>
        <w:r w:rsidR="009F3ED8" w:rsidRPr="009F3ED8">
          <w:rPr>
            <w:webHidden/>
          </w:rPr>
          <w:tab/>
          <w:t>149</w:t>
        </w:r>
      </w:hyperlink>
    </w:p>
    <w:p w14:paraId="693367DF" w14:textId="77777777" w:rsidR="009F3ED8" w:rsidRPr="009F3ED8" w:rsidRDefault="002F4485">
      <w:pPr>
        <w:pStyle w:val="Sadraj5"/>
      </w:pPr>
      <w:hyperlink w:anchor="_Toc511664571" w:history="1">
        <w:r w:rsidR="009F3ED8" w:rsidRPr="009F3ED8">
          <w:t>II.3.9.</w:t>
        </w:r>
        <w:r w:rsidR="009F3ED8" w:rsidRPr="009F3ED8">
          <w:tab/>
          <w:t>Coverage convergence scenario, projected public expenditure on long-term care as % of GDP</w:t>
        </w:r>
        <w:r w:rsidR="009F3ED8" w:rsidRPr="009F3ED8">
          <w:rPr>
            <w:webHidden/>
          </w:rPr>
          <w:tab/>
          <w:t>150</w:t>
        </w:r>
      </w:hyperlink>
    </w:p>
    <w:p w14:paraId="7424D11E" w14:textId="77777777" w:rsidR="009F3ED8" w:rsidRPr="009F3ED8" w:rsidRDefault="002F4485">
      <w:pPr>
        <w:pStyle w:val="Sadraj5"/>
      </w:pPr>
      <w:hyperlink w:anchor="_Toc511664572" w:history="1">
        <w:r w:rsidR="009F3ED8" w:rsidRPr="009F3ED8">
          <w:t>II.3.10.</w:t>
        </w:r>
        <w:r w:rsidR="009F3ED8" w:rsidRPr="009F3ED8">
          <w:tab/>
          <w:t>Cost convergence scenario, projected public expenditure on long-term care as % of GDP</w:t>
        </w:r>
        <w:r w:rsidR="009F3ED8" w:rsidRPr="009F3ED8">
          <w:rPr>
            <w:webHidden/>
          </w:rPr>
          <w:tab/>
          <w:t>150</w:t>
        </w:r>
      </w:hyperlink>
    </w:p>
    <w:p w14:paraId="43775672" w14:textId="77777777" w:rsidR="009F3ED8" w:rsidRPr="009F3ED8" w:rsidRDefault="002F4485">
      <w:pPr>
        <w:pStyle w:val="Sadraj5"/>
      </w:pPr>
      <w:hyperlink w:anchor="_Toc511664573" w:history="1">
        <w:r w:rsidR="009F3ED8" w:rsidRPr="009F3ED8">
          <w:t>II.3.11.</w:t>
        </w:r>
        <w:r w:rsidR="009F3ED8" w:rsidRPr="009F3ED8">
          <w:tab/>
          <w:t>Cost and coverage convergence scenario, projected public expenditure on long-term care as % of GDP</w:t>
        </w:r>
        <w:r w:rsidR="009F3ED8" w:rsidRPr="009F3ED8">
          <w:rPr>
            <w:webHidden/>
          </w:rPr>
          <w:tab/>
          <w:t>151</w:t>
        </w:r>
      </w:hyperlink>
    </w:p>
    <w:p w14:paraId="543C38A4" w14:textId="77777777" w:rsidR="009F3ED8" w:rsidRPr="009F3ED8" w:rsidRDefault="002F4485">
      <w:pPr>
        <w:pStyle w:val="Sadraj5"/>
      </w:pPr>
      <w:hyperlink w:anchor="_Toc511664574" w:history="1">
        <w:r w:rsidR="009F3ED8" w:rsidRPr="009F3ED8">
          <w:t>II.3.12.</w:t>
        </w:r>
        <w:r w:rsidR="009F3ED8" w:rsidRPr="009F3ED8">
          <w:tab/>
          <w:t>AWG reference scenario, projected public expenditure on long-term care as % of GDP</w:t>
        </w:r>
        <w:r w:rsidR="009F3ED8" w:rsidRPr="009F3ED8">
          <w:rPr>
            <w:webHidden/>
          </w:rPr>
          <w:tab/>
          <w:t>151</w:t>
        </w:r>
      </w:hyperlink>
    </w:p>
    <w:p w14:paraId="2555D4A1" w14:textId="77777777" w:rsidR="009F3ED8" w:rsidRPr="009F3ED8" w:rsidRDefault="002F4485">
      <w:pPr>
        <w:pStyle w:val="Sadraj5"/>
      </w:pPr>
      <w:hyperlink w:anchor="_Toc511664575" w:history="1">
        <w:r w:rsidR="009F3ED8" w:rsidRPr="009F3ED8">
          <w:t>II.3.13.</w:t>
        </w:r>
        <w:r w:rsidR="009F3ED8" w:rsidRPr="009F3ED8">
          <w:tab/>
          <w:t>AWG risk scenario, projected public expenditure on long-term care as % of GDP</w:t>
        </w:r>
        <w:r w:rsidR="009F3ED8" w:rsidRPr="009F3ED8">
          <w:rPr>
            <w:webHidden/>
          </w:rPr>
          <w:tab/>
          <w:t>152</w:t>
        </w:r>
      </w:hyperlink>
    </w:p>
    <w:p w14:paraId="68CAF14A" w14:textId="77777777" w:rsidR="009F3ED8" w:rsidRPr="009F3ED8" w:rsidRDefault="002F4485">
      <w:pPr>
        <w:pStyle w:val="Sadraj5"/>
      </w:pPr>
      <w:hyperlink w:anchor="_Toc511664576" w:history="1">
        <w:r w:rsidR="009F3ED8" w:rsidRPr="009F3ED8">
          <w:t>II.3.14.</w:t>
        </w:r>
        <w:r w:rsidR="009F3ED8" w:rsidRPr="009F3ED8">
          <w:tab/>
          <w:t>Sensitivity scenarios - change in spending as % of GDP 2016-2070</w:t>
        </w:r>
        <w:r w:rsidR="009F3ED8" w:rsidRPr="009F3ED8">
          <w:rPr>
            <w:webHidden/>
          </w:rPr>
          <w:tab/>
          <w:t>153</w:t>
        </w:r>
      </w:hyperlink>
    </w:p>
    <w:p w14:paraId="4C9784B1" w14:textId="77777777" w:rsidR="009F3ED8" w:rsidRPr="009F3ED8" w:rsidRDefault="002F4485">
      <w:pPr>
        <w:pStyle w:val="Sadraj5"/>
      </w:pPr>
      <w:hyperlink w:anchor="_Toc511664577" w:history="1">
        <w:r w:rsidR="009F3ED8" w:rsidRPr="009F3ED8">
          <w:t>II.3.15.</w:t>
        </w:r>
        <w:r w:rsidR="009F3ED8" w:rsidRPr="009F3ED8">
          <w:tab/>
          <w:t>Comparison between public long-term care spending as % of GDP in the 2018 and the 2015 Ageing Reports, in the base year (i.e. 2016) of current projections</w:t>
        </w:r>
        <w:r w:rsidR="009F3ED8" w:rsidRPr="009F3ED8">
          <w:rPr>
            <w:webHidden/>
          </w:rPr>
          <w:tab/>
          <w:t>154</w:t>
        </w:r>
      </w:hyperlink>
    </w:p>
    <w:p w14:paraId="6BCA47D9" w14:textId="77777777" w:rsidR="009F3ED8" w:rsidRPr="009F3ED8" w:rsidRDefault="002F4485">
      <w:pPr>
        <w:pStyle w:val="Sadraj5"/>
      </w:pPr>
      <w:hyperlink w:anchor="_Toc511664578" w:history="1">
        <w:r w:rsidR="009F3ED8" w:rsidRPr="009F3ED8">
          <w:t>II.3.16.</w:t>
        </w:r>
        <w:r w:rsidR="009F3ED8" w:rsidRPr="009F3ED8">
          <w:tab/>
          <w:t>Decomposing the impact of drivers on differences in spending growth (2016-2060) between the 2018 and the 2015 Ageing Reports- based on the reference case scenario, in pps. of GDP</w:t>
        </w:r>
        <w:r w:rsidR="009F3ED8" w:rsidRPr="009F3ED8">
          <w:rPr>
            <w:webHidden/>
          </w:rPr>
          <w:tab/>
          <w:t>155</w:t>
        </w:r>
      </w:hyperlink>
    </w:p>
    <w:p w14:paraId="4A334FF6" w14:textId="77777777" w:rsidR="009F3ED8" w:rsidRPr="009F3ED8" w:rsidRDefault="002F4485">
      <w:pPr>
        <w:pStyle w:val="Sadraj5"/>
      </w:pPr>
      <w:hyperlink w:anchor="_Toc511664579" w:history="1">
        <w:r w:rsidR="009F3ED8" w:rsidRPr="009F3ED8">
          <w:t>II.3.17.</w:t>
        </w:r>
        <w:r w:rsidR="009F3ED8" w:rsidRPr="009F3ED8">
          <w:tab/>
          <w:t>Overview of results across scenarios – Change in spending as % of GDP 2016-2070</w:t>
        </w:r>
        <w:r w:rsidR="009F3ED8" w:rsidRPr="009F3ED8">
          <w:rPr>
            <w:webHidden/>
          </w:rPr>
          <w:tab/>
          <w:t>157</w:t>
        </w:r>
      </w:hyperlink>
    </w:p>
    <w:p w14:paraId="2D8F5B39" w14:textId="77777777" w:rsidR="009F3ED8" w:rsidRPr="009F3ED8" w:rsidRDefault="002F4485">
      <w:pPr>
        <w:pStyle w:val="Sadraj5"/>
      </w:pPr>
      <w:hyperlink w:anchor="_Toc511664580" w:history="1">
        <w:r w:rsidR="009F3ED8" w:rsidRPr="009F3ED8">
          <w:t>II.4.1.</w:t>
        </w:r>
        <w:r w:rsidR="009F3ED8" w:rsidRPr="009F3ED8">
          <w:tab/>
          <w:t>Government expenditure on education, baseline scenario, % of GDP</w:t>
        </w:r>
        <w:r w:rsidR="009F3ED8" w:rsidRPr="009F3ED8">
          <w:rPr>
            <w:webHidden/>
          </w:rPr>
          <w:tab/>
          <w:t>163</w:t>
        </w:r>
      </w:hyperlink>
    </w:p>
    <w:p w14:paraId="6FAB5ECA" w14:textId="77777777" w:rsidR="009F3ED8" w:rsidRPr="009F3ED8" w:rsidRDefault="002F4485">
      <w:pPr>
        <w:pStyle w:val="Sadraj5"/>
      </w:pPr>
      <w:hyperlink w:anchor="_Toc511664581" w:history="1">
        <w:r w:rsidR="009F3ED8" w:rsidRPr="009F3ED8">
          <w:t>II.4.2.</w:t>
        </w:r>
        <w:r w:rsidR="009F3ED8" w:rsidRPr="009F3ED8">
          <w:tab/>
          <w:t>Breakdown of total variation in expenditure between 2016 and 2070 - Baseline scenario</w:t>
        </w:r>
        <w:r w:rsidR="009F3ED8" w:rsidRPr="009F3ED8">
          <w:rPr>
            <w:webHidden/>
          </w:rPr>
          <w:tab/>
          <w:t>165</w:t>
        </w:r>
      </w:hyperlink>
    </w:p>
    <w:p w14:paraId="1C60575B" w14:textId="77777777" w:rsidR="009F3ED8" w:rsidRPr="009F3ED8" w:rsidRDefault="002F4485">
      <w:pPr>
        <w:pStyle w:val="Sadraj5"/>
      </w:pPr>
      <w:hyperlink w:anchor="_Toc511664582" w:history="1">
        <w:r w:rsidR="009F3ED8" w:rsidRPr="009F3ED8">
          <w:t>II.4.3.</w:t>
        </w:r>
        <w:r w:rsidR="009F3ED8" w:rsidRPr="009F3ED8">
          <w:tab/>
          <w:t>Breakdown of revisions in expenditure-to-GDP ratio (2018 AR round minus 2015 AR round) - Values for the Baseline scenario in 2060</w:t>
        </w:r>
        <w:r w:rsidR="009F3ED8" w:rsidRPr="009F3ED8">
          <w:rPr>
            <w:webHidden/>
          </w:rPr>
          <w:tab/>
          <w:t>166</w:t>
        </w:r>
      </w:hyperlink>
    </w:p>
    <w:p w14:paraId="37040E28" w14:textId="77777777" w:rsidR="009F3ED8" w:rsidRPr="009F3ED8" w:rsidRDefault="002F4485">
      <w:pPr>
        <w:pStyle w:val="Sadraj5"/>
      </w:pPr>
      <w:hyperlink w:anchor="_Toc511664583" w:history="1">
        <w:r w:rsidR="009F3ED8" w:rsidRPr="009F3ED8">
          <w:t>II.4.4.</w:t>
        </w:r>
        <w:r w:rsidR="009F3ED8" w:rsidRPr="009F3ED8">
          <w:tab/>
          <w:t>Baseline and Sensitivity Scenarios (Public Expenditure-to-GDP ratio) - Difference between 2016 and 2070</w:t>
        </w:r>
        <w:r w:rsidR="009F3ED8" w:rsidRPr="009F3ED8">
          <w:rPr>
            <w:webHidden/>
          </w:rPr>
          <w:tab/>
          <w:t>169</w:t>
        </w:r>
      </w:hyperlink>
    </w:p>
    <w:p w14:paraId="319FF50A" w14:textId="77777777" w:rsidR="009F3ED8" w:rsidRPr="009F3ED8" w:rsidRDefault="002F4485">
      <w:pPr>
        <w:pStyle w:val="Sadraj5"/>
      </w:pPr>
      <w:hyperlink w:anchor="_Toc511664584" w:history="1">
        <w:r w:rsidR="009F3ED8" w:rsidRPr="009F3ED8">
          <w:t>II.4.5.</w:t>
        </w:r>
        <w:r w:rsidR="009F3ED8" w:rsidRPr="009F3ED8">
          <w:tab/>
          <w:t>Alternative sensitivity scenarios - Difference from the Baseline in 2070</w:t>
        </w:r>
        <w:r w:rsidR="009F3ED8" w:rsidRPr="009F3ED8">
          <w:rPr>
            <w:webHidden/>
          </w:rPr>
          <w:tab/>
          <w:t>170</w:t>
        </w:r>
      </w:hyperlink>
    </w:p>
    <w:p w14:paraId="608858AC" w14:textId="77777777" w:rsidR="009F3ED8" w:rsidRPr="009F3ED8" w:rsidRDefault="002F4485">
      <w:pPr>
        <w:pStyle w:val="Sadraj5"/>
      </w:pPr>
      <w:hyperlink w:anchor="_Toc511664585" w:history="1">
        <w:r w:rsidR="009F3ED8" w:rsidRPr="009F3ED8">
          <w:t>II.5.1.</w:t>
        </w:r>
        <w:r w:rsidR="009F3ED8" w:rsidRPr="009F3ED8">
          <w:tab/>
          <w:t>Periodic full and partial unemployment benefits, % of GDP</w:t>
        </w:r>
        <w:r w:rsidR="009F3ED8" w:rsidRPr="009F3ED8">
          <w:rPr>
            <w:webHidden/>
          </w:rPr>
          <w:tab/>
          <w:t>172</w:t>
        </w:r>
      </w:hyperlink>
    </w:p>
    <w:p w14:paraId="69BEA8BB" w14:textId="77777777" w:rsidR="009F3ED8" w:rsidRPr="009F3ED8" w:rsidRDefault="002F4485">
      <w:pPr>
        <w:pStyle w:val="Sadraj5"/>
      </w:pPr>
      <w:hyperlink w:anchor="_Toc511664586" w:history="1">
        <w:r w:rsidR="009F3ED8" w:rsidRPr="009F3ED8">
          <w:t>II.5.2.</w:t>
        </w:r>
        <w:r w:rsidR="009F3ED8" w:rsidRPr="009F3ED8">
          <w:tab/>
          <w:t>Unemployment rate projections, age 15-64, % of labour force</w:t>
        </w:r>
        <w:r w:rsidR="009F3ED8" w:rsidRPr="009F3ED8">
          <w:rPr>
            <w:webHidden/>
          </w:rPr>
          <w:tab/>
          <w:t>173</w:t>
        </w:r>
      </w:hyperlink>
    </w:p>
    <w:p w14:paraId="525BFD80" w14:textId="77777777" w:rsidR="009F3ED8" w:rsidRPr="009F3ED8" w:rsidRDefault="002F4485">
      <w:pPr>
        <w:pStyle w:val="Sadraj5"/>
      </w:pPr>
      <w:hyperlink w:anchor="_Toc511664587" w:history="1">
        <w:r w:rsidR="009F3ED8" w:rsidRPr="009F3ED8">
          <w:t>II.5.3.</w:t>
        </w:r>
        <w:r w:rsidR="009F3ED8" w:rsidRPr="009F3ED8">
          <w:tab/>
          <w:t>Unemployment benefit expenditure, baseline and alternative scenarios, % of GDP, 2016-70</w:t>
        </w:r>
        <w:r w:rsidR="009F3ED8" w:rsidRPr="009F3ED8">
          <w:rPr>
            <w:webHidden/>
          </w:rPr>
          <w:tab/>
          <w:t>174</w:t>
        </w:r>
      </w:hyperlink>
    </w:p>
    <w:p w14:paraId="2E190319" w14:textId="77777777" w:rsidR="009F3ED8" w:rsidRPr="009F3ED8" w:rsidRDefault="002F4485">
      <w:pPr>
        <w:pStyle w:val="Sadraj5"/>
      </w:pPr>
      <w:hyperlink w:anchor="_Toc511664588" w:history="1">
        <w:r w:rsidR="009F3ED8" w:rsidRPr="009F3ED8">
          <w:t>II.AI.1.</w:t>
        </w:r>
        <w:r w:rsidR="009F3ED8" w:rsidRPr="009F3ED8">
          <w:tab/>
          <w:t>Pension projections reporting framework: blocks common to all schemes</w:t>
        </w:r>
        <w:r w:rsidR="009F3ED8" w:rsidRPr="009F3ED8">
          <w:rPr>
            <w:webHidden/>
          </w:rPr>
          <w:tab/>
          <w:t>175</w:t>
        </w:r>
      </w:hyperlink>
    </w:p>
    <w:p w14:paraId="1098A9A1" w14:textId="77777777" w:rsidR="009F3ED8" w:rsidRPr="009F3ED8" w:rsidRDefault="002F4485">
      <w:pPr>
        <w:pStyle w:val="Sadraj5"/>
      </w:pPr>
      <w:hyperlink w:anchor="_Toc511664589" w:history="1">
        <w:r w:rsidR="009F3ED8" w:rsidRPr="009F3ED8">
          <w:t>II.AI.2.</w:t>
        </w:r>
        <w:r w:rsidR="009F3ED8" w:rsidRPr="009F3ED8">
          <w:tab/>
          <w:t>Pension projections reporting sheet: decomposition of new public pensions expenditure - earnings related for defined benefit (DB) schemes</w:t>
        </w:r>
        <w:r w:rsidR="009F3ED8" w:rsidRPr="009F3ED8">
          <w:rPr>
            <w:webHidden/>
          </w:rPr>
          <w:tab/>
          <w:t>177</w:t>
        </w:r>
      </w:hyperlink>
    </w:p>
    <w:p w14:paraId="4BB04D45" w14:textId="77777777" w:rsidR="009F3ED8" w:rsidRPr="009F3ED8" w:rsidRDefault="002F4485">
      <w:pPr>
        <w:pStyle w:val="Sadraj5"/>
      </w:pPr>
      <w:hyperlink w:anchor="_Toc511664590" w:history="1">
        <w:r w:rsidR="009F3ED8" w:rsidRPr="009F3ED8">
          <w:t>II.AI.3.</w:t>
        </w:r>
        <w:r w:rsidR="009F3ED8" w:rsidRPr="009F3ED8">
          <w:tab/>
          <w:t>Pension projection reporting sheet: decomposition of new public pension expenditure - earnings related for notional defined contribution (NDC) schemes</w:t>
        </w:r>
        <w:r w:rsidR="009F3ED8" w:rsidRPr="009F3ED8">
          <w:rPr>
            <w:webHidden/>
          </w:rPr>
          <w:tab/>
          <w:t>177</w:t>
        </w:r>
      </w:hyperlink>
    </w:p>
    <w:p w14:paraId="45912A5B" w14:textId="77777777" w:rsidR="009F3ED8" w:rsidRPr="009F3ED8" w:rsidRDefault="002F4485">
      <w:pPr>
        <w:pStyle w:val="Sadraj5"/>
      </w:pPr>
      <w:hyperlink w:anchor="_Toc511664591" w:history="1">
        <w:r w:rsidR="009F3ED8" w:rsidRPr="009F3ED8">
          <w:t>II.AI.4.</w:t>
        </w:r>
        <w:r w:rsidR="009F3ED8" w:rsidRPr="009F3ED8">
          <w:tab/>
          <w:t>Pension projection reporting sheet: decomposition of new public pension expenditure - earnings related for point schemes (PS)</w:t>
        </w:r>
        <w:r w:rsidR="009F3ED8" w:rsidRPr="009F3ED8">
          <w:rPr>
            <w:webHidden/>
          </w:rPr>
          <w:tab/>
          <w:t>177</w:t>
        </w:r>
      </w:hyperlink>
    </w:p>
    <w:p w14:paraId="6D12BA2D" w14:textId="77777777" w:rsidR="009F3ED8" w:rsidRPr="009F3ED8" w:rsidRDefault="002F4485">
      <w:pPr>
        <w:pStyle w:val="Sadraj5"/>
      </w:pPr>
      <w:hyperlink w:anchor="_Toc511664592" w:history="1">
        <w:r w:rsidR="009F3ED8" w:rsidRPr="009F3ED8">
          <w:t>II.AI.5.</w:t>
        </w:r>
        <w:r w:rsidR="009F3ED8" w:rsidRPr="009F3ED8">
          <w:tab/>
          <w:t>Pension projections reporting sheet: decomposition of new private pension expenditure</w:t>
        </w:r>
        <w:r w:rsidR="009F3ED8" w:rsidRPr="009F3ED8">
          <w:rPr>
            <w:webHidden/>
          </w:rPr>
          <w:tab/>
          <w:t>178</w:t>
        </w:r>
      </w:hyperlink>
    </w:p>
    <w:p w14:paraId="027D3761" w14:textId="77777777" w:rsidR="009F3ED8" w:rsidRPr="009F3ED8" w:rsidRDefault="002F4485">
      <w:pPr>
        <w:pStyle w:val="Sadraj5"/>
      </w:pPr>
      <w:hyperlink w:anchor="_Toc511664593" w:history="1">
        <w:r w:rsidR="009F3ED8" w:rsidRPr="009F3ED8">
          <w:t>II.AII.1.</w:t>
        </w:r>
        <w:r w:rsidR="009F3ED8" w:rsidRPr="009F3ED8">
          <w:tab/>
          <w:t>Pension schemes in EU Member States and projection coverage</w:t>
        </w:r>
        <w:r w:rsidR="009F3ED8" w:rsidRPr="009F3ED8">
          <w:rPr>
            <w:webHidden/>
          </w:rPr>
          <w:tab/>
          <w:t>179</w:t>
        </w:r>
      </w:hyperlink>
    </w:p>
    <w:p w14:paraId="18C22E6D" w14:textId="77777777" w:rsidR="009F3ED8" w:rsidRPr="009F3ED8" w:rsidRDefault="002F4485">
      <w:pPr>
        <w:pStyle w:val="Sadraj5"/>
      </w:pPr>
      <w:hyperlink w:anchor="_Toc511664594" w:history="1">
        <w:r w:rsidR="009F3ED8" w:rsidRPr="009F3ED8">
          <w:t>II.AII.2.</w:t>
        </w:r>
        <w:r w:rsidR="009F3ED8" w:rsidRPr="009F3ED8">
          <w:tab/>
          <w:t>Coverage of special pensions in the 2018 pension projections</w:t>
        </w:r>
        <w:r w:rsidR="009F3ED8" w:rsidRPr="009F3ED8">
          <w:rPr>
            <w:webHidden/>
          </w:rPr>
          <w:tab/>
          <w:t>180</w:t>
        </w:r>
      </w:hyperlink>
    </w:p>
    <w:p w14:paraId="6C7BC930" w14:textId="77777777" w:rsidR="009F3ED8" w:rsidRPr="009F3ED8" w:rsidRDefault="002F4485">
      <w:pPr>
        <w:pStyle w:val="Sadraj5"/>
      </w:pPr>
      <w:hyperlink w:anchor="_Toc511664595" w:history="1">
        <w:r w:rsidR="009F3ED8" w:rsidRPr="009F3ED8">
          <w:t>II.AII.3.</w:t>
        </w:r>
        <w:r w:rsidR="009F3ED8" w:rsidRPr="009F3ED8">
          <w:tab/>
          <w:t>Key indexation and valorisation parameters of pension system in Europe (old-age pensions)</w:t>
        </w:r>
        <w:r w:rsidR="009F3ED8" w:rsidRPr="009F3ED8">
          <w:rPr>
            <w:webHidden/>
          </w:rPr>
          <w:tab/>
          <w:t>181</w:t>
        </w:r>
      </w:hyperlink>
    </w:p>
    <w:p w14:paraId="63E2331E" w14:textId="77777777" w:rsidR="009F3ED8" w:rsidRPr="009F3ED8" w:rsidRDefault="002F4485">
      <w:pPr>
        <w:pStyle w:val="Sadraj5"/>
      </w:pPr>
      <w:hyperlink w:anchor="_Toc511664596" w:history="1">
        <w:r w:rsidR="009F3ED8" w:rsidRPr="009F3ED8">
          <w:t>II.AII.4.</w:t>
        </w:r>
        <w:r w:rsidR="009F3ED8" w:rsidRPr="009F3ED8">
          <w:tab/>
          <w:t>Average retirement age (old-age pensions) and average exit age from the labour market</w:t>
        </w:r>
        <w:r w:rsidR="009F3ED8" w:rsidRPr="009F3ED8">
          <w:rPr>
            <w:webHidden/>
          </w:rPr>
          <w:tab/>
          <w:t>182</w:t>
        </w:r>
      </w:hyperlink>
    </w:p>
    <w:p w14:paraId="77CFE953" w14:textId="77777777" w:rsidR="009F3ED8" w:rsidRPr="009F3ED8" w:rsidRDefault="002F4485">
      <w:pPr>
        <w:pStyle w:val="Sadraj5"/>
      </w:pPr>
      <w:hyperlink w:anchor="_Toc511664597" w:history="1">
        <w:r w:rsidR="009F3ED8" w:rsidRPr="009F3ED8">
          <w:t>II.AII.5.</w:t>
        </w:r>
        <w:r w:rsidR="009F3ED8" w:rsidRPr="009F3ED8">
          <w:tab/>
          <w:t>Special pension and public pension expenditure (2016) % of GDP</w:t>
        </w:r>
        <w:r w:rsidR="009F3ED8" w:rsidRPr="009F3ED8">
          <w:rPr>
            <w:webHidden/>
          </w:rPr>
          <w:tab/>
          <w:t>184</w:t>
        </w:r>
      </w:hyperlink>
    </w:p>
    <w:p w14:paraId="7E3716C6" w14:textId="77777777" w:rsidR="009F3ED8" w:rsidRPr="009F3ED8" w:rsidRDefault="002F4485">
      <w:pPr>
        <w:pStyle w:val="Sadraj5"/>
      </w:pPr>
      <w:hyperlink w:anchor="_Toc511664598" w:history="1">
        <w:r w:rsidR="009F3ED8" w:rsidRPr="009F3ED8">
          <w:t>II.AII.6.</w:t>
        </w:r>
        <w:r w:rsidR="009F3ED8" w:rsidRPr="009F3ED8">
          <w:tab/>
          <w:t>Special pensions span (2016) % of pensioners</w:t>
        </w:r>
        <w:r w:rsidR="009F3ED8" w:rsidRPr="009F3ED8">
          <w:rPr>
            <w:webHidden/>
          </w:rPr>
          <w:tab/>
          <w:t>184</w:t>
        </w:r>
      </w:hyperlink>
    </w:p>
    <w:p w14:paraId="2271B36D" w14:textId="77777777" w:rsidR="009F3ED8" w:rsidRPr="009F3ED8" w:rsidRDefault="002F4485">
      <w:pPr>
        <w:pStyle w:val="Sadraj5"/>
      </w:pPr>
      <w:hyperlink w:anchor="_Toc511664599" w:history="1">
        <w:r w:rsidR="009F3ED8" w:rsidRPr="009F3ED8">
          <w:t>II.AIII.1.</w:t>
        </w:r>
        <w:r w:rsidR="009F3ED8" w:rsidRPr="009F3ED8">
          <w:tab/>
          <w:t>Overview of the health care data provided for and used in the 2018 Ageing Report</w:t>
        </w:r>
        <w:r w:rsidR="009F3ED8" w:rsidRPr="009F3ED8">
          <w:rPr>
            <w:webHidden/>
          </w:rPr>
          <w:tab/>
          <w:t>185</w:t>
        </w:r>
      </w:hyperlink>
    </w:p>
    <w:p w14:paraId="7EFD1C0F" w14:textId="77777777" w:rsidR="009F3ED8" w:rsidRPr="009F3ED8" w:rsidRDefault="002F4485">
      <w:pPr>
        <w:pStyle w:val="Sadraj5"/>
      </w:pPr>
      <w:hyperlink w:anchor="_Toc511664600" w:history="1">
        <w:r w:rsidR="009F3ED8" w:rsidRPr="009F3ED8">
          <w:t>II.AIII.2.</w:t>
        </w:r>
        <w:r w:rsidR="009F3ED8" w:rsidRPr="009F3ED8">
          <w:tab/>
          <w:t>Data sources for the health care sector-specific indexation components</w:t>
        </w:r>
        <w:r w:rsidR="009F3ED8" w:rsidRPr="009F3ED8">
          <w:rPr>
            <w:webHidden/>
          </w:rPr>
          <w:tab/>
          <w:t>187</w:t>
        </w:r>
      </w:hyperlink>
    </w:p>
    <w:p w14:paraId="4F2A65E2" w14:textId="77777777" w:rsidR="009F3ED8" w:rsidRPr="009F3ED8" w:rsidRDefault="002F4485">
      <w:pPr>
        <w:pStyle w:val="Sadraj2"/>
        <w:tabs>
          <w:tab w:val="left" w:pos="1984"/>
        </w:tabs>
      </w:pPr>
      <w:hyperlink w:anchor="_Toc511664601" w:history="1">
        <w:r w:rsidR="009F3ED8" w:rsidRPr="009F3ED8">
          <w:t>II.AIV.1.</w:t>
        </w:r>
        <w:r w:rsidR="009F3ED8" w:rsidRPr="009F3ED8">
          <w:tab/>
          <w:t>Combinations of data sources for estimating long-term care expenditure</w:t>
        </w:r>
        <w:r w:rsidR="009F3ED8" w:rsidRPr="009F3ED8">
          <w:rPr>
            <w:webHidden/>
          </w:rPr>
          <w:tab/>
          <w:t>189</w:t>
        </w:r>
      </w:hyperlink>
    </w:p>
    <w:p w14:paraId="28936173" w14:textId="77777777" w:rsidR="009F3ED8" w:rsidRPr="009F3ED8" w:rsidRDefault="002F4485">
      <w:pPr>
        <w:pStyle w:val="Sadraj2"/>
        <w:tabs>
          <w:tab w:val="left" w:pos="1984"/>
        </w:tabs>
      </w:pPr>
      <w:hyperlink w:anchor="_Toc511664602" w:history="1">
        <w:r w:rsidR="009F3ED8" w:rsidRPr="009F3ED8">
          <w:t>II.AIV.2.</w:t>
        </w:r>
        <w:r w:rsidR="009F3ED8" w:rsidRPr="009F3ED8">
          <w:tab/>
          <w:t>Availability of input data for long-term care expenditure projections</w:t>
        </w:r>
        <w:r w:rsidR="009F3ED8" w:rsidRPr="009F3ED8">
          <w:rPr>
            <w:webHidden/>
          </w:rPr>
          <w:tab/>
          <w:t>190</w:t>
        </w:r>
      </w:hyperlink>
    </w:p>
    <w:p w14:paraId="390E4428" w14:textId="77777777" w:rsidR="009F3ED8" w:rsidRPr="009F3ED8" w:rsidRDefault="002F4485">
      <w:pPr>
        <w:pStyle w:val="Sadraj2"/>
        <w:tabs>
          <w:tab w:val="left" w:pos="1984"/>
        </w:tabs>
      </w:pPr>
      <w:hyperlink w:anchor="_Toc511664603" w:history="1">
        <w:r w:rsidR="009F3ED8" w:rsidRPr="009F3ED8">
          <w:t>II.AIV.3.</w:t>
        </w:r>
        <w:r w:rsidR="009F3ED8" w:rsidRPr="009F3ED8">
          <w:tab/>
          <w:t>Public expenditure on LTC on the basis of the SHA joint questionnaire with proxy for HC.R.1 from ESSPROS as a % of GDP (2015 or latest)</w:t>
        </w:r>
        <w:r w:rsidR="009F3ED8" w:rsidRPr="009F3ED8">
          <w:rPr>
            <w:webHidden/>
          </w:rPr>
          <w:tab/>
          <w:t>191</w:t>
        </w:r>
      </w:hyperlink>
    </w:p>
    <w:p w14:paraId="73598207" w14:textId="77777777" w:rsidR="009F3ED8" w:rsidRPr="009F3ED8" w:rsidRDefault="002F4485">
      <w:pPr>
        <w:pStyle w:val="Sadraj2"/>
        <w:tabs>
          <w:tab w:val="left" w:pos="1984"/>
        </w:tabs>
      </w:pPr>
      <w:hyperlink w:anchor="_Toc511664604" w:history="1">
        <w:r w:rsidR="009F3ED8" w:rsidRPr="009F3ED8">
          <w:t>II.AIV.4.</w:t>
        </w:r>
        <w:r w:rsidR="009F3ED8" w:rsidRPr="009F3ED8">
          <w:tab/>
          <w:t>Dependency rates, based on EU-SILC</w:t>
        </w:r>
        <w:r w:rsidR="009F3ED8" w:rsidRPr="009F3ED8">
          <w:rPr>
            <w:webHidden/>
          </w:rPr>
          <w:tab/>
          <w:t>193</w:t>
        </w:r>
      </w:hyperlink>
    </w:p>
    <w:p w14:paraId="4BDE3C08" w14:textId="77777777" w:rsidR="009F3ED8" w:rsidRPr="009F3ED8" w:rsidRDefault="002F4485">
      <w:pPr>
        <w:pStyle w:val="Sadraj2"/>
        <w:tabs>
          <w:tab w:val="left" w:pos="1984"/>
        </w:tabs>
      </w:pPr>
      <w:hyperlink w:anchor="_Toc511664605" w:history="1">
        <w:r w:rsidR="009F3ED8" w:rsidRPr="009F3ED8">
          <w:t>II.AIV.5.</w:t>
        </w:r>
        <w:r w:rsidR="009F3ED8" w:rsidRPr="009F3ED8">
          <w:tab/>
          <w:t>Coverage rates in the base case scenario</w:t>
        </w:r>
        <w:r w:rsidR="009F3ED8" w:rsidRPr="009F3ED8">
          <w:rPr>
            <w:webHidden/>
          </w:rPr>
          <w:tab/>
          <w:t>194</w:t>
        </w:r>
      </w:hyperlink>
    </w:p>
    <w:p w14:paraId="27B1D18E" w14:textId="77777777" w:rsidR="009F3ED8" w:rsidRPr="009F3ED8" w:rsidRDefault="002F4485">
      <w:pPr>
        <w:pStyle w:val="Sadraj5"/>
      </w:pPr>
      <w:hyperlink w:anchor="_Toc511664606" w:history="1">
        <w:r w:rsidR="009F3ED8" w:rsidRPr="009F3ED8">
          <w:t>II.AV.1.</w:t>
        </w:r>
        <w:r w:rsidR="009F3ED8" w:rsidRPr="009F3ED8">
          <w:tab/>
          <w:t>Base enrolment rates by country, age and ISCED level</w:t>
        </w:r>
        <w:r w:rsidR="009F3ED8" w:rsidRPr="009F3ED8">
          <w:rPr>
            <w:webHidden/>
          </w:rPr>
          <w:tab/>
          <w:t>196</w:t>
        </w:r>
      </w:hyperlink>
    </w:p>
    <w:p w14:paraId="6BC0F579" w14:textId="77777777" w:rsidR="009F3ED8" w:rsidRPr="009F3ED8" w:rsidRDefault="002F4485">
      <w:pPr>
        <w:pStyle w:val="Sadraj5"/>
      </w:pPr>
      <w:hyperlink w:anchor="_Toc511664607" w:history="1">
        <w:r w:rsidR="009F3ED8" w:rsidRPr="009F3ED8">
          <w:t>II.AV.2.</w:t>
        </w:r>
        <w:r w:rsidR="009F3ED8" w:rsidRPr="009F3ED8">
          <w:tab/>
          <w:t>Expenditure-to-GDP ratio in the base period - Breakdown by component</w:t>
        </w:r>
        <w:r w:rsidR="009F3ED8" w:rsidRPr="009F3ED8">
          <w:rPr>
            <w:webHidden/>
          </w:rPr>
          <w:tab/>
          <w:t>197</w:t>
        </w:r>
      </w:hyperlink>
    </w:p>
    <w:p w14:paraId="64960855" w14:textId="77777777" w:rsidR="009F3ED8" w:rsidRPr="009F3ED8" w:rsidRDefault="002F4485">
      <w:pPr>
        <w:pStyle w:val="Sadraj5"/>
      </w:pPr>
      <w:hyperlink w:anchor="_Toc511664608" w:history="1">
        <w:r w:rsidR="009F3ED8" w:rsidRPr="009F3ED8">
          <w:t>II.AV.3.</w:t>
        </w:r>
        <w:r w:rsidR="009F3ED8" w:rsidRPr="009F3ED8">
          <w:tab/>
          <w:t>Expenditure-to-GDP ratio in the base period - Breakdown by ISCED levels</w:t>
        </w:r>
        <w:r w:rsidR="009F3ED8" w:rsidRPr="009F3ED8">
          <w:rPr>
            <w:webHidden/>
          </w:rPr>
          <w:tab/>
          <w:t>197</w:t>
        </w:r>
      </w:hyperlink>
    </w:p>
    <w:p w14:paraId="6ACA9BF0" w14:textId="77777777" w:rsidR="009F3ED8" w:rsidRPr="009F3ED8" w:rsidRDefault="002F4485">
      <w:pPr>
        <w:pStyle w:val="Sadraj5"/>
      </w:pPr>
      <w:hyperlink w:anchor="_Toc511664609" w:history="1">
        <w:r w:rsidR="009F3ED8" w:rsidRPr="009F3ED8">
          <w:t>II.AV.4.</w:t>
        </w:r>
        <w:r w:rsidR="009F3ED8" w:rsidRPr="009F3ED8">
          <w:tab/>
          <w:t>Results of the Baseline scenario (Public education expenditure as percentage of GDP)</w:t>
        </w:r>
        <w:r w:rsidR="009F3ED8" w:rsidRPr="009F3ED8">
          <w:rPr>
            <w:webHidden/>
          </w:rPr>
          <w:tab/>
          <w:t>197</w:t>
        </w:r>
      </w:hyperlink>
    </w:p>
    <w:p w14:paraId="79CD3813" w14:textId="77777777" w:rsidR="009F3ED8" w:rsidRPr="009F3ED8" w:rsidRDefault="002F4485">
      <w:pPr>
        <w:pStyle w:val="Sadraj5"/>
      </w:pPr>
      <w:hyperlink w:anchor="_Toc511664610" w:history="1">
        <w:r w:rsidR="009F3ED8" w:rsidRPr="009F3ED8">
          <w:t>II.AV.5.</w:t>
        </w:r>
        <w:r w:rsidR="009F3ED8" w:rsidRPr="009F3ED8">
          <w:tab/>
          <w:t>Results of the High Enrolment Rate scenario (Public education expenditure as percentage of GDP)</w:t>
        </w:r>
        <w:r w:rsidR="009F3ED8" w:rsidRPr="009F3ED8">
          <w:rPr>
            <w:webHidden/>
          </w:rPr>
          <w:tab/>
          <w:t>197</w:t>
        </w:r>
      </w:hyperlink>
    </w:p>
    <w:p w14:paraId="50ED34B3" w14:textId="77777777" w:rsidR="009F3ED8" w:rsidRPr="009F3ED8" w:rsidRDefault="002F4485">
      <w:pPr>
        <w:pStyle w:val="Sadraj5"/>
      </w:pPr>
      <w:hyperlink w:anchor="_Toc511664611" w:history="1">
        <w:r w:rsidR="009F3ED8" w:rsidRPr="009F3ED8">
          <w:t>II.AV.6.</w:t>
        </w:r>
        <w:r w:rsidR="009F3ED8" w:rsidRPr="009F3ED8">
          <w:tab/>
          <w:t>Total expenditure on education, in levels (million euros) and as % of GDP</w:t>
        </w:r>
        <w:r w:rsidR="009F3ED8" w:rsidRPr="009F3ED8">
          <w:rPr>
            <w:webHidden/>
          </w:rPr>
          <w:tab/>
          <w:t>198</w:t>
        </w:r>
      </w:hyperlink>
    </w:p>
    <w:p w14:paraId="370BA459" w14:textId="77777777" w:rsidR="00FB1300" w:rsidRPr="009F3ED8" w:rsidRDefault="00FB1300" w:rsidP="00FB1300">
      <w:r w:rsidRPr="009F3ED8">
        <w:fldChar w:fldCharType="end"/>
      </w:r>
    </w:p>
    <w:p w14:paraId="54ACC4B2" w14:textId="77777777" w:rsidR="00FB1300" w:rsidRPr="009F3ED8" w:rsidRDefault="00FB1300" w:rsidP="00FB1300">
      <w:pPr>
        <w:pStyle w:val="HEADINGTOC"/>
      </w:pPr>
      <w:bookmarkStart w:id="12" w:name="EP_CONTENT_GRAPHS"/>
      <w:bookmarkEnd w:id="11"/>
      <w:r w:rsidRPr="009F3ED8">
        <w:t>LIST OF Graphs</w:t>
      </w:r>
    </w:p>
    <w:p w14:paraId="0302BCC1" w14:textId="77777777" w:rsidR="009F3ED8" w:rsidRPr="009F3ED8" w:rsidRDefault="00FB1300">
      <w:pPr>
        <w:pStyle w:val="Sadraj5"/>
      </w:pPr>
      <w:r w:rsidRPr="009F3ED8">
        <w:fldChar w:fldCharType="begin"/>
      </w:r>
      <w:r w:rsidRPr="009F3ED8">
        <w:instrText xml:space="preserve"> TOC \fgraph \h \z \u </w:instrText>
      </w:r>
      <w:r w:rsidRPr="009F3ED8">
        <w:fldChar w:fldCharType="separate"/>
      </w:r>
      <w:hyperlink w:anchor="_Toc511664612" w:history="1">
        <w:r w:rsidR="009F3ED8" w:rsidRPr="009F3ED8">
          <w:t>1.</w:t>
        </w:r>
        <w:r w:rsidR="009F3ED8" w:rsidRPr="009F3ED8">
          <w:tab/>
          <w:t>Overview of the 2018 long-term projection exercise</w:t>
        </w:r>
        <w:r w:rsidR="009F3ED8" w:rsidRPr="009F3ED8">
          <w:rPr>
            <w:webHidden/>
          </w:rPr>
          <w:tab/>
          <w:t>2</w:t>
        </w:r>
      </w:hyperlink>
    </w:p>
    <w:p w14:paraId="1B0FF4A8" w14:textId="77777777" w:rsidR="009F3ED8" w:rsidRPr="009F3ED8" w:rsidRDefault="002F4485">
      <w:pPr>
        <w:pStyle w:val="Sadraj5"/>
      </w:pPr>
      <w:hyperlink w:anchor="_Toc511664613" w:history="1">
        <w:r w:rsidR="009F3ED8" w:rsidRPr="009F3ED8">
          <w:t>2.</w:t>
        </w:r>
        <w:r w:rsidR="009F3ED8" w:rsidRPr="009F3ED8">
          <w:tab/>
          <w:t>Population by age group and gender, 2016-70 (thousands)</w:t>
        </w:r>
        <w:r w:rsidR="009F3ED8" w:rsidRPr="009F3ED8">
          <w:rPr>
            <w:webHidden/>
          </w:rPr>
          <w:tab/>
          <w:t>3</w:t>
        </w:r>
      </w:hyperlink>
    </w:p>
    <w:p w14:paraId="4E29A1E1" w14:textId="77777777" w:rsidR="009F3ED8" w:rsidRPr="009F3ED8" w:rsidRDefault="002F4485">
      <w:pPr>
        <w:pStyle w:val="Sadraj5"/>
      </w:pPr>
      <w:hyperlink w:anchor="_Toc511664614" w:history="1">
        <w:r w:rsidR="009F3ED8" w:rsidRPr="009F3ED8">
          <w:t>3.</w:t>
        </w:r>
        <w:r w:rsidR="009F3ED8" w:rsidRPr="009F3ED8">
          <w:tab/>
          <w:t>Population and employment developments (million), EU</w:t>
        </w:r>
        <w:r w:rsidR="009F3ED8" w:rsidRPr="009F3ED8">
          <w:rPr>
            <w:webHidden/>
          </w:rPr>
          <w:tab/>
          <w:t>5</w:t>
        </w:r>
      </w:hyperlink>
    </w:p>
    <w:p w14:paraId="2E342535" w14:textId="77777777" w:rsidR="009F3ED8" w:rsidRPr="009F3ED8" w:rsidRDefault="002F4485">
      <w:pPr>
        <w:pStyle w:val="Sadraj5"/>
      </w:pPr>
      <w:hyperlink w:anchor="_Toc511664615" w:history="1">
        <w:r w:rsidR="009F3ED8" w:rsidRPr="009F3ED8">
          <w:t>4.</w:t>
        </w:r>
        <w:r w:rsidR="009F3ED8" w:rsidRPr="009F3ED8">
          <w:tab/>
          <w:t>Total age-related expenditure (2016, peak year and 2070), % of GDP</w:t>
        </w:r>
        <w:r w:rsidR="009F3ED8" w:rsidRPr="009F3ED8">
          <w:rPr>
            <w:webHidden/>
          </w:rPr>
          <w:tab/>
          <w:t>6</w:t>
        </w:r>
      </w:hyperlink>
    </w:p>
    <w:p w14:paraId="21842E62" w14:textId="77777777" w:rsidR="009F3ED8" w:rsidRPr="009F3ED8" w:rsidRDefault="002F4485">
      <w:pPr>
        <w:pStyle w:val="Sadraj5"/>
      </w:pPr>
      <w:hyperlink w:anchor="_Toc511664616" w:history="1">
        <w:r w:rsidR="009F3ED8" w:rsidRPr="009F3ED8">
          <w:t>5.</w:t>
        </w:r>
        <w:r w:rsidR="009F3ED8" w:rsidRPr="009F3ED8">
          <w:tab/>
          <w:t>Projected change in age-related expenditure (2016-70), by expenditure component, pps. of GDP</w:t>
        </w:r>
        <w:r w:rsidR="009F3ED8" w:rsidRPr="009F3ED8">
          <w:rPr>
            <w:webHidden/>
          </w:rPr>
          <w:tab/>
          <w:t>7</w:t>
        </w:r>
      </w:hyperlink>
    </w:p>
    <w:p w14:paraId="66F42E0E" w14:textId="77777777" w:rsidR="009F3ED8" w:rsidRPr="009F3ED8" w:rsidRDefault="002F4485">
      <w:pPr>
        <w:pStyle w:val="Sadraj5"/>
      </w:pPr>
      <w:hyperlink w:anchor="_Toc511664617" w:history="1">
        <w:r w:rsidR="009F3ED8" w:rsidRPr="009F3ED8">
          <w:t>6.</w:t>
        </w:r>
        <w:r w:rsidR="009F3ED8" w:rsidRPr="009F3ED8">
          <w:tab/>
          <w:t>Public pension benefit ratio, total and minimum pension, pps. change, 2016-70</w:t>
        </w:r>
        <w:r w:rsidR="009F3ED8" w:rsidRPr="009F3ED8">
          <w:rPr>
            <w:webHidden/>
          </w:rPr>
          <w:tab/>
          <w:t>8</w:t>
        </w:r>
      </w:hyperlink>
    </w:p>
    <w:p w14:paraId="4097C1BA" w14:textId="77777777" w:rsidR="009F3ED8" w:rsidRPr="009F3ED8" w:rsidRDefault="002F4485">
      <w:pPr>
        <w:pStyle w:val="Sadraj5"/>
      </w:pPr>
      <w:hyperlink w:anchor="_Toc511664618" w:history="1">
        <w:r w:rsidR="009F3ED8" w:rsidRPr="009F3ED8">
          <w:t>7.</w:t>
        </w:r>
        <w:r w:rsidR="009F3ED8" w:rsidRPr="009F3ED8">
          <w:tab/>
          <w:t>Projected age-related expenditure (2016-70), different scenarios, % of GDP, EU and EA</w:t>
        </w:r>
        <w:r w:rsidR="009F3ED8" w:rsidRPr="009F3ED8">
          <w:rPr>
            <w:webHidden/>
          </w:rPr>
          <w:tab/>
          <w:t>9</w:t>
        </w:r>
      </w:hyperlink>
    </w:p>
    <w:p w14:paraId="18EFD2F7" w14:textId="77777777" w:rsidR="009F3ED8" w:rsidRPr="009F3ED8" w:rsidRDefault="002F4485">
      <w:pPr>
        <w:pStyle w:val="Sadraj5"/>
      </w:pPr>
      <w:hyperlink w:anchor="_Toc511664619" w:history="1">
        <w:r w:rsidR="009F3ED8" w:rsidRPr="009F3ED8">
          <w:t>8.</w:t>
        </w:r>
        <w:r w:rsidR="009F3ED8" w:rsidRPr="009F3ED8">
          <w:tab/>
          <w:t>Projected change in age-related expenditure (2016-70), different scenarios, pps. of GDP</w:t>
        </w:r>
        <w:r w:rsidR="009F3ED8" w:rsidRPr="009F3ED8">
          <w:rPr>
            <w:webHidden/>
          </w:rPr>
          <w:tab/>
          <w:t>10</w:t>
        </w:r>
      </w:hyperlink>
    </w:p>
    <w:p w14:paraId="437D11C4" w14:textId="77777777" w:rsidR="009F3ED8" w:rsidRPr="009F3ED8" w:rsidRDefault="002F4485">
      <w:pPr>
        <w:pStyle w:val="Sadraj5"/>
      </w:pPr>
      <w:hyperlink w:anchor="_Toc511664620" w:history="1">
        <w:r w:rsidR="009F3ED8" w:rsidRPr="009F3ED8">
          <w:t>9.</w:t>
        </w:r>
        <w:r w:rsidR="009F3ED8" w:rsidRPr="009F3ED8">
          <w:tab/>
          <w:t>Total age-related expenditure, different scenarios and by component, 2016 and 2070, % of GDP</w:t>
        </w:r>
        <w:r w:rsidR="009F3ED8" w:rsidRPr="009F3ED8">
          <w:rPr>
            <w:webHidden/>
          </w:rPr>
          <w:tab/>
          <w:t>11</w:t>
        </w:r>
      </w:hyperlink>
    </w:p>
    <w:p w14:paraId="301F6359" w14:textId="77777777" w:rsidR="009F3ED8" w:rsidRPr="009F3ED8" w:rsidRDefault="002F4485">
      <w:pPr>
        <w:pStyle w:val="Sadraj5"/>
      </w:pPr>
      <w:hyperlink w:anchor="_Toc511664621" w:history="1">
        <w:r w:rsidR="009F3ED8" w:rsidRPr="009F3ED8">
          <w:t>10.</w:t>
        </w:r>
        <w:r w:rsidR="009F3ED8" w:rsidRPr="009F3ED8">
          <w:tab/>
          <w:t>Projected change in age-related and pension expenditure compared, 2018 and 2015 AR, 2016-60, pps. of GDP</w:t>
        </w:r>
        <w:r w:rsidR="009F3ED8" w:rsidRPr="009F3ED8">
          <w:rPr>
            <w:webHidden/>
          </w:rPr>
          <w:tab/>
          <w:t>11</w:t>
        </w:r>
      </w:hyperlink>
    </w:p>
    <w:p w14:paraId="3F330A53" w14:textId="77777777" w:rsidR="009F3ED8" w:rsidRPr="009F3ED8" w:rsidRDefault="002F4485">
      <w:pPr>
        <w:pStyle w:val="Sadraj5"/>
      </w:pPr>
      <w:hyperlink w:anchor="_Toc511664622" w:history="1">
        <w:r w:rsidR="009F3ED8" w:rsidRPr="009F3ED8">
          <w:t>I.1.1.</w:t>
        </w:r>
        <w:r w:rsidR="009F3ED8" w:rsidRPr="009F3ED8">
          <w:tab/>
          <w:t>Total average fertility rates in European Union and euro-area, 1960-2015</w:t>
        </w:r>
        <w:r w:rsidR="009F3ED8" w:rsidRPr="009F3ED8">
          <w:rPr>
            <w:webHidden/>
          </w:rPr>
          <w:tab/>
          <w:t>16</w:t>
        </w:r>
      </w:hyperlink>
    </w:p>
    <w:p w14:paraId="241FE673" w14:textId="77777777" w:rsidR="009F3ED8" w:rsidRPr="009F3ED8" w:rsidRDefault="002F4485">
      <w:pPr>
        <w:pStyle w:val="Sadraj5"/>
      </w:pPr>
      <w:hyperlink w:anchor="_Toc511664623" w:history="1">
        <w:r w:rsidR="009F3ED8" w:rsidRPr="009F3ED8">
          <w:t>I.1.2.</w:t>
        </w:r>
        <w:r w:rsidR="009F3ED8" w:rsidRPr="009F3ED8">
          <w:tab/>
          <w:t>Projection of total fertility rates, 2016-2070 (number of births per woman)</w:t>
        </w:r>
        <w:r w:rsidR="009F3ED8" w:rsidRPr="009F3ED8">
          <w:rPr>
            <w:webHidden/>
          </w:rPr>
          <w:tab/>
          <w:t>17</w:t>
        </w:r>
      </w:hyperlink>
    </w:p>
    <w:p w14:paraId="76D88A83" w14:textId="77777777" w:rsidR="009F3ED8" w:rsidRPr="009F3ED8" w:rsidRDefault="002F4485">
      <w:pPr>
        <w:pStyle w:val="Sadraj5"/>
      </w:pPr>
      <w:hyperlink w:anchor="_Toc511664624" w:history="1">
        <w:r w:rsidR="009F3ED8" w:rsidRPr="009F3ED8">
          <w:t>I.1.3.</w:t>
        </w:r>
        <w:r w:rsidR="009F3ED8" w:rsidRPr="009F3ED8">
          <w:tab/>
          <w:t>Life expectancy at birth in the EU, 1960-2015 (in years)</w:t>
        </w:r>
        <w:r w:rsidR="009F3ED8" w:rsidRPr="009F3ED8">
          <w:rPr>
            <w:webHidden/>
          </w:rPr>
          <w:tab/>
          <w:t>17</w:t>
        </w:r>
      </w:hyperlink>
    </w:p>
    <w:p w14:paraId="6C46C164" w14:textId="77777777" w:rsidR="009F3ED8" w:rsidRPr="009F3ED8" w:rsidRDefault="002F4485">
      <w:pPr>
        <w:pStyle w:val="Sadraj5"/>
      </w:pPr>
      <w:hyperlink w:anchor="_Toc511664625" w:history="1">
        <w:r w:rsidR="009F3ED8" w:rsidRPr="009F3ED8">
          <w:t>I.1.4.</w:t>
        </w:r>
        <w:r w:rsidR="009F3ED8" w:rsidRPr="009F3ED8">
          <w:tab/>
          <w:t>Projection of life expectancy at birth, males (in years), 2016-2070</w:t>
        </w:r>
        <w:r w:rsidR="009F3ED8" w:rsidRPr="009F3ED8">
          <w:rPr>
            <w:webHidden/>
          </w:rPr>
          <w:tab/>
          <w:t>18</w:t>
        </w:r>
      </w:hyperlink>
    </w:p>
    <w:p w14:paraId="717618A1" w14:textId="77777777" w:rsidR="009F3ED8" w:rsidRPr="009F3ED8" w:rsidRDefault="002F4485">
      <w:pPr>
        <w:pStyle w:val="Sadraj5"/>
      </w:pPr>
      <w:hyperlink w:anchor="_Toc511664626" w:history="1">
        <w:r w:rsidR="009F3ED8" w:rsidRPr="009F3ED8">
          <w:t>I.1.5.</w:t>
        </w:r>
        <w:r w:rsidR="009F3ED8" w:rsidRPr="009F3ED8">
          <w:tab/>
          <w:t>Projection of life expectancy at birth, females (in years), 2016-2070</w:t>
        </w:r>
        <w:r w:rsidR="009F3ED8" w:rsidRPr="009F3ED8">
          <w:rPr>
            <w:webHidden/>
          </w:rPr>
          <w:tab/>
          <w:t>18</w:t>
        </w:r>
      </w:hyperlink>
    </w:p>
    <w:p w14:paraId="5A9BC9B4" w14:textId="77777777" w:rsidR="009F3ED8" w:rsidRPr="009F3ED8" w:rsidRDefault="002F4485">
      <w:pPr>
        <w:pStyle w:val="Sadraj5"/>
      </w:pPr>
      <w:hyperlink w:anchor="_Toc511664627" w:history="1">
        <w:r w:rsidR="009F3ED8" w:rsidRPr="009F3ED8">
          <w:t>I.1.6.</w:t>
        </w:r>
        <w:r w:rsidR="009F3ED8" w:rsidRPr="009F3ED8">
          <w:tab/>
          <w:t>Projection of life expectancy at 65, females (in years), 2016-2070</w:t>
        </w:r>
        <w:r w:rsidR="009F3ED8" w:rsidRPr="009F3ED8">
          <w:rPr>
            <w:webHidden/>
          </w:rPr>
          <w:tab/>
          <w:t>18</w:t>
        </w:r>
      </w:hyperlink>
    </w:p>
    <w:p w14:paraId="2595E9EA" w14:textId="77777777" w:rsidR="009F3ED8" w:rsidRPr="009F3ED8" w:rsidRDefault="002F4485">
      <w:pPr>
        <w:pStyle w:val="Sadraj5"/>
      </w:pPr>
      <w:hyperlink w:anchor="_Toc511664628" w:history="1">
        <w:r w:rsidR="009F3ED8" w:rsidRPr="009F3ED8">
          <w:t>I.1.7.</w:t>
        </w:r>
        <w:r w:rsidR="009F3ED8" w:rsidRPr="009F3ED8">
          <w:tab/>
          <w:t>Projection of life expectancy at 65, males (in years), 2016-2070</w:t>
        </w:r>
        <w:r w:rsidR="009F3ED8" w:rsidRPr="009F3ED8">
          <w:rPr>
            <w:webHidden/>
          </w:rPr>
          <w:tab/>
          <w:t>18</w:t>
        </w:r>
      </w:hyperlink>
    </w:p>
    <w:p w14:paraId="033B8297" w14:textId="77777777" w:rsidR="009F3ED8" w:rsidRPr="009F3ED8" w:rsidRDefault="002F4485">
      <w:pPr>
        <w:pStyle w:val="Sadraj5"/>
      </w:pPr>
      <w:hyperlink w:anchor="_Toc511664629" w:history="1">
        <w:r w:rsidR="009F3ED8" w:rsidRPr="009F3ED8">
          <w:t>I.1.8.</w:t>
        </w:r>
        <w:r w:rsidR="009F3ED8" w:rsidRPr="009F3ED8">
          <w:tab/>
          <w:t>Net migration flows, 1965-2015 (thousands)</w:t>
        </w:r>
        <w:r w:rsidR="009F3ED8" w:rsidRPr="009F3ED8">
          <w:rPr>
            <w:webHidden/>
          </w:rPr>
          <w:tab/>
          <w:t>19</w:t>
        </w:r>
      </w:hyperlink>
    </w:p>
    <w:p w14:paraId="1D0D8066" w14:textId="77777777" w:rsidR="009F3ED8" w:rsidRPr="009F3ED8" w:rsidRDefault="002F4485">
      <w:pPr>
        <w:pStyle w:val="Sadraj5"/>
      </w:pPr>
      <w:hyperlink w:anchor="_Toc511664630" w:history="1">
        <w:r w:rsidR="009F3ED8" w:rsidRPr="009F3ED8">
          <w:t>I.1.9.</w:t>
        </w:r>
        <w:r w:rsidR="009F3ED8" w:rsidRPr="009F3ED8">
          <w:tab/>
          <w:t>Population by age group and gender, 2016-70 (thousands)</w:t>
        </w:r>
        <w:r w:rsidR="009F3ED8" w:rsidRPr="009F3ED8">
          <w:rPr>
            <w:webHidden/>
          </w:rPr>
          <w:tab/>
          <w:t>22</w:t>
        </w:r>
      </w:hyperlink>
    </w:p>
    <w:p w14:paraId="2A037C9C" w14:textId="77777777" w:rsidR="009F3ED8" w:rsidRPr="009F3ED8" w:rsidRDefault="002F4485">
      <w:pPr>
        <w:pStyle w:val="Sadraj5"/>
      </w:pPr>
      <w:hyperlink w:anchor="_Toc511664631" w:history="1">
        <w:r w:rsidR="009F3ED8" w:rsidRPr="009F3ED8">
          <w:t>I.1.10.</w:t>
        </w:r>
        <w:r w:rsidR="009F3ED8" w:rsidRPr="009F3ED8">
          <w:tab/>
          <w:t>Population of main geographic areas and selected countries as percentage of the world population</w:t>
        </w:r>
        <w:r w:rsidR="009F3ED8" w:rsidRPr="009F3ED8">
          <w:rPr>
            <w:webHidden/>
          </w:rPr>
          <w:tab/>
          <w:t>27</w:t>
        </w:r>
      </w:hyperlink>
    </w:p>
    <w:p w14:paraId="62D035F3" w14:textId="77777777" w:rsidR="009F3ED8" w:rsidRPr="009F3ED8" w:rsidRDefault="002F4485">
      <w:pPr>
        <w:pStyle w:val="Sadraj5"/>
      </w:pPr>
      <w:hyperlink w:anchor="_Toc511664632" w:history="1">
        <w:r w:rsidR="009F3ED8" w:rsidRPr="009F3ED8">
          <w:t>I.2.1.</w:t>
        </w:r>
        <w:r w:rsidR="009F3ED8" w:rsidRPr="009F3ED8">
          <w:tab/>
          <w:t>Impact of pension reforms on participation rates of persons aged 55-64 in 2070 (percentage points)</w:t>
        </w:r>
        <w:r w:rsidR="009F3ED8" w:rsidRPr="009F3ED8">
          <w:rPr>
            <w:webHidden/>
          </w:rPr>
          <w:tab/>
          <w:t>30</w:t>
        </w:r>
      </w:hyperlink>
    </w:p>
    <w:p w14:paraId="68B29DD7" w14:textId="77777777" w:rsidR="009F3ED8" w:rsidRPr="009F3ED8" w:rsidRDefault="002F4485">
      <w:pPr>
        <w:pStyle w:val="Sadraj5"/>
      </w:pPr>
      <w:hyperlink w:anchor="_Toc511664633" w:history="1">
        <w:r w:rsidR="009F3ED8" w:rsidRPr="009F3ED8">
          <w:t>I.2.2.</w:t>
        </w:r>
        <w:r w:rsidR="009F3ED8" w:rsidRPr="009F3ED8">
          <w:tab/>
          <w:t>Impact of pension reforms on the average exit age from the labour force for persons aged 55-64 years old, 2016-2070 (increase in average exit age in years)</w:t>
        </w:r>
        <w:r w:rsidR="009F3ED8" w:rsidRPr="009F3ED8">
          <w:rPr>
            <w:webHidden/>
          </w:rPr>
          <w:tab/>
          <w:t>31</w:t>
        </w:r>
      </w:hyperlink>
    </w:p>
    <w:p w14:paraId="275E36E5" w14:textId="77777777" w:rsidR="009F3ED8" w:rsidRPr="009F3ED8" w:rsidRDefault="002F4485">
      <w:pPr>
        <w:pStyle w:val="Sadraj5"/>
      </w:pPr>
      <w:hyperlink w:anchor="_Toc511664634" w:history="1">
        <w:r w:rsidR="009F3ED8" w:rsidRPr="009F3ED8">
          <w:t>I.2.3.</w:t>
        </w:r>
        <w:r w:rsidR="009F3ED8" w:rsidRPr="009F3ED8">
          <w:tab/>
          <w:t>Impact of pension reforms on participation rates of persons aged 65-74 in 2070 (percentage points)</w:t>
        </w:r>
        <w:r w:rsidR="009F3ED8" w:rsidRPr="009F3ED8">
          <w:rPr>
            <w:webHidden/>
          </w:rPr>
          <w:tab/>
          <w:t>32</w:t>
        </w:r>
      </w:hyperlink>
    </w:p>
    <w:p w14:paraId="646CB758" w14:textId="77777777" w:rsidR="009F3ED8" w:rsidRPr="009F3ED8" w:rsidRDefault="002F4485">
      <w:pPr>
        <w:pStyle w:val="Sadraj5"/>
      </w:pPr>
      <w:hyperlink w:anchor="_Toc511664635" w:history="1">
        <w:r w:rsidR="009F3ED8" w:rsidRPr="009F3ED8">
          <w:t>I.2.4.</w:t>
        </w:r>
        <w:r w:rsidR="009F3ED8" w:rsidRPr="009F3ED8">
          <w:tab/>
          <w:t>Participation rates across ages and gender, 2016-70 (%)</w:t>
        </w:r>
        <w:r w:rsidR="009F3ED8" w:rsidRPr="009F3ED8">
          <w:rPr>
            <w:webHidden/>
          </w:rPr>
          <w:tab/>
          <w:t>33</w:t>
        </w:r>
      </w:hyperlink>
    </w:p>
    <w:p w14:paraId="39C2A81A" w14:textId="77777777" w:rsidR="009F3ED8" w:rsidRPr="009F3ED8" w:rsidRDefault="002F4485">
      <w:pPr>
        <w:pStyle w:val="Sadraj5"/>
      </w:pPr>
      <w:hyperlink w:anchor="_Toc511664636" w:history="1">
        <w:r w:rsidR="009F3ED8" w:rsidRPr="009F3ED8">
          <w:t>I.2.5.</w:t>
        </w:r>
        <w:r w:rsidR="009F3ED8" w:rsidRPr="009F3ED8">
          <w:tab/>
          <w:t>Percentage changes in total labour supply of the population aged 20 to 64 and 20 to 74 (2016-2030, 2030-2070) (1)</w:t>
        </w:r>
        <w:r w:rsidR="009F3ED8" w:rsidRPr="009F3ED8">
          <w:rPr>
            <w:webHidden/>
          </w:rPr>
          <w:tab/>
          <w:t>34</w:t>
        </w:r>
      </w:hyperlink>
    </w:p>
    <w:p w14:paraId="7BB7ADF5" w14:textId="77777777" w:rsidR="009F3ED8" w:rsidRPr="009F3ED8" w:rsidRDefault="002F4485">
      <w:pPr>
        <w:pStyle w:val="Sadraj5"/>
      </w:pPr>
      <w:hyperlink w:anchor="_Toc511664637" w:history="1">
        <w:r w:rsidR="009F3ED8" w:rsidRPr="009F3ED8">
          <w:t>I.2.6.</w:t>
        </w:r>
        <w:r w:rsidR="009F3ED8" w:rsidRPr="009F3ED8">
          <w:tab/>
          <w:t>Unemployment rate assumptions for those aged 15-64, 2016-70 (%)</w:t>
        </w:r>
        <w:r w:rsidR="009F3ED8" w:rsidRPr="009F3ED8">
          <w:rPr>
            <w:webHidden/>
          </w:rPr>
          <w:tab/>
          <w:t>35</w:t>
        </w:r>
      </w:hyperlink>
    </w:p>
    <w:p w14:paraId="509978E7" w14:textId="77777777" w:rsidR="009F3ED8" w:rsidRPr="009F3ED8" w:rsidRDefault="002F4485">
      <w:pPr>
        <w:pStyle w:val="Sadraj5"/>
      </w:pPr>
      <w:hyperlink w:anchor="_Toc511664638" w:history="1">
        <w:r w:rsidR="009F3ED8" w:rsidRPr="009F3ED8">
          <w:t>I.2.7.</w:t>
        </w:r>
        <w:r w:rsidR="009F3ED8" w:rsidRPr="009F3ED8">
          <w:tab/>
          <w:t>Employment rate assumptions for those aged 20-64, 2016-2070 (%) (1)</w:t>
        </w:r>
        <w:r w:rsidR="009F3ED8" w:rsidRPr="009F3ED8">
          <w:rPr>
            <w:webHidden/>
          </w:rPr>
          <w:tab/>
          <w:t>36</w:t>
        </w:r>
      </w:hyperlink>
    </w:p>
    <w:p w14:paraId="2AC01B26" w14:textId="77777777" w:rsidR="009F3ED8" w:rsidRPr="009F3ED8" w:rsidRDefault="002F4485">
      <w:pPr>
        <w:pStyle w:val="Sadraj5"/>
      </w:pPr>
      <w:hyperlink w:anchor="_Toc511664639" w:history="1">
        <w:r w:rsidR="009F3ED8" w:rsidRPr="009F3ED8">
          <w:t>I.2.8.</w:t>
        </w:r>
        <w:r w:rsidR="009F3ED8" w:rsidRPr="009F3ED8">
          <w:tab/>
          <w:t>Change in total hours worked by persons aged 15-74, 2016-2070 (%) (1)</w:t>
        </w:r>
        <w:r w:rsidR="009F3ED8" w:rsidRPr="009F3ED8">
          <w:rPr>
            <w:webHidden/>
          </w:rPr>
          <w:tab/>
          <w:t>37</w:t>
        </w:r>
      </w:hyperlink>
    </w:p>
    <w:p w14:paraId="26DE437E" w14:textId="77777777" w:rsidR="009F3ED8" w:rsidRPr="009F3ED8" w:rsidRDefault="002F4485">
      <w:pPr>
        <w:pStyle w:val="Sadraj5"/>
      </w:pPr>
      <w:hyperlink w:anchor="_Toc511664640" w:history="1">
        <w:r w:rsidR="009F3ED8" w:rsidRPr="009F3ED8">
          <w:t>I.2.9.</w:t>
        </w:r>
        <w:r w:rsidR="009F3ED8" w:rsidRPr="009F3ED8">
          <w:tab/>
          <w:t>Effective economic old age dependency ratio - inactive population aged 65+/employed persons aged 20-64, 2016-2070 (%) (1)</w:t>
        </w:r>
        <w:r w:rsidR="009F3ED8" w:rsidRPr="009F3ED8">
          <w:rPr>
            <w:webHidden/>
          </w:rPr>
          <w:tab/>
          <w:t>38</w:t>
        </w:r>
      </w:hyperlink>
    </w:p>
    <w:p w14:paraId="37D00593" w14:textId="77777777" w:rsidR="009F3ED8" w:rsidRPr="009F3ED8" w:rsidRDefault="002F4485">
      <w:pPr>
        <w:pStyle w:val="Sadraj5"/>
      </w:pPr>
      <w:hyperlink w:anchor="_Toc511664641" w:history="1">
        <w:r w:rsidR="009F3ED8" w:rsidRPr="009F3ED8">
          <w:t>I.2.10.</w:t>
        </w:r>
        <w:r w:rsidR="009F3ED8" w:rsidRPr="009F3ED8">
          <w:tab/>
          <w:t>Total economic dependency ratio - total inactive population/employed persons aged 20-64, 2016-2070 (%) (1)</w:t>
        </w:r>
        <w:r w:rsidR="009F3ED8" w:rsidRPr="009F3ED8">
          <w:rPr>
            <w:webHidden/>
          </w:rPr>
          <w:tab/>
          <w:t>38</w:t>
        </w:r>
      </w:hyperlink>
    </w:p>
    <w:p w14:paraId="4272B936" w14:textId="77777777" w:rsidR="009F3ED8" w:rsidRPr="009F3ED8" w:rsidRDefault="002F4485">
      <w:pPr>
        <w:pStyle w:val="Sadraj5"/>
      </w:pPr>
      <w:hyperlink w:anchor="_Toc511664642" w:history="1">
        <w:r w:rsidR="009F3ED8" w:rsidRPr="009F3ED8">
          <w:t>I.2.11.</w:t>
        </w:r>
        <w:r w:rsidR="009F3ED8" w:rsidRPr="009F3ED8">
          <w:tab/>
          <w:t>Average annual GDP per capita growth rates, 2016-70 (%) (1)</w:t>
        </w:r>
        <w:r w:rsidR="009F3ED8" w:rsidRPr="009F3ED8">
          <w:rPr>
            <w:webHidden/>
          </w:rPr>
          <w:tab/>
          <w:t>39</w:t>
        </w:r>
      </w:hyperlink>
    </w:p>
    <w:p w14:paraId="46381A2B" w14:textId="77777777" w:rsidR="009F3ED8" w:rsidRPr="009F3ED8" w:rsidRDefault="002F4485">
      <w:pPr>
        <w:pStyle w:val="Sadraj5"/>
      </w:pPr>
      <w:hyperlink w:anchor="_Toc511664643" w:history="1">
        <w:r w:rsidR="009F3ED8" w:rsidRPr="009F3ED8">
          <w:t>I.2.12.</w:t>
        </w:r>
        <w:r w:rsidR="009F3ED8" w:rsidRPr="009F3ED8">
          <w:tab/>
          <w:t>Annual average actual and potential GDP growth rates, 2016-2026 (%) (1)</w:t>
        </w:r>
        <w:r w:rsidR="009F3ED8" w:rsidRPr="009F3ED8">
          <w:rPr>
            <w:webHidden/>
          </w:rPr>
          <w:tab/>
          <w:t>40</w:t>
        </w:r>
      </w:hyperlink>
    </w:p>
    <w:p w14:paraId="7150BD62" w14:textId="77777777" w:rsidR="009F3ED8" w:rsidRPr="009F3ED8" w:rsidRDefault="002F4485">
      <w:pPr>
        <w:pStyle w:val="Sadraj5"/>
      </w:pPr>
      <w:hyperlink w:anchor="_Toc511664644" w:history="1">
        <w:r w:rsidR="009F3ED8" w:rsidRPr="009F3ED8">
          <w:t>I.2.13.</w:t>
        </w:r>
        <w:r w:rsidR="009F3ED8" w:rsidRPr="009F3ED8">
          <w:tab/>
          <w:t>Labour productivity per hour, annual average growth rates, 2016-2070 (%)</w:t>
        </w:r>
        <w:r w:rsidR="009F3ED8" w:rsidRPr="009F3ED8">
          <w:rPr>
            <w:webHidden/>
          </w:rPr>
          <w:tab/>
          <w:t>40</w:t>
        </w:r>
      </w:hyperlink>
    </w:p>
    <w:p w14:paraId="417E49AB" w14:textId="77777777" w:rsidR="009F3ED8" w:rsidRPr="009F3ED8" w:rsidRDefault="002F4485">
      <w:pPr>
        <w:pStyle w:val="Sadraj5"/>
      </w:pPr>
      <w:hyperlink w:anchor="_Toc511664645" w:history="1">
        <w:r w:rsidR="009F3ED8" w:rsidRPr="009F3ED8">
          <w:t>I.2.14.</w:t>
        </w:r>
        <w:r w:rsidR="009F3ED8" w:rsidRPr="009F3ED8">
          <w:tab/>
          <w:t>Determinants of annual average labour productivity growth: Total factor productivity and capital deepening (contribution in pps.), 2016-2070</w:t>
        </w:r>
        <w:r w:rsidR="009F3ED8" w:rsidRPr="009F3ED8">
          <w:rPr>
            <w:webHidden/>
          </w:rPr>
          <w:tab/>
          <w:t>41</w:t>
        </w:r>
      </w:hyperlink>
    </w:p>
    <w:p w14:paraId="24DD02B5" w14:textId="77777777" w:rsidR="009F3ED8" w:rsidRPr="009F3ED8" w:rsidRDefault="002F4485">
      <w:pPr>
        <w:pStyle w:val="Sadraj5"/>
      </w:pPr>
      <w:hyperlink w:anchor="_Toc511664646" w:history="1">
        <w:r w:rsidR="009F3ED8" w:rsidRPr="009F3ED8">
          <w:t>I.2.15.</w:t>
        </w:r>
        <w:r w:rsidR="009F3ED8" w:rsidRPr="009F3ED8">
          <w:tab/>
          <w:t>Average annual potential GDP growth rates under baseline and TFP risk scenarios, 2013-2070 (%)</w:t>
        </w:r>
        <w:r w:rsidR="009F3ED8" w:rsidRPr="009F3ED8">
          <w:rPr>
            <w:webHidden/>
          </w:rPr>
          <w:tab/>
          <w:t>43</w:t>
        </w:r>
      </w:hyperlink>
    </w:p>
    <w:p w14:paraId="4DBDAE92" w14:textId="77777777" w:rsidR="009F3ED8" w:rsidRPr="009F3ED8" w:rsidRDefault="002F4485">
      <w:pPr>
        <w:pStyle w:val="Sadraj5"/>
      </w:pPr>
      <w:hyperlink w:anchor="_Toc511664647" w:history="1">
        <w:r w:rsidR="009F3ED8" w:rsidRPr="009F3ED8">
          <w:t>I.2.16.</w:t>
        </w:r>
        <w:r w:rsidR="009F3ED8" w:rsidRPr="009F3ED8">
          <w:tab/>
          <w:t>Annual GDP growth rates 2016-2060 in the 2018 and 2015 baseline scenario projections - period average (%)</w:t>
        </w:r>
        <w:r w:rsidR="009F3ED8" w:rsidRPr="009F3ED8">
          <w:rPr>
            <w:webHidden/>
          </w:rPr>
          <w:tab/>
          <w:t>43</w:t>
        </w:r>
      </w:hyperlink>
    </w:p>
    <w:p w14:paraId="00DF088F" w14:textId="77777777" w:rsidR="009F3ED8" w:rsidRPr="009F3ED8" w:rsidRDefault="002F4485">
      <w:pPr>
        <w:pStyle w:val="Sadraj5"/>
      </w:pPr>
      <w:hyperlink w:anchor="_Toc511664648" w:history="1">
        <w:r w:rsidR="009F3ED8" w:rsidRPr="009F3ED8">
          <w:t>I.3.1.</w:t>
        </w:r>
        <w:r w:rsidR="009F3ED8" w:rsidRPr="009F3ED8">
          <w:tab/>
          <w:t>Average annual potential GDP growth rates, 2016-70 (%)</w:t>
        </w:r>
        <w:r w:rsidR="009F3ED8" w:rsidRPr="009F3ED8">
          <w:rPr>
            <w:webHidden/>
          </w:rPr>
          <w:tab/>
          <w:t>47</w:t>
        </w:r>
      </w:hyperlink>
    </w:p>
    <w:p w14:paraId="0758108C" w14:textId="77777777" w:rsidR="009F3ED8" w:rsidRPr="009F3ED8" w:rsidRDefault="002F4485">
      <w:pPr>
        <w:pStyle w:val="Sadraj5"/>
      </w:pPr>
      <w:hyperlink w:anchor="_Toc511664649" w:history="1">
        <w:r w:rsidR="009F3ED8" w:rsidRPr="009F3ED8">
          <w:t>I.3.2.</w:t>
        </w:r>
        <w:r w:rsidR="009F3ED8" w:rsidRPr="009F3ED8">
          <w:tab/>
          <w:t>Labour input (annual average growth rates) 2016-2070 (%)</w:t>
        </w:r>
        <w:r w:rsidR="009F3ED8" w:rsidRPr="009F3ED8">
          <w:rPr>
            <w:webHidden/>
          </w:rPr>
          <w:tab/>
          <w:t>48</w:t>
        </w:r>
      </w:hyperlink>
    </w:p>
    <w:p w14:paraId="587F7FFC" w14:textId="77777777" w:rsidR="009F3ED8" w:rsidRPr="009F3ED8" w:rsidRDefault="002F4485">
      <w:pPr>
        <w:pStyle w:val="Sadraj5"/>
      </w:pPr>
      <w:hyperlink w:anchor="_Toc511664650" w:history="1">
        <w:r w:rsidR="009F3ED8" w:rsidRPr="009F3ED8">
          <w:t>I.3.3.</w:t>
        </w:r>
        <w:r w:rsidR="009F3ED8" w:rsidRPr="009F3ED8">
          <w:tab/>
          <w:t>Average annual growth rate in labour productivity, 2016-2070 (%)</w:t>
        </w:r>
        <w:r w:rsidR="009F3ED8" w:rsidRPr="009F3ED8">
          <w:rPr>
            <w:webHidden/>
          </w:rPr>
          <w:tab/>
          <w:t>48</w:t>
        </w:r>
      </w:hyperlink>
    </w:p>
    <w:p w14:paraId="2E5DC392" w14:textId="77777777" w:rsidR="009F3ED8" w:rsidRPr="009F3ED8" w:rsidRDefault="002F4485">
      <w:pPr>
        <w:pStyle w:val="Sadraj5"/>
      </w:pPr>
      <w:hyperlink w:anchor="_Toc511664651" w:history="1">
        <w:r w:rsidR="009F3ED8" w:rsidRPr="009F3ED8">
          <w:t>II.1.1.</w:t>
        </w:r>
        <w:r w:rsidR="009F3ED8" w:rsidRPr="009F3ED8">
          <w:tab/>
          <w:t>Evolution of the average effective exit age (EEA) and statutory retirement age (SRA) between 2016 and 2070</w:t>
        </w:r>
        <w:r w:rsidR="009F3ED8" w:rsidRPr="009F3ED8">
          <w:rPr>
            <w:webHidden/>
          </w:rPr>
          <w:tab/>
          <w:t>55</w:t>
        </w:r>
      </w:hyperlink>
    </w:p>
    <w:p w14:paraId="5E24921A" w14:textId="77777777" w:rsidR="009F3ED8" w:rsidRPr="009F3ED8" w:rsidRDefault="002F4485">
      <w:pPr>
        <w:pStyle w:val="Sadraj5"/>
      </w:pPr>
      <w:hyperlink w:anchor="_Toc511664652" w:history="1">
        <w:r w:rsidR="009F3ED8" w:rsidRPr="009F3ED8">
          <w:t>II.1.2.</w:t>
        </w:r>
        <w:r w:rsidR="009F3ED8" w:rsidRPr="009F3ED8">
          <w:tab/>
          <w:t>Increase in the average effective exit age from the labour market versus shift in duration of retirement over the period 2016 – 2070</w:t>
        </w:r>
        <w:r w:rsidR="009F3ED8" w:rsidRPr="009F3ED8">
          <w:rPr>
            <w:webHidden/>
          </w:rPr>
          <w:tab/>
          <w:t>55</w:t>
        </w:r>
      </w:hyperlink>
    </w:p>
    <w:p w14:paraId="3C05D606" w14:textId="77777777" w:rsidR="009F3ED8" w:rsidRPr="009F3ED8" w:rsidRDefault="002F4485">
      <w:pPr>
        <w:pStyle w:val="Sadraj5"/>
      </w:pPr>
      <w:hyperlink w:anchor="_Toc511664653" w:history="1">
        <w:r w:rsidR="009F3ED8" w:rsidRPr="009F3ED8">
          <w:t>II.1.3.</w:t>
        </w:r>
        <w:r w:rsidR="009F3ED8" w:rsidRPr="009F3ED8">
          <w:tab/>
          <w:t>Contributions to the public pension system breakdown in 2016 and 2070 (% of GDP)</w:t>
        </w:r>
        <w:r w:rsidR="009F3ED8" w:rsidRPr="009F3ED8">
          <w:rPr>
            <w:webHidden/>
          </w:rPr>
          <w:tab/>
          <w:t>61</w:t>
        </w:r>
      </w:hyperlink>
    </w:p>
    <w:p w14:paraId="46F07135" w14:textId="77777777" w:rsidR="009F3ED8" w:rsidRPr="009F3ED8" w:rsidRDefault="002F4485">
      <w:pPr>
        <w:pStyle w:val="Sadraj5"/>
      </w:pPr>
      <w:hyperlink w:anchor="_Toc511664654" w:history="1">
        <w:r w:rsidR="009F3ED8" w:rsidRPr="009F3ED8">
          <w:t>II.1.4.</w:t>
        </w:r>
        <w:r w:rsidR="009F3ED8" w:rsidRPr="009F3ED8">
          <w:tab/>
          <w:t>Change in gross public pension expenditure; 2016-2070 (pps. of GDP)</w:t>
        </w:r>
        <w:r w:rsidR="009F3ED8" w:rsidRPr="009F3ED8">
          <w:rPr>
            <w:webHidden/>
          </w:rPr>
          <w:tab/>
          <w:t>68</w:t>
        </w:r>
      </w:hyperlink>
    </w:p>
    <w:p w14:paraId="1133CD9B" w14:textId="77777777" w:rsidR="009F3ED8" w:rsidRPr="009F3ED8" w:rsidRDefault="002F4485">
      <w:pPr>
        <w:pStyle w:val="Sadraj5"/>
      </w:pPr>
      <w:hyperlink w:anchor="_Toc511664655" w:history="1">
        <w:r w:rsidR="009F3ED8" w:rsidRPr="009F3ED8">
          <w:t>II.1.5.</w:t>
        </w:r>
        <w:r w:rsidR="009F3ED8" w:rsidRPr="009F3ED8">
          <w:tab/>
          <w:t>Pension spending in 2016 and 2070: relative position towards the EU average (pps. of GDP)</w:t>
        </w:r>
        <w:r w:rsidR="009F3ED8" w:rsidRPr="009F3ED8">
          <w:rPr>
            <w:webHidden/>
          </w:rPr>
          <w:tab/>
          <w:t>68</w:t>
        </w:r>
      </w:hyperlink>
    </w:p>
    <w:p w14:paraId="0B637480" w14:textId="77777777" w:rsidR="009F3ED8" w:rsidRPr="009F3ED8" w:rsidRDefault="002F4485">
      <w:pPr>
        <w:pStyle w:val="Sadraj5"/>
      </w:pPr>
      <w:hyperlink w:anchor="_Toc511664656" w:history="1">
        <w:r w:rsidR="009F3ED8" w:rsidRPr="009F3ED8">
          <w:t>II.1.6.</w:t>
        </w:r>
        <w:r w:rsidR="009F3ED8" w:rsidRPr="009F3ED8">
          <w:tab/>
          <w:t>Change in gross public pension expenditure prior to 2016, selected countries (pps. of GDP)</w:t>
        </w:r>
        <w:r w:rsidR="009F3ED8" w:rsidRPr="009F3ED8">
          <w:rPr>
            <w:webHidden/>
          </w:rPr>
          <w:tab/>
          <w:t>68</w:t>
        </w:r>
      </w:hyperlink>
    </w:p>
    <w:p w14:paraId="01790707" w14:textId="77777777" w:rsidR="009F3ED8" w:rsidRPr="009F3ED8" w:rsidRDefault="002F4485">
      <w:pPr>
        <w:pStyle w:val="Sadraj5"/>
      </w:pPr>
      <w:hyperlink w:anchor="_Toc511664657" w:history="1">
        <w:r w:rsidR="009F3ED8" w:rsidRPr="009F3ED8">
          <w:t>II.1.7.</w:t>
        </w:r>
        <w:r w:rsidR="009F3ED8" w:rsidRPr="009F3ED8">
          <w:tab/>
          <w:t>Change in gross public pension expenditure for the main general schemes, 2016-2070 (pps. of GDP)</w:t>
        </w:r>
        <w:r w:rsidR="009F3ED8" w:rsidRPr="009F3ED8">
          <w:rPr>
            <w:webHidden/>
          </w:rPr>
          <w:tab/>
          <w:t>69</w:t>
        </w:r>
      </w:hyperlink>
    </w:p>
    <w:p w14:paraId="1B0F57AF" w14:textId="77777777" w:rsidR="009F3ED8" w:rsidRPr="009F3ED8" w:rsidRDefault="002F4485">
      <w:pPr>
        <w:pStyle w:val="Sadraj5"/>
      </w:pPr>
      <w:hyperlink w:anchor="_Toc511664658" w:history="1">
        <w:r w:rsidR="009F3ED8" w:rsidRPr="009F3ED8">
          <w:t>II.1.8.</w:t>
        </w:r>
        <w:r w:rsidR="009F3ED8" w:rsidRPr="009F3ED8">
          <w:tab/>
          <w:t>Gross public pension expenditure in EU: time profile 2016-2070 (%GDP)</w:t>
        </w:r>
        <w:r w:rsidR="009F3ED8" w:rsidRPr="009F3ED8">
          <w:rPr>
            <w:webHidden/>
          </w:rPr>
          <w:tab/>
          <w:t>70</w:t>
        </w:r>
      </w:hyperlink>
    </w:p>
    <w:p w14:paraId="36A39AA2" w14:textId="77777777" w:rsidR="009F3ED8" w:rsidRPr="009F3ED8" w:rsidRDefault="002F4485">
      <w:pPr>
        <w:pStyle w:val="Sadraj5"/>
      </w:pPr>
      <w:hyperlink w:anchor="_Toc511664659" w:history="1">
        <w:r w:rsidR="009F3ED8" w:rsidRPr="009F3ED8">
          <w:t>II.1.9.</w:t>
        </w:r>
        <w:r w:rsidR="009F3ED8" w:rsidRPr="009F3ED8">
          <w:tab/>
          <w:t>Years and increase to peak expenditure</w:t>
        </w:r>
        <w:r w:rsidR="009F3ED8" w:rsidRPr="009F3ED8">
          <w:rPr>
            <w:webHidden/>
          </w:rPr>
          <w:tab/>
          <w:t>71</w:t>
        </w:r>
      </w:hyperlink>
    </w:p>
    <w:p w14:paraId="3D7017D3" w14:textId="77777777" w:rsidR="009F3ED8" w:rsidRPr="009F3ED8" w:rsidRDefault="002F4485">
      <w:pPr>
        <w:pStyle w:val="Sadraj5"/>
      </w:pPr>
      <w:hyperlink w:anchor="_Toc511664660" w:history="1">
        <w:r w:rsidR="009F3ED8" w:rsidRPr="009F3ED8">
          <w:t>II.1.10.</w:t>
        </w:r>
        <w:r w:rsidR="009F3ED8" w:rsidRPr="009F3ED8">
          <w:tab/>
          <w:t>Gross public pension expenditure: time profile 2016-2070 for selected countries (%GDP)</w:t>
        </w:r>
        <w:r w:rsidR="009F3ED8" w:rsidRPr="009F3ED8">
          <w:rPr>
            <w:webHidden/>
          </w:rPr>
          <w:tab/>
          <w:t>72</w:t>
        </w:r>
      </w:hyperlink>
    </w:p>
    <w:p w14:paraId="104EC914" w14:textId="77777777" w:rsidR="009F3ED8" w:rsidRPr="009F3ED8" w:rsidRDefault="002F4485">
      <w:pPr>
        <w:pStyle w:val="Sadraj5"/>
      </w:pPr>
      <w:hyperlink w:anchor="_Toc511664661" w:history="1">
        <w:r w:rsidR="009F3ED8" w:rsidRPr="009F3ED8">
          <w:t>II.1.11.</w:t>
        </w:r>
        <w:r w:rsidR="009F3ED8" w:rsidRPr="009F3ED8">
          <w:tab/>
          <w:t>Share of public pensioners per age group: EU (% of total public pensioners)</w:t>
        </w:r>
        <w:r w:rsidR="009F3ED8" w:rsidRPr="009F3ED8">
          <w:rPr>
            <w:webHidden/>
          </w:rPr>
          <w:tab/>
          <w:t>73</w:t>
        </w:r>
      </w:hyperlink>
    </w:p>
    <w:p w14:paraId="3984CC6C" w14:textId="77777777" w:rsidR="009F3ED8" w:rsidRPr="009F3ED8" w:rsidRDefault="002F4485">
      <w:pPr>
        <w:pStyle w:val="Sadraj5"/>
      </w:pPr>
      <w:hyperlink w:anchor="_Toc511664662" w:history="1">
        <w:r w:rsidR="009F3ED8" w:rsidRPr="009F3ED8">
          <w:t>II.1.12.</w:t>
        </w:r>
        <w:r w:rsidR="009F3ED8" w:rsidRPr="009F3ED8">
          <w:tab/>
          <w:t>Share of public pensioners per age group: 2070 vs. 2016 (% of total public pensioners)</w:t>
        </w:r>
        <w:r w:rsidR="009F3ED8" w:rsidRPr="009F3ED8">
          <w:rPr>
            <w:webHidden/>
          </w:rPr>
          <w:tab/>
          <w:t>74</w:t>
        </w:r>
      </w:hyperlink>
    </w:p>
    <w:p w14:paraId="36A32201" w14:textId="77777777" w:rsidR="009F3ED8" w:rsidRPr="009F3ED8" w:rsidRDefault="002F4485">
      <w:pPr>
        <w:pStyle w:val="Sadraj5"/>
      </w:pPr>
      <w:hyperlink w:anchor="_Toc511664663" w:history="1">
        <w:r w:rsidR="009F3ED8" w:rsidRPr="009F3ED8">
          <w:t>II.1.13.</w:t>
        </w:r>
        <w:r w:rsidR="009F3ED8" w:rsidRPr="009F3ED8">
          <w:tab/>
          <w:t>Share of public pension expenditure per age group: EU (% of total; % of GDP in table)</w:t>
        </w:r>
        <w:r w:rsidR="009F3ED8" w:rsidRPr="009F3ED8">
          <w:rPr>
            <w:webHidden/>
          </w:rPr>
          <w:tab/>
          <w:t>75</w:t>
        </w:r>
      </w:hyperlink>
    </w:p>
    <w:p w14:paraId="2B5C40E1" w14:textId="77777777" w:rsidR="009F3ED8" w:rsidRPr="009F3ED8" w:rsidRDefault="002F4485">
      <w:pPr>
        <w:pStyle w:val="Sadraj5"/>
      </w:pPr>
      <w:hyperlink w:anchor="_Toc511664664" w:history="1">
        <w:r w:rsidR="009F3ED8" w:rsidRPr="009F3ED8">
          <w:t>II.1.14.</w:t>
        </w:r>
        <w:r w:rsidR="009F3ED8" w:rsidRPr="009F3ED8">
          <w:tab/>
          <w:t>Gross versus net public pension expenditure in 2016 and 2070 (% of GDP)</w:t>
        </w:r>
        <w:r w:rsidR="009F3ED8" w:rsidRPr="009F3ED8">
          <w:rPr>
            <w:webHidden/>
          </w:rPr>
          <w:tab/>
          <w:t>76</w:t>
        </w:r>
      </w:hyperlink>
    </w:p>
    <w:p w14:paraId="0D31BA47" w14:textId="77777777" w:rsidR="009F3ED8" w:rsidRPr="009F3ED8" w:rsidRDefault="002F4485">
      <w:pPr>
        <w:pStyle w:val="Sadraj5"/>
      </w:pPr>
      <w:hyperlink w:anchor="_Toc511664665" w:history="1">
        <w:r w:rsidR="009F3ED8" w:rsidRPr="009F3ED8">
          <w:t>II.1.15.</w:t>
        </w:r>
        <w:r w:rsidR="009F3ED8" w:rsidRPr="009F3ED8">
          <w:tab/>
          <w:t>Private (occupational and individual) pension schemes: expenditure and contributions in 2016 and 2070 (% of GDP)</w:t>
        </w:r>
        <w:r w:rsidR="009F3ED8" w:rsidRPr="009F3ED8">
          <w:rPr>
            <w:webHidden/>
          </w:rPr>
          <w:tab/>
          <w:t>76</w:t>
        </w:r>
      </w:hyperlink>
    </w:p>
    <w:p w14:paraId="47C3F4A8" w14:textId="77777777" w:rsidR="009F3ED8" w:rsidRPr="009F3ED8" w:rsidRDefault="002F4485">
      <w:pPr>
        <w:pStyle w:val="Sadraj5"/>
      </w:pPr>
      <w:hyperlink w:anchor="_Toc511664666" w:history="1">
        <w:r w:rsidR="009F3ED8" w:rsidRPr="009F3ED8">
          <w:t>II.1.16.</w:t>
        </w:r>
        <w:r w:rsidR="009F3ED8" w:rsidRPr="009F3ED8">
          <w:tab/>
          <w:t>Contribution to change in gross public pension expenditure; 2016-2070 (pps. of GDP)</w:t>
        </w:r>
        <w:r w:rsidR="009F3ED8" w:rsidRPr="009F3ED8">
          <w:rPr>
            <w:webHidden/>
          </w:rPr>
          <w:tab/>
          <w:t>77</w:t>
        </w:r>
      </w:hyperlink>
    </w:p>
    <w:p w14:paraId="438DBA15" w14:textId="77777777" w:rsidR="009F3ED8" w:rsidRPr="009F3ED8" w:rsidRDefault="002F4485">
      <w:pPr>
        <w:pStyle w:val="Sadraj5"/>
      </w:pPr>
      <w:hyperlink w:anchor="_Toc511664667" w:history="1">
        <w:r w:rsidR="009F3ED8" w:rsidRPr="009F3ED8">
          <w:t>II.1.17.</w:t>
        </w:r>
        <w:r w:rsidR="009F3ED8" w:rsidRPr="009F3ED8">
          <w:tab/>
          <w:t>Impact of an increase of life expectancy on the change in gross public pension expenditure in 2016-2070 (deviation from baseline, pps. of GDP)</w:t>
        </w:r>
        <w:r w:rsidR="009F3ED8" w:rsidRPr="009F3ED8">
          <w:rPr>
            <w:webHidden/>
          </w:rPr>
          <w:tab/>
          <w:t>89</w:t>
        </w:r>
      </w:hyperlink>
    </w:p>
    <w:p w14:paraId="2F28846F" w14:textId="77777777" w:rsidR="009F3ED8" w:rsidRPr="009F3ED8" w:rsidRDefault="002F4485">
      <w:pPr>
        <w:pStyle w:val="Sadraj5"/>
      </w:pPr>
      <w:hyperlink w:anchor="_Toc511664668" w:history="1">
        <w:r w:rsidR="009F3ED8" w:rsidRPr="009F3ED8">
          <w:t>II.1.18.</w:t>
        </w:r>
        <w:r w:rsidR="009F3ED8" w:rsidRPr="009F3ED8">
          <w:tab/>
          <w:t>Impact of lower migration on the change in gross public pension expenditure in 2016-2070 (deviation from baseline, pps. of GDP)</w:t>
        </w:r>
        <w:r w:rsidR="009F3ED8" w:rsidRPr="009F3ED8">
          <w:rPr>
            <w:webHidden/>
          </w:rPr>
          <w:tab/>
          <w:t>90</w:t>
        </w:r>
      </w:hyperlink>
    </w:p>
    <w:p w14:paraId="406D50C5" w14:textId="77777777" w:rsidR="009F3ED8" w:rsidRPr="009F3ED8" w:rsidRDefault="002F4485">
      <w:pPr>
        <w:pStyle w:val="Sadraj5"/>
      </w:pPr>
      <w:hyperlink w:anchor="_Toc511664669" w:history="1">
        <w:r w:rsidR="009F3ED8" w:rsidRPr="009F3ED8">
          <w:t>II.1.19.</w:t>
        </w:r>
        <w:r w:rsidR="009F3ED8" w:rsidRPr="009F3ED8">
          <w:tab/>
          <w:t>Impact of higher migration on the change in gross public pension expenditure in 2016-2070 (deviation from baseline, pps. of GDP)</w:t>
        </w:r>
        <w:r w:rsidR="009F3ED8" w:rsidRPr="009F3ED8">
          <w:rPr>
            <w:webHidden/>
          </w:rPr>
          <w:tab/>
          <w:t>90</w:t>
        </w:r>
      </w:hyperlink>
    </w:p>
    <w:p w14:paraId="3CC0631E" w14:textId="77777777" w:rsidR="009F3ED8" w:rsidRPr="009F3ED8" w:rsidRDefault="002F4485">
      <w:pPr>
        <w:pStyle w:val="Sadraj5"/>
      </w:pPr>
      <w:hyperlink w:anchor="_Toc511664670" w:history="1">
        <w:r w:rsidR="009F3ED8" w:rsidRPr="009F3ED8">
          <w:t>II.1.20.</w:t>
        </w:r>
        <w:r w:rsidR="009F3ED8" w:rsidRPr="009F3ED8">
          <w:tab/>
          <w:t>Impact of lower fertility on the change in gross public pension expenditure in 2016-2070 (deviation from baseline, pps. of GDP)</w:t>
        </w:r>
        <w:r w:rsidR="009F3ED8" w:rsidRPr="009F3ED8">
          <w:rPr>
            <w:webHidden/>
          </w:rPr>
          <w:tab/>
          <w:t>91</w:t>
        </w:r>
      </w:hyperlink>
    </w:p>
    <w:p w14:paraId="3BA74FAA" w14:textId="77777777" w:rsidR="009F3ED8" w:rsidRPr="009F3ED8" w:rsidRDefault="002F4485">
      <w:pPr>
        <w:pStyle w:val="Sadraj5"/>
      </w:pPr>
      <w:hyperlink w:anchor="_Toc511664671" w:history="1">
        <w:r w:rsidR="009F3ED8" w:rsidRPr="009F3ED8">
          <w:t>II.1.21.</w:t>
        </w:r>
        <w:r w:rsidR="009F3ED8" w:rsidRPr="009F3ED8">
          <w:tab/>
          <w:t>Impact of lower overall employment rate of age group 20-64 on the change in gross public pension expenditure in 2016-2070 (deviation from baseline, pps. of GDP)</w:t>
        </w:r>
        <w:r w:rsidR="009F3ED8" w:rsidRPr="009F3ED8">
          <w:rPr>
            <w:webHidden/>
          </w:rPr>
          <w:tab/>
          <w:t>91</w:t>
        </w:r>
      </w:hyperlink>
    </w:p>
    <w:p w14:paraId="1CA7F777" w14:textId="77777777" w:rsidR="009F3ED8" w:rsidRPr="009F3ED8" w:rsidRDefault="002F4485">
      <w:pPr>
        <w:pStyle w:val="Sadraj5"/>
      </w:pPr>
      <w:hyperlink w:anchor="_Toc511664672" w:history="1">
        <w:r w:rsidR="009F3ED8" w:rsidRPr="009F3ED8">
          <w:t>II.1.22.</w:t>
        </w:r>
        <w:r w:rsidR="009F3ED8" w:rsidRPr="009F3ED8">
          <w:tab/>
          <w:t>Impact of higher overall employment rate of age group 20-64 on the change in gross public pension expenditure in 2016-2070 (deviation from baseline, pps. of GDP)</w:t>
        </w:r>
        <w:r w:rsidR="009F3ED8" w:rsidRPr="009F3ED8">
          <w:rPr>
            <w:webHidden/>
          </w:rPr>
          <w:tab/>
          <w:t>91</w:t>
        </w:r>
      </w:hyperlink>
    </w:p>
    <w:p w14:paraId="72CD4760" w14:textId="77777777" w:rsidR="009F3ED8" w:rsidRPr="009F3ED8" w:rsidRDefault="002F4485">
      <w:pPr>
        <w:pStyle w:val="Sadraj5"/>
      </w:pPr>
      <w:hyperlink w:anchor="_Toc511664673" w:history="1">
        <w:r w:rsidR="009F3ED8" w:rsidRPr="009F3ED8">
          <w:t>II.1.23.</w:t>
        </w:r>
        <w:r w:rsidR="009F3ED8" w:rsidRPr="009F3ED8">
          <w:tab/>
          <w:t>Impact of higher employment rate among older workers on the change in gross public pension expenditure in 2016-2070 (deviation from baseline, pps. of GDP)</w:t>
        </w:r>
        <w:r w:rsidR="009F3ED8" w:rsidRPr="009F3ED8">
          <w:rPr>
            <w:webHidden/>
          </w:rPr>
          <w:tab/>
          <w:t>92</w:t>
        </w:r>
      </w:hyperlink>
    </w:p>
    <w:p w14:paraId="48382217" w14:textId="77777777" w:rsidR="009F3ED8" w:rsidRPr="009F3ED8" w:rsidRDefault="002F4485">
      <w:pPr>
        <w:pStyle w:val="Sadraj5"/>
      </w:pPr>
      <w:hyperlink w:anchor="_Toc511664674" w:history="1">
        <w:r w:rsidR="009F3ED8" w:rsidRPr="009F3ED8">
          <w:t>II.1.24.</w:t>
        </w:r>
        <w:r w:rsidR="009F3ED8" w:rsidRPr="009F3ED8">
          <w:tab/>
          <w:t>Impact of higher/lower TFP growth on the change in gross public pension expenditure in 2016-2070 (deviation from baseline, pps. of GDP)</w:t>
        </w:r>
        <w:r w:rsidR="009F3ED8" w:rsidRPr="009F3ED8">
          <w:rPr>
            <w:webHidden/>
          </w:rPr>
          <w:tab/>
          <w:t>93</w:t>
        </w:r>
      </w:hyperlink>
    </w:p>
    <w:p w14:paraId="2C809BB5" w14:textId="77777777" w:rsidR="009F3ED8" w:rsidRPr="009F3ED8" w:rsidRDefault="002F4485">
      <w:pPr>
        <w:pStyle w:val="Sadraj5"/>
      </w:pPr>
      <w:hyperlink w:anchor="_Toc511664675" w:history="1">
        <w:r w:rsidR="009F3ED8" w:rsidRPr="009F3ED8">
          <w:t>II.1.25.</w:t>
        </w:r>
        <w:r w:rsidR="009F3ED8" w:rsidRPr="009F3ED8">
          <w:tab/>
          <w:t>TFP risk scenario: impact on the change in gross public pension expenditure in 2016-2070 (deviation from baseline, pps. of GDP)</w:t>
        </w:r>
        <w:r w:rsidR="009F3ED8" w:rsidRPr="009F3ED8">
          <w:rPr>
            <w:webHidden/>
          </w:rPr>
          <w:tab/>
          <w:t>93</w:t>
        </w:r>
      </w:hyperlink>
    </w:p>
    <w:p w14:paraId="5CE22FF1" w14:textId="77777777" w:rsidR="009F3ED8" w:rsidRPr="009F3ED8" w:rsidRDefault="002F4485">
      <w:pPr>
        <w:pStyle w:val="Sadraj5"/>
      </w:pPr>
      <w:hyperlink w:anchor="_Toc511664676" w:history="1">
        <w:r w:rsidR="009F3ED8" w:rsidRPr="009F3ED8">
          <w:t>II.1.26.</w:t>
        </w:r>
        <w:r w:rsidR="009F3ED8" w:rsidRPr="009F3ED8">
          <w:tab/>
          <w:t>Impact of linking retirement age to life expectancy on the change in gross public pension expenditure in 2016-2070 (deviation from baseline, pps. of GDP)</w:t>
        </w:r>
        <w:r w:rsidR="009F3ED8" w:rsidRPr="009F3ED8">
          <w:rPr>
            <w:webHidden/>
          </w:rPr>
          <w:tab/>
          <w:t>94</w:t>
        </w:r>
      </w:hyperlink>
    </w:p>
    <w:p w14:paraId="6C560B70" w14:textId="77777777" w:rsidR="009F3ED8" w:rsidRPr="009F3ED8" w:rsidRDefault="002F4485">
      <w:pPr>
        <w:pStyle w:val="Sadraj5"/>
      </w:pPr>
      <w:hyperlink w:anchor="_Toc511664677" w:history="1">
        <w:r w:rsidR="009F3ED8" w:rsidRPr="009F3ED8">
          <w:t>II.1.27.</w:t>
        </w:r>
        <w:r w:rsidR="009F3ED8" w:rsidRPr="009F3ED8">
          <w:tab/>
          <w:t>Change in gross public pension expenditure in 2016-2070: baseline scenario, baseline + most favourable scenario &amp; baseline + least favourable scenario (% of GDP)</w:t>
        </w:r>
        <w:r w:rsidR="009F3ED8" w:rsidRPr="009F3ED8">
          <w:rPr>
            <w:webHidden/>
          </w:rPr>
          <w:tab/>
          <w:t>95</w:t>
        </w:r>
      </w:hyperlink>
    </w:p>
    <w:p w14:paraId="3C01AE31" w14:textId="77777777" w:rsidR="009F3ED8" w:rsidRPr="009F3ED8" w:rsidRDefault="002F4485">
      <w:pPr>
        <w:pStyle w:val="Sadraj5"/>
      </w:pPr>
      <w:hyperlink w:anchor="_Toc511664678" w:history="1">
        <w:r w:rsidR="009F3ED8" w:rsidRPr="009F3ED8">
          <w:t>II.1.28.</w:t>
        </w:r>
        <w:r w:rsidR="009F3ED8" w:rsidRPr="009F3ED8">
          <w:tab/>
          <w:t>Change in gross public pension expenditure in 2016-2060: latest projections vs. 2015 Ageing Report (pps. of GDP)</w:t>
        </w:r>
        <w:r w:rsidR="009F3ED8" w:rsidRPr="009F3ED8">
          <w:rPr>
            <w:webHidden/>
          </w:rPr>
          <w:tab/>
          <w:t>96</w:t>
        </w:r>
      </w:hyperlink>
    </w:p>
    <w:p w14:paraId="278453DC" w14:textId="77777777" w:rsidR="009F3ED8" w:rsidRPr="009F3ED8" w:rsidRDefault="002F4485">
      <w:pPr>
        <w:pStyle w:val="Sadraj5"/>
      </w:pPr>
      <w:hyperlink w:anchor="_Toc511664679" w:history="1">
        <w:r w:rsidR="009F3ED8" w:rsidRPr="009F3ED8">
          <w:t>II.1.29.</w:t>
        </w:r>
        <w:r w:rsidR="009F3ED8" w:rsidRPr="009F3ED8">
          <w:tab/>
          <w:t>Revision of the dependency ratio and of the change in gross public pension expenditure ratio in 2016-2060 in the 2018 Ageing Report as compared to the 2015 Ageing Report (pps. of GDP)</w:t>
        </w:r>
        <w:r w:rsidR="009F3ED8" w:rsidRPr="009F3ED8">
          <w:rPr>
            <w:webHidden/>
          </w:rPr>
          <w:tab/>
          <w:t>99</w:t>
        </w:r>
      </w:hyperlink>
    </w:p>
    <w:p w14:paraId="1A91F265" w14:textId="77777777" w:rsidR="009F3ED8" w:rsidRPr="009F3ED8" w:rsidRDefault="002F4485">
      <w:pPr>
        <w:pStyle w:val="Sadraj5"/>
      </w:pPr>
      <w:hyperlink w:anchor="_Toc511664680" w:history="1">
        <w:r w:rsidR="009F3ED8" w:rsidRPr="009F3ED8">
          <w:t>II.1.30.</w:t>
        </w:r>
        <w:r w:rsidR="009F3ED8" w:rsidRPr="009F3ED8">
          <w:tab/>
          <w:t>Revision of the benefit ratio and of the change in gross public pension expenditure ratio in 2016-2060 in the 2018 Ageing Report as compared to the 2015 Ageing Report (pps. of GDP)</w:t>
        </w:r>
        <w:r w:rsidR="009F3ED8" w:rsidRPr="009F3ED8">
          <w:rPr>
            <w:webHidden/>
          </w:rPr>
          <w:tab/>
          <w:t>99</w:t>
        </w:r>
      </w:hyperlink>
    </w:p>
    <w:p w14:paraId="6C0CCD81" w14:textId="77777777" w:rsidR="009F3ED8" w:rsidRPr="009F3ED8" w:rsidRDefault="002F4485">
      <w:pPr>
        <w:pStyle w:val="Sadraj5"/>
      </w:pPr>
      <w:hyperlink w:anchor="_Toc511664681" w:history="1">
        <w:r w:rsidR="009F3ED8" w:rsidRPr="009F3ED8">
          <w:t>II.2.1.</w:t>
        </w:r>
        <w:r w:rsidR="009F3ED8" w:rsidRPr="009F3ED8">
          <w:tab/>
          <w:t>Age-related expenditure profiles of health care provision (spending per capita as % of GDP per capita) in 2016</w:t>
        </w:r>
        <w:r w:rsidR="009F3ED8" w:rsidRPr="009F3ED8">
          <w:rPr>
            <w:webHidden/>
          </w:rPr>
          <w:tab/>
          <w:t>104</w:t>
        </w:r>
      </w:hyperlink>
    </w:p>
    <w:p w14:paraId="4234AC46" w14:textId="77777777" w:rsidR="009F3ED8" w:rsidRPr="009F3ED8" w:rsidRDefault="002F4485">
      <w:pPr>
        <w:pStyle w:val="Sadraj5"/>
      </w:pPr>
      <w:hyperlink w:anchor="_Toc511664682" w:history="1">
        <w:r w:rsidR="009F3ED8" w:rsidRPr="009F3ED8">
          <w:t>II.2.2.</w:t>
        </w:r>
        <w:r w:rsidR="009F3ED8" w:rsidRPr="009F3ED8">
          <w:tab/>
          <w:t>Schematic presentation of the projection methodology</w:t>
        </w:r>
        <w:r w:rsidR="009F3ED8" w:rsidRPr="009F3ED8">
          <w:rPr>
            <w:webHidden/>
          </w:rPr>
          <w:tab/>
          <w:t>109</w:t>
        </w:r>
      </w:hyperlink>
    </w:p>
    <w:p w14:paraId="79C1CE2C" w14:textId="77777777" w:rsidR="009F3ED8" w:rsidRPr="009F3ED8" w:rsidRDefault="002F4485">
      <w:pPr>
        <w:pStyle w:val="Sadraj5"/>
      </w:pPr>
      <w:hyperlink w:anchor="_Toc511664683" w:history="1">
        <w:r w:rsidR="009F3ED8" w:rsidRPr="009F3ED8">
          <w:t>II.2.3.</w:t>
        </w:r>
        <w:r w:rsidR="009F3ED8" w:rsidRPr="009F3ED8">
          <w:tab/>
          <w:t>Projected increase in public expenditure on health care due to demographic change over 2016-2070, as % of GDP</w:t>
        </w:r>
        <w:r w:rsidR="009F3ED8" w:rsidRPr="009F3ED8">
          <w:rPr>
            <w:webHidden/>
          </w:rPr>
          <w:tab/>
          <w:t>118</w:t>
        </w:r>
      </w:hyperlink>
    </w:p>
    <w:p w14:paraId="1B0F5889" w14:textId="77777777" w:rsidR="009F3ED8" w:rsidRPr="009F3ED8" w:rsidRDefault="002F4485">
      <w:pPr>
        <w:pStyle w:val="Sadraj5"/>
      </w:pPr>
      <w:hyperlink w:anchor="_Toc511664684" w:history="1">
        <w:r w:rsidR="009F3ED8" w:rsidRPr="009F3ED8">
          <w:t>II.2.4.</w:t>
        </w:r>
        <w:r w:rsidR="009F3ED8" w:rsidRPr="009F3ED8">
          <w:tab/>
          <w:t>Impact of demography and health status - comparison between scenarios in EU15 and NMS</w:t>
        </w:r>
        <w:r w:rsidR="009F3ED8" w:rsidRPr="009F3ED8">
          <w:rPr>
            <w:webHidden/>
          </w:rPr>
          <w:tab/>
          <w:t>121</w:t>
        </w:r>
      </w:hyperlink>
    </w:p>
    <w:p w14:paraId="36C43EA3" w14:textId="77777777" w:rsidR="009F3ED8" w:rsidRPr="009F3ED8" w:rsidRDefault="002F4485">
      <w:pPr>
        <w:pStyle w:val="Sadraj5"/>
      </w:pPr>
      <w:hyperlink w:anchor="_Toc511664685" w:history="1">
        <w:r w:rsidR="009F3ED8" w:rsidRPr="009F3ED8">
          <w:t>II.2.5.</w:t>
        </w:r>
        <w:r w:rsidR="009F3ED8" w:rsidRPr="009F3ED8">
          <w:tab/>
          <w:t>Range of results from different scenarios on health care in EU28</w:t>
        </w:r>
        <w:r w:rsidR="009F3ED8" w:rsidRPr="009F3ED8">
          <w:rPr>
            <w:webHidden/>
          </w:rPr>
          <w:tab/>
          <w:t>126</w:t>
        </w:r>
      </w:hyperlink>
    </w:p>
    <w:p w14:paraId="21A3B5E7" w14:textId="77777777" w:rsidR="009F3ED8" w:rsidRPr="009F3ED8" w:rsidRDefault="002F4485">
      <w:pPr>
        <w:pStyle w:val="Sadraj5"/>
      </w:pPr>
      <w:hyperlink w:anchor="_Toc511664686" w:history="1">
        <w:r w:rsidR="009F3ED8" w:rsidRPr="009F3ED8">
          <w:t>II.2.6.</w:t>
        </w:r>
        <w:r w:rsidR="009F3ED8" w:rsidRPr="009F3ED8">
          <w:tab/>
          <w:t>Sensitivity tests of the AWG reference scenario on health care, EU28</w:t>
        </w:r>
        <w:r w:rsidR="009F3ED8" w:rsidRPr="009F3ED8">
          <w:rPr>
            <w:webHidden/>
          </w:rPr>
          <w:tab/>
          <w:t>127</w:t>
        </w:r>
      </w:hyperlink>
    </w:p>
    <w:p w14:paraId="20862BB9" w14:textId="77777777" w:rsidR="009F3ED8" w:rsidRPr="009F3ED8" w:rsidRDefault="002F4485">
      <w:pPr>
        <w:pStyle w:val="Sadraj5"/>
      </w:pPr>
      <w:hyperlink w:anchor="_Toc511664687" w:history="1">
        <w:r w:rsidR="009F3ED8" w:rsidRPr="009F3ED8">
          <w:t>II.2.7.</w:t>
        </w:r>
        <w:r w:rsidR="009F3ED8" w:rsidRPr="009F3ED8">
          <w:tab/>
          <w:t>Age-gender expenditure profiles and population changes in the 2018 and 2015 Ageing Reports</w:t>
        </w:r>
        <w:r w:rsidR="009F3ED8" w:rsidRPr="009F3ED8">
          <w:rPr>
            <w:webHidden/>
          </w:rPr>
          <w:tab/>
          <w:t>130</w:t>
        </w:r>
      </w:hyperlink>
    </w:p>
    <w:p w14:paraId="564812A6" w14:textId="77777777" w:rsidR="009F3ED8" w:rsidRPr="009F3ED8" w:rsidRDefault="002F4485">
      <w:pPr>
        <w:pStyle w:val="Sadraj5"/>
      </w:pPr>
      <w:hyperlink w:anchor="_Toc511664688" w:history="1">
        <w:r w:rsidR="009F3ED8" w:rsidRPr="009F3ED8">
          <w:t>II.3.1.</w:t>
        </w:r>
        <w:r w:rsidR="009F3ED8" w:rsidRPr="009F3ED8">
          <w:tab/>
          <w:t>Total and public long-term care expenditure in the EU, as % GDP</w:t>
        </w:r>
        <w:r w:rsidR="009F3ED8" w:rsidRPr="009F3ED8">
          <w:rPr>
            <w:webHidden/>
          </w:rPr>
          <w:tab/>
          <w:t>133</w:t>
        </w:r>
      </w:hyperlink>
    </w:p>
    <w:p w14:paraId="26005E38" w14:textId="77777777" w:rsidR="009F3ED8" w:rsidRPr="009F3ED8" w:rsidRDefault="002F4485">
      <w:pPr>
        <w:pStyle w:val="Sadraj5"/>
      </w:pPr>
      <w:hyperlink w:anchor="_Toc511664689" w:history="1">
        <w:r w:rsidR="009F3ED8" w:rsidRPr="009F3ED8">
          <w:t>II.3.2.</w:t>
        </w:r>
        <w:r w:rsidR="009F3ED8" w:rsidRPr="009F3ED8">
          <w:tab/>
          <w:t>Total (public) expenditure on long-term care in the EU, as a share of total (public) current health expenditure</w:t>
        </w:r>
        <w:r w:rsidR="009F3ED8" w:rsidRPr="009F3ED8">
          <w:rPr>
            <w:webHidden/>
          </w:rPr>
          <w:tab/>
          <w:t>133</w:t>
        </w:r>
      </w:hyperlink>
    </w:p>
    <w:p w14:paraId="772B641B" w14:textId="77777777" w:rsidR="009F3ED8" w:rsidRPr="009F3ED8" w:rsidRDefault="002F4485">
      <w:pPr>
        <w:pStyle w:val="Sadraj5"/>
      </w:pPr>
      <w:hyperlink w:anchor="_Toc511664690" w:history="1">
        <w:r w:rsidR="009F3ED8" w:rsidRPr="009F3ED8">
          <w:t>II.3.3.</w:t>
        </w:r>
        <w:r w:rsidR="009F3ED8" w:rsidRPr="009F3ED8">
          <w:tab/>
          <w:t>Age-related coverage of dependent population by type of care provided in the EU, as % of population</w:t>
        </w:r>
        <w:r w:rsidR="009F3ED8" w:rsidRPr="009F3ED8">
          <w:rPr>
            <w:webHidden/>
          </w:rPr>
          <w:tab/>
          <w:t>134</w:t>
        </w:r>
      </w:hyperlink>
    </w:p>
    <w:p w14:paraId="56AC50E0" w14:textId="77777777" w:rsidR="009F3ED8" w:rsidRPr="009F3ED8" w:rsidRDefault="002F4485">
      <w:pPr>
        <w:pStyle w:val="Sadraj5"/>
      </w:pPr>
      <w:hyperlink w:anchor="_Toc511664691" w:history="1">
        <w:r w:rsidR="009F3ED8" w:rsidRPr="009F3ED8">
          <w:t>II.3.4.</w:t>
        </w:r>
        <w:r w:rsidR="009F3ED8" w:rsidRPr="009F3ED8">
          <w:tab/>
          <w:t>Median dependency rates by age-group for EU28, based on EU-SILC</w:t>
        </w:r>
        <w:r w:rsidR="009F3ED8" w:rsidRPr="009F3ED8">
          <w:rPr>
            <w:webHidden/>
          </w:rPr>
          <w:tab/>
          <w:t>135</w:t>
        </w:r>
      </w:hyperlink>
    </w:p>
    <w:p w14:paraId="2BA77EF6" w14:textId="77777777" w:rsidR="009F3ED8" w:rsidRPr="009F3ED8" w:rsidRDefault="002F4485">
      <w:pPr>
        <w:pStyle w:val="Sadraj5"/>
      </w:pPr>
      <w:hyperlink w:anchor="_Toc511664692" w:history="1">
        <w:r w:rsidR="009F3ED8" w:rsidRPr="009F3ED8">
          <w:t>II.3.5.</w:t>
        </w:r>
        <w:r w:rsidR="009F3ED8" w:rsidRPr="009F3ED8">
          <w:tab/>
          <w:t>Institutional care: Expenditure per recipient of long-term care services in institutional care, as % of GDP per capita</w:t>
        </w:r>
        <w:r w:rsidR="009F3ED8" w:rsidRPr="009F3ED8">
          <w:rPr>
            <w:webHidden/>
          </w:rPr>
          <w:tab/>
          <w:t>135</w:t>
        </w:r>
      </w:hyperlink>
    </w:p>
    <w:p w14:paraId="53BE782F" w14:textId="77777777" w:rsidR="009F3ED8" w:rsidRPr="009F3ED8" w:rsidRDefault="002F4485">
      <w:pPr>
        <w:pStyle w:val="Sadraj5"/>
      </w:pPr>
      <w:hyperlink w:anchor="_Toc511664693" w:history="1">
        <w:r w:rsidR="009F3ED8" w:rsidRPr="009F3ED8">
          <w:t>II.3.6.</w:t>
        </w:r>
        <w:r w:rsidR="009F3ED8" w:rsidRPr="009F3ED8">
          <w:tab/>
          <w:t>Home care: Expenditure per recipient of long-term care services in home care, as % of GDP per capita</w:t>
        </w:r>
        <w:r w:rsidR="009F3ED8" w:rsidRPr="009F3ED8">
          <w:rPr>
            <w:webHidden/>
          </w:rPr>
          <w:tab/>
          <w:t>136</w:t>
        </w:r>
      </w:hyperlink>
    </w:p>
    <w:p w14:paraId="4D159497" w14:textId="77777777" w:rsidR="009F3ED8" w:rsidRPr="009F3ED8" w:rsidRDefault="002F4485">
      <w:pPr>
        <w:pStyle w:val="Sadraj5"/>
      </w:pPr>
      <w:hyperlink w:anchor="_Toc511664694" w:history="1">
        <w:r w:rsidR="009F3ED8" w:rsidRPr="009F3ED8">
          <w:t>II.3.7.</w:t>
        </w:r>
        <w:r w:rsidR="009F3ED8" w:rsidRPr="009F3ED8">
          <w:tab/>
          <w:t>Cash benefits: Expenditure per recipient of long-term care cash benefits care, as % of GDP per capita</w:t>
        </w:r>
        <w:r w:rsidR="009F3ED8" w:rsidRPr="009F3ED8">
          <w:rPr>
            <w:webHidden/>
          </w:rPr>
          <w:tab/>
          <w:t>136</w:t>
        </w:r>
      </w:hyperlink>
    </w:p>
    <w:p w14:paraId="4FF245D0" w14:textId="77777777" w:rsidR="009F3ED8" w:rsidRPr="009F3ED8" w:rsidRDefault="002F4485">
      <w:pPr>
        <w:pStyle w:val="Sadraj5"/>
      </w:pPr>
      <w:hyperlink w:anchor="_Toc511664695" w:history="1">
        <w:r w:rsidR="009F3ED8" w:rsidRPr="009F3ED8">
          <w:t>II.3.8.</w:t>
        </w:r>
        <w:r w:rsidR="009F3ED8" w:rsidRPr="009F3ED8">
          <w:tab/>
          <w:t>Country-specific coverage rates of long-term care recipients, as % of dependent population</w:t>
        </w:r>
        <w:r w:rsidR="009F3ED8" w:rsidRPr="009F3ED8">
          <w:rPr>
            <w:webHidden/>
          </w:rPr>
          <w:tab/>
          <w:t>137</w:t>
        </w:r>
      </w:hyperlink>
    </w:p>
    <w:p w14:paraId="1C6D180D" w14:textId="77777777" w:rsidR="009F3ED8" w:rsidRPr="009F3ED8" w:rsidRDefault="002F4485">
      <w:pPr>
        <w:pStyle w:val="Sadraj5"/>
      </w:pPr>
      <w:hyperlink w:anchor="_Toc511664696" w:history="1">
        <w:r w:rsidR="009F3ED8" w:rsidRPr="009F3ED8">
          <w:t>II.3.9.</w:t>
        </w:r>
        <w:r w:rsidR="009F3ED8" w:rsidRPr="009F3ED8">
          <w:tab/>
          <w:t>Schematic presentation of the projection methodology</w:t>
        </w:r>
        <w:r w:rsidR="009F3ED8" w:rsidRPr="009F3ED8">
          <w:rPr>
            <w:webHidden/>
          </w:rPr>
          <w:tab/>
          <w:t>141</w:t>
        </w:r>
      </w:hyperlink>
    </w:p>
    <w:p w14:paraId="20407C3F" w14:textId="77777777" w:rsidR="009F3ED8" w:rsidRPr="009F3ED8" w:rsidRDefault="002F4485">
      <w:pPr>
        <w:pStyle w:val="Sadraj5"/>
      </w:pPr>
      <w:hyperlink w:anchor="_Toc511664697" w:history="1">
        <w:r w:rsidR="009F3ED8" w:rsidRPr="009F3ED8">
          <w:t>II.3.10.</w:t>
        </w:r>
        <w:r w:rsidR="009F3ED8" w:rsidRPr="009F3ED8">
          <w:tab/>
          <w:t>Demographic scenario, current and projected levels of public expenditure on LTC as % of GDP; 2016-2070</w:t>
        </w:r>
        <w:r w:rsidR="009F3ED8" w:rsidRPr="009F3ED8">
          <w:rPr>
            <w:webHidden/>
          </w:rPr>
          <w:tab/>
          <w:t>147</w:t>
        </w:r>
      </w:hyperlink>
    </w:p>
    <w:p w14:paraId="64EB4856" w14:textId="77777777" w:rsidR="009F3ED8" w:rsidRPr="009F3ED8" w:rsidRDefault="002F4485">
      <w:pPr>
        <w:pStyle w:val="Sadraj5"/>
      </w:pPr>
      <w:hyperlink w:anchor="_Toc511664698" w:history="1">
        <w:r w:rsidR="009F3ED8" w:rsidRPr="009F3ED8">
          <w:t>II.3.11.</w:t>
        </w:r>
        <w:r w:rsidR="009F3ED8" w:rsidRPr="009F3ED8">
          <w:tab/>
          <w:t>AWG reference scenario: Differences in the projected increase in public expenditure on long-term care over 2016-2060 between the 2018 and 2015 Ageing Report, as pps. of GDP</w:t>
        </w:r>
        <w:r w:rsidR="009F3ED8" w:rsidRPr="009F3ED8">
          <w:rPr>
            <w:webHidden/>
          </w:rPr>
          <w:tab/>
          <w:t>154</w:t>
        </w:r>
      </w:hyperlink>
    </w:p>
    <w:p w14:paraId="31430813" w14:textId="77777777" w:rsidR="009F3ED8" w:rsidRPr="009F3ED8" w:rsidRDefault="002F4485">
      <w:pPr>
        <w:pStyle w:val="Sadraj5"/>
      </w:pPr>
      <w:hyperlink w:anchor="_Toc511664699" w:history="1">
        <w:r w:rsidR="009F3ED8" w:rsidRPr="009F3ED8">
          <w:t>II.3.12.</w:t>
        </w:r>
        <w:r w:rsidR="009F3ED8" w:rsidRPr="009F3ED8">
          <w:tab/>
          <w:t>Projected expenditure in different LTC scenarios for the EU in % of GDP</w:t>
        </w:r>
        <w:r w:rsidR="009F3ED8" w:rsidRPr="009F3ED8">
          <w:rPr>
            <w:webHidden/>
          </w:rPr>
          <w:tab/>
          <w:t>158</w:t>
        </w:r>
      </w:hyperlink>
    </w:p>
    <w:p w14:paraId="73998BE7" w14:textId="77777777" w:rsidR="009F3ED8" w:rsidRPr="009F3ED8" w:rsidRDefault="002F4485">
      <w:pPr>
        <w:pStyle w:val="Sadraj5"/>
      </w:pPr>
      <w:hyperlink w:anchor="_Toc511664700" w:history="1">
        <w:r w:rsidR="009F3ED8" w:rsidRPr="009F3ED8">
          <w:t>II.3.13.</w:t>
        </w:r>
        <w:r w:rsidR="009F3ED8" w:rsidRPr="009F3ED8">
          <w:tab/>
          <w:t>Projected expenditure in LTC AWG reference and risk scenarios, for the EU in % of GDP</w:t>
        </w:r>
        <w:r w:rsidR="009F3ED8" w:rsidRPr="009F3ED8">
          <w:rPr>
            <w:webHidden/>
          </w:rPr>
          <w:tab/>
          <w:t>158</w:t>
        </w:r>
      </w:hyperlink>
    </w:p>
    <w:p w14:paraId="6499164D" w14:textId="77777777" w:rsidR="009F3ED8" w:rsidRPr="009F3ED8" w:rsidRDefault="002F4485">
      <w:pPr>
        <w:pStyle w:val="Sadraj5"/>
      </w:pPr>
      <w:hyperlink w:anchor="_Toc511664701" w:history="1">
        <w:r w:rsidR="009F3ED8" w:rsidRPr="009F3ED8">
          <w:t>II.3.14.</w:t>
        </w:r>
        <w:r w:rsidR="009F3ED8" w:rsidRPr="009F3ED8">
          <w:tab/>
          <w:t>Range of results for scenarios with mainly demographic sensitivity analysis (no policy change scenarios), EU in % of GDP</w:t>
        </w:r>
        <w:r w:rsidR="009F3ED8" w:rsidRPr="009F3ED8">
          <w:rPr>
            <w:webHidden/>
          </w:rPr>
          <w:tab/>
          <w:t>158</w:t>
        </w:r>
      </w:hyperlink>
    </w:p>
    <w:p w14:paraId="5FF96BB3" w14:textId="77777777" w:rsidR="009F3ED8" w:rsidRPr="009F3ED8" w:rsidRDefault="002F4485">
      <w:pPr>
        <w:pStyle w:val="Sadraj5"/>
      </w:pPr>
      <w:hyperlink w:anchor="_Toc511664702" w:history="1">
        <w:r w:rsidR="009F3ED8" w:rsidRPr="009F3ED8">
          <w:t>II.3.15.</w:t>
        </w:r>
        <w:r w:rsidR="009F3ED8" w:rsidRPr="009F3ED8">
          <w:tab/>
          <w:t>Range of results for scenarios with mainly cost and coverage sensitivity analysis (policy change scenarios), EU in % of GDP</w:t>
        </w:r>
        <w:r w:rsidR="009F3ED8" w:rsidRPr="009F3ED8">
          <w:rPr>
            <w:webHidden/>
          </w:rPr>
          <w:tab/>
          <w:t>158</w:t>
        </w:r>
      </w:hyperlink>
    </w:p>
    <w:p w14:paraId="7EA5A929" w14:textId="77777777" w:rsidR="009F3ED8" w:rsidRPr="009F3ED8" w:rsidRDefault="002F4485">
      <w:pPr>
        <w:pStyle w:val="Sadraj5"/>
      </w:pPr>
      <w:hyperlink w:anchor="_Toc511664703" w:history="1">
        <w:r w:rsidR="009F3ED8" w:rsidRPr="009F3ED8">
          <w:t>II.4.1.</w:t>
        </w:r>
        <w:r w:rsidR="009F3ED8" w:rsidRPr="009F3ED8">
          <w:tab/>
          <w:t>Students-to-Staff ratio across ISCED levels (Base Year 2016)</w:t>
        </w:r>
        <w:r w:rsidR="009F3ED8" w:rsidRPr="009F3ED8">
          <w:rPr>
            <w:webHidden/>
          </w:rPr>
          <w:tab/>
          <w:t>161</w:t>
        </w:r>
      </w:hyperlink>
    </w:p>
    <w:p w14:paraId="345782C1" w14:textId="77777777" w:rsidR="009F3ED8" w:rsidRPr="009F3ED8" w:rsidRDefault="002F4485">
      <w:pPr>
        <w:pStyle w:val="Sadraj5"/>
      </w:pPr>
      <w:hyperlink w:anchor="_Toc511664704" w:history="1">
        <w:r w:rsidR="009F3ED8" w:rsidRPr="009F3ED8">
          <w:t>II.4.2.</w:t>
        </w:r>
        <w:r w:rsidR="009F3ED8" w:rsidRPr="009F3ED8">
          <w:tab/>
          <w:t>Average compensation per member of staff as ratio of GDP per worker (Base Year 2016)</w:t>
        </w:r>
        <w:r w:rsidR="009F3ED8" w:rsidRPr="009F3ED8">
          <w:rPr>
            <w:webHidden/>
          </w:rPr>
          <w:tab/>
          <w:t>162</w:t>
        </w:r>
      </w:hyperlink>
    </w:p>
    <w:p w14:paraId="1C3FFF81" w14:textId="77777777" w:rsidR="009F3ED8" w:rsidRPr="009F3ED8" w:rsidRDefault="002F4485">
      <w:pPr>
        <w:pStyle w:val="Sadraj5"/>
      </w:pPr>
      <w:hyperlink w:anchor="_Toc511664705" w:history="1">
        <w:r w:rsidR="009F3ED8" w:rsidRPr="009F3ED8">
          <w:t>II.4.3.</w:t>
        </w:r>
        <w:r w:rsidR="009F3ED8" w:rsidRPr="009F3ED8">
          <w:tab/>
          <w:t>Structure of public expenditure on education as a percentage of GDP (Base Year 2016)</w:t>
        </w:r>
        <w:r w:rsidR="009F3ED8" w:rsidRPr="009F3ED8">
          <w:rPr>
            <w:webHidden/>
          </w:rPr>
          <w:tab/>
          <w:t>162</w:t>
        </w:r>
      </w:hyperlink>
    </w:p>
    <w:p w14:paraId="5E39C616" w14:textId="77777777" w:rsidR="009F3ED8" w:rsidRPr="009F3ED8" w:rsidRDefault="002F4485">
      <w:pPr>
        <w:pStyle w:val="Sadraj5"/>
      </w:pPr>
      <w:hyperlink w:anchor="_Toc511664706" w:history="1">
        <w:r w:rsidR="009F3ED8" w:rsidRPr="009F3ED8">
          <w:t>II.4.4.</w:t>
        </w:r>
        <w:r w:rsidR="009F3ED8" w:rsidRPr="009F3ED8">
          <w:tab/>
          <w:t>Changes in government expenditure by ISCED level between 2016 and 2070</w:t>
        </w:r>
        <w:r w:rsidR="009F3ED8" w:rsidRPr="009F3ED8">
          <w:rPr>
            <w:webHidden/>
          </w:rPr>
          <w:tab/>
          <w:t>164</w:t>
        </w:r>
      </w:hyperlink>
    </w:p>
    <w:p w14:paraId="69712C1B" w14:textId="77777777" w:rsidR="009F3ED8" w:rsidRPr="009F3ED8" w:rsidRDefault="002F4485">
      <w:pPr>
        <w:pStyle w:val="Sadraj5"/>
      </w:pPr>
      <w:hyperlink w:anchor="_Toc511664707" w:history="1">
        <w:r w:rsidR="009F3ED8" w:rsidRPr="009F3ED8">
          <w:t>II.4.5.</w:t>
        </w:r>
        <w:r w:rsidR="009F3ED8" w:rsidRPr="009F3ED8">
          <w:tab/>
          <w:t>Comparison of students and employed between the 2015 AR and the 2018 AR - Values for the baseline scenario in 2060</w:t>
        </w:r>
        <w:r w:rsidR="009F3ED8" w:rsidRPr="009F3ED8">
          <w:rPr>
            <w:webHidden/>
          </w:rPr>
          <w:tab/>
          <w:t>167</w:t>
        </w:r>
      </w:hyperlink>
    </w:p>
    <w:p w14:paraId="35B5FA26" w14:textId="77777777" w:rsidR="009F3ED8" w:rsidRPr="009F3ED8" w:rsidRDefault="002F4485">
      <w:pPr>
        <w:pStyle w:val="Sadraj5"/>
      </w:pPr>
      <w:hyperlink w:anchor="_Toc511664708" w:history="1">
        <w:r w:rsidR="009F3ED8" w:rsidRPr="009F3ED8">
          <w:t>II.AII.1.</w:t>
        </w:r>
        <w:r w:rsidR="009F3ED8" w:rsidRPr="009F3ED8">
          <w:tab/>
          <w:t>Contributions to the public pension system breakdown in 2016 and 2070 (% of projected pension expenditure)</w:t>
        </w:r>
        <w:r w:rsidR="009F3ED8" w:rsidRPr="009F3ED8">
          <w:rPr>
            <w:webHidden/>
          </w:rPr>
          <w:tab/>
          <w:t>183</w:t>
        </w:r>
      </w:hyperlink>
    </w:p>
    <w:p w14:paraId="214A64B0" w14:textId="77777777" w:rsidR="009F3ED8" w:rsidRPr="009F3ED8" w:rsidRDefault="002F4485">
      <w:pPr>
        <w:pStyle w:val="Sadraj5"/>
      </w:pPr>
      <w:hyperlink w:anchor="_Toc511664709" w:history="1">
        <w:r w:rsidR="009F3ED8" w:rsidRPr="009F3ED8">
          <w:t>II.AIV.1.</w:t>
        </w:r>
        <w:r w:rsidR="009F3ED8" w:rsidRPr="009F3ED8">
          <w:tab/>
          <w:t>Expenditure profiles of long-term care services by age and gender in the EU15, spending per recipient as % of GDP per capita and comparing 2018 and 2015 Ageing Reports</w:t>
        </w:r>
        <w:r w:rsidR="009F3ED8" w:rsidRPr="009F3ED8">
          <w:rPr>
            <w:webHidden/>
          </w:rPr>
          <w:tab/>
          <w:t>192</w:t>
        </w:r>
      </w:hyperlink>
    </w:p>
    <w:p w14:paraId="3E058875" w14:textId="77777777" w:rsidR="009F3ED8" w:rsidRPr="009F3ED8" w:rsidRDefault="002F4485">
      <w:pPr>
        <w:pStyle w:val="Sadraj5"/>
      </w:pPr>
      <w:hyperlink w:anchor="_Toc511664710" w:history="1">
        <w:r w:rsidR="009F3ED8" w:rsidRPr="009F3ED8">
          <w:t>II.AIV.2.</w:t>
        </w:r>
        <w:r w:rsidR="009F3ED8" w:rsidRPr="009F3ED8">
          <w:tab/>
          <w:t>Expenditure profiles of long-term care recipients in the New Member States, spending per recipient as % of GDP per capita and comparing 2018 and 2015 Ageing Reports</w:t>
        </w:r>
        <w:r w:rsidR="009F3ED8" w:rsidRPr="009F3ED8">
          <w:rPr>
            <w:webHidden/>
          </w:rPr>
          <w:tab/>
          <w:t>192</w:t>
        </w:r>
      </w:hyperlink>
    </w:p>
    <w:p w14:paraId="7550C625" w14:textId="77777777" w:rsidR="00FB1300" w:rsidRPr="009F3ED8" w:rsidRDefault="00FB1300" w:rsidP="00FB1300">
      <w:r w:rsidRPr="009F3ED8">
        <w:fldChar w:fldCharType="end"/>
      </w:r>
    </w:p>
    <w:p w14:paraId="36CE6AE2" w14:textId="77777777" w:rsidR="00FB1300" w:rsidRPr="009F3ED8" w:rsidRDefault="00FB1300" w:rsidP="00FB1300">
      <w:pPr>
        <w:pStyle w:val="HEADINGTOC"/>
      </w:pPr>
      <w:bookmarkStart w:id="13" w:name="EP_CONTENT_BOXES"/>
      <w:bookmarkEnd w:id="12"/>
      <w:r w:rsidRPr="009F3ED8">
        <w:t>LIST OF Boxes</w:t>
      </w:r>
    </w:p>
    <w:p w14:paraId="27E73A3E" w14:textId="77777777" w:rsidR="009F3ED8" w:rsidRPr="009F3ED8" w:rsidRDefault="00FB1300">
      <w:pPr>
        <w:pStyle w:val="Sadraj5"/>
      </w:pPr>
      <w:r w:rsidRPr="009F3ED8">
        <w:fldChar w:fldCharType="begin"/>
      </w:r>
      <w:r w:rsidRPr="009F3ED8">
        <w:instrText xml:space="preserve"> TOC \fbox \h \z \u </w:instrText>
      </w:r>
      <w:r w:rsidRPr="009F3ED8">
        <w:fldChar w:fldCharType="separate"/>
      </w:r>
      <w:hyperlink w:anchor="_Toc511664711" w:history="1">
        <w:r w:rsidR="009F3ED8" w:rsidRPr="009F3ED8">
          <w:t>I.1.1.</w:t>
        </w:r>
        <w:r w:rsidR="009F3ED8" w:rsidRPr="009F3ED8">
          <w:tab/>
          <w:t>Methodology for the migration assumptions in the 2015-based population projections</w:t>
        </w:r>
        <w:r w:rsidR="009F3ED8" w:rsidRPr="009F3ED8">
          <w:rPr>
            <w:webHidden/>
          </w:rPr>
          <w:tab/>
          <w:t>20</w:t>
        </w:r>
      </w:hyperlink>
    </w:p>
    <w:p w14:paraId="6CB223B4" w14:textId="77777777" w:rsidR="009F3ED8" w:rsidRPr="009F3ED8" w:rsidRDefault="002F4485">
      <w:pPr>
        <w:pStyle w:val="Sadraj5"/>
      </w:pPr>
      <w:hyperlink w:anchor="_Toc511664712" w:history="1">
        <w:r w:rsidR="009F3ED8" w:rsidRPr="009F3ED8">
          <w:t>II.1.1.</w:t>
        </w:r>
        <w:r w:rsidR="009F3ED8" w:rsidRPr="009F3ED8">
          <w:tab/>
          <w:t>Average retirement age versus average exit age from the labour market</w:t>
        </w:r>
        <w:r w:rsidR="009F3ED8" w:rsidRPr="009F3ED8">
          <w:rPr>
            <w:webHidden/>
          </w:rPr>
          <w:tab/>
          <w:t>58</w:t>
        </w:r>
      </w:hyperlink>
    </w:p>
    <w:p w14:paraId="09109FAA" w14:textId="77777777" w:rsidR="009F3ED8" w:rsidRPr="009F3ED8" w:rsidRDefault="002F4485">
      <w:pPr>
        <w:pStyle w:val="Sadraj5"/>
      </w:pPr>
      <w:hyperlink w:anchor="_Toc511664713" w:history="1">
        <w:r w:rsidR="009F3ED8" w:rsidRPr="009F3ED8">
          <w:t>II.1.2.</w:t>
        </w:r>
        <w:r w:rsidR="009F3ED8" w:rsidRPr="009F3ED8">
          <w:tab/>
          <w:t>Special pensions in the EU</w:t>
        </w:r>
        <w:r w:rsidR="009F3ED8" w:rsidRPr="009F3ED8">
          <w:rPr>
            <w:webHidden/>
          </w:rPr>
          <w:tab/>
          <w:t>63</w:t>
        </w:r>
      </w:hyperlink>
    </w:p>
    <w:p w14:paraId="5DC9E631" w14:textId="77777777" w:rsidR="009F3ED8" w:rsidRPr="009F3ED8" w:rsidRDefault="002F4485">
      <w:pPr>
        <w:pStyle w:val="Sadraj5"/>
      </w:pPr>
      <w:hyperlink w:anchor="_Toc511664714" w:history="1">
        <w:r w:rsidR="009F3ED8" w:rsidRPr="009F3ED8">
          <w:t>II.1.3.</w:t>
        </w:r>
        <w:r w:rsidR="009F3ED8" w:rsidRPr="009F3ED8">
          <w:tab/>
          <w:t>Breakdown of the pension expenditure-to-GDP ratio</w:t>
        </w:r>
        <w:r w:rsidR="009F3ED8" w:rsidRPr="009F3ED8">
          <w:rPr>
            <w:webHidden/>
          </w:rPr>
          <w:tab/>
          <w:t>78</w:t>
        </w:r>
      </w:hyperlink>
    </w:p>
    <w:p w14:paraId="2590D0CD" w14:textId="77777777" w:rsidR="009F3ED8" w:rsidRPr="009F3ED8" w:rsidRDefault="002F4485">
      <w:pPr>
        <w:pStyle w:val="Sadraj5"/>
      </w:pPr>
      <w:hyperlink w:anchor="_Toc511664715" w:history="1">
        <w:r w:rsidR="009F3ED8" w:rsidRPr="009F3ED8">
          <w:t>II.2.1.</w:t>
        </w:r>
        <w:r w:rsidR="009F3ED8" w:rsidRPr="009F3ED8">
          <w:tab/>
          <w:t>Public health care expenditure through the last decades</w:t>
        </w:r>
        <w:r w:rsidR="009F3ED8" w:rsidRPr="009F3ED8">
          <w:rPr>
            <w:webHidden/>
          </w:rPr>
          <w:tab/>
          <w:t>103</w:t>
        </w:r>
      </w:hyperlink>
    </w:p>
    <w:p w14:paraId="3FA70AA2" w14:textId="77777777" w:rsidR="009F3ED8" w:rsidRPr="009F3ED8" w:rsidRDefault="002F4485">
      <w:pPr>
        <w:pStyle w:val="Sadraj5"/>
      </w:pPr>
      <w:hyperlink w:anchor="_Toc511664716" w:history="1">
        <w:r w:rsidR="009F3ED8" w:rsidRPr="009F3ED8">
          <w:t>II.2.2.</w:t>
        </w:r>
        <w:r w:rsidR="009F3ED8" w:rsidRPr="009F3ED8">
          <w:tab/>
          <w:t>Income elasticity of health care demand, a short literature survey</w:t>
        </w:r>
        <w:r w:rsidR="009F3ED8" w:rsidRPr="009F3ED8">
          <w:rPr>
            <w:webHidden/>
          </w:rPr>
          <w:tab/>
          <w:t>107</w:t>
        </w:r>
      </w:hyperlink>
    </w:p>
    <w:p w14:paraId="064FD19B" w14:textId="77777777" w:rsidR="009F3ED8" w:rsidRPr="009F3ED8" w:rsidRDefault="002F4485">
      <w:pPr>
        <w:pStyle w:val="Sadraj5"/>
      </w:pPr>
      <w:hyperlink w:anchor="_Toc511664717" w:history="1">
        <w:r w:rsidR="009F3ED8" w:rsidRPr="009F3ED8">
          <w:t>II.2.3.</w:t>
        </w:r>
        <w:r w:rsidR="009F3ED8" w:rsidRPr="009F3ED8">
          <w:tab/>
          <w:t>Excess cost growth in health care expenditures, a short literature survey</w:t>
        </w:r>
        <w:r w:rsidR="009F3ED8" w:rsidRPr="009F3ED8">
          <w:rPr>
            <w:webHidden/>
          </w:rPr>
          <w:tab/>
          <w:t>108</w:t>
        </w:r>
      </w:hyperlink>
    </w:p>
    <w:p w14:paraId="3F28D83D" w14:textId="77777777" w:rsidR="009F3ED8" w:rsidRPr="009F3ED8" w:rsidRDefault="002F4485">
      <w:pPr>
        <w:pStyle w:val="Sadraj5"/>
      </w:pPr>
      <w:hyperlink w:anchor="_Toc511664718" w:history="1">
        <w:r w:rsidR="009F3ED8" w:rsidRPr="009F3ED8">
          <w:t>II.2.4.</w:t>
        </w:r>
        <w:r w:rsidR="009F3ED8" w:rsidRPr="009F3ED8">
          <w:tab/>
          <w:t>Internationally comparable data on total public health care expenditure</w:t>
        </w:r>
        <w:r w:rsidR="009F3ED8" w:rsidRPr="009F3ED8">
          <w:rPr>
            <w:webHidden/>
          </w:rPr>
          <w:tab/>
          <w:t>110</w:t>
        </w:r>
      </w:hyperlink>
    </w:p>
    <w:p w14:paraId="1CFC6717" w14:textId="77777777" w:rsidR="00FB1300" w:rsidRPr="009F3ED8" w:rsidRDefault="00FB1300" w:rsidP="00FB1300">
      <w:r w:rsidRPr="009F3ED8">
        <w:fldChar w:fldCharType="end"/>
      </w:r>
    </w:p>
    <w:p w14:paraId="1A0BA969" w14:textId="77777777" w:rsidR="00FB1300" w:rsidRPr="009F3ED8" w:rsidRDefault="00FB1300" w:rsidP="00FB1300">
      <w:pPr>
        <w:pStyle w:val="HEADINGTOC"/>
        <w:rPr>
          <w:vanish/>
        </w:rPr>
      </w:pPr>
      <w:bookmarkStart w:id="14" w:name="EP_CONTENT_MAPS"/>
      <w:bookmarkEnd w:id="13"/>
      <w:r w:rsidRPr="009F3ED8">
        <w:rPr>
          <w:vanish/>
        </w:rPr>
        <w:t>LIST OF Maps</w:t>
      </w:r>
    </w:p>
    <w:p w14:paraId="4C6EE2A2" w14:textId="77777777" w:rsidR="00FB1300" w:rsidRDefault="00FB1300" w:rsidP="00FB1300">
      <w:r w:rsidRPr="009F3ED8">
        <w:rPr>
          <w:vanish/>
        </w:rPr>
        <w:fldChar w:fldCharType="begin"/>
      </w:r>
      <w:r w:rsidRPr="009F3ED8">
        <w:rPr>
          <w:vanish/>
        </w:rPr>
        <w:instrText xml:space="preserve"> TOC \fmap \h \z \u </w:instrText>
      </w:r>
      <w:r w:rsidRPr="009F3ED8">
        <w:rPr>
          <w:vanish/>
        </w:rPr>
        <w:fldChar w:fldCharType="separate"/>
      </w:r>
      <w:r w:rsidR="009F3ED8" w:rsidRPr="009F3ED8">
        <w:rPr>
          <w:vanish/>
        </w:rPr>
        <w:t>No table of contents entries found.</w:t>
      </w:r>
      <w:r w:rsidRPr="009F3ED8">
        <w:rPr>
          <w:vanish/>
        </w:rPr>
        <w:fldChar w:fldCharType="end"/>
      </w:r>
      <w:bookmarkEnd w:id="14"/>
    </w:p>
    <w:p w14:paraId="54F93140" w14:textId="77777777" w:rsidR="00FB1300" w:rsidRDefault="00FB1300" w:rsidP="00FB1300">
      <w:pPr>
        <w:rPr>
          <w:lang w:val="en-US"/>
        </w:rPr>
      </w:pPr>
    </w:p>
    <w:bookmarkEnd w:id="10"/>
    <w:p w14:paraId="76E33A44" w14:textId="77777777" w:rsidR="00FB1300" w:rsidRDefault="00FB1300" w:rsidP="00FB1300">
      <w:pPr>
        <w:rPr>
          <w:lang w:val="en-US"/>
        </w:rPr>
        <w:sectPr w:rsidR="00FB1300" w:rsidSect="00FB1300">
          <w:headerReference w:type="even" r:id="rId16"/>
          <w:headerReference w:type="default" r:id="rId17"/>
          <w:footerReference w:type="even" r:id="rId18"/>
          <w:footerReference w:type="default" r:id="rId19"/>
          <w:headerReference w:type="first" r:id="rId20"/>
          <w:footerReference w:type="first" r:id="rId21"/>
          <w:endnotePr>
            <w:numFmt w:val="decimal"/>
          </w:endnotePr>
          <w:type w:val="oddPage"/>
          <w:pgSz w:w="11907" w:h="16839"/>
          <w:pgMar w:top="2693" w:right="1701" w:bottom="1417" w:left="1701" w:header="709" w:footer="1191" w:gutter="0"/>
          <w:pgNumType w:fmt="lowerRoman"/>
          <w:cols w:space="708"/>
          <w:titlePg/>
          <w:docGrid w:linePitch="360"/>
        </w:sectPr>
      </w:pPr>
    </w:p>
    <w:bookmarkStart w:id="15" w:name="_Toc496796483"/>
    <w:bookmarkStart w:id="16" w:name="GUID198497D401484A70B5C66A31BA51F4E6"/>
    <w:p w14:paraId="063F30A0" w14:textId="77777777" w:rsidR="00A74472" w:rsidRPr="009F3ED8" w:rsidRDefault="00A74472" w:rsidP="00460C69">
      <w:pPr>
        <w:pStyle w:val="EPKitTCFrame"/>
      </w:pPr>
      <w:r w:rsidRPr="009F3ED8">
        <w:lastRenderedPageBreak/>
        <w:fldChar w:fldCharType="begin"/>
      </w:r>
      <w:r w:rsidRPr="009F3ED8">
        <w:rPr>
          <w:vanish w:val="0"/>
        </w:rPr>
        <w:instrText xml:space="preserve"> TC "</w:instrText>
      </w:r>
      <w:bookmarkStart w:id="17" w:name="_Toc511664408"/>
      <w:r w:rsidRPr="009F3ED8">
        <w:rPr>
          <w:vanish w:val="0"/>
        </w:rPr>
        <w:instrText>Executive Summary</w:instrText>
      </w:r>
      <w:bookmarkEnd w:id="17"/>
      <w:r w:rsidRPr="009F3ED8">
        <w:rPr>
          <w:vanish w:val="0"/>
        </w:rPr>
        <w:instrText xml:space="preserve">" \f \l 1 </w:instrText>
      </w:r>
      <w:r w:rsidRPr="009F3ED8">
        <w:fldChar w:fldCharType="end"/>
      </w:r>
    </w:p>
    <w:p w14:paraId="41392F95" w14:textId="77777777" w:rsidR="00A74472" w:rsidRPr="00403C18" w:rsidRDefault="00A74472" w:rsidP="00460C69">
      <w:pPr>
        <w:pStyle w:val="NumberedHeading1"/>
        <w:tabs>
          <w:tab w:val="left" w:pos="567"/>
        </w:tabs>
      </w:pPr>
      <w:bookmarkStart w:id="18" w:name="_Toc511664409"/>
      <w:r w:rsidRPr="00403C18">
        <w:t>1.</w:t>
      </w:r>
      <w:r w:rsidRPr="00403C18">
        <w:tab/>
        <w:t>2018 Ageing Report: mandate and broad principles</w:t>
      </w:r>
      <w:bookmarkEnd w:id="15"/>
      <w:bookmarkEnd w:id="18"/>
      <w:r w:rsidRPr="00403C18">
        <w:t xml:space="preserve"> </w:t>
      </w:r>
    </w:p>
    <w:p w14:paraId="49E34F94" w14:textId="77777777" w:rsidR="00A74472" w:rsidRPr="00403C18" w:rsidRDefault="00A74472" w:rsidP="00460C69">
      <w:r w:rsidRPr="00403C18">
        <w:t>The sustainability of public finances in the EU can be better monitored and safeguarded if its analysis banks on reliable and comparable information on possible challenges, including the expected strains caused by the demographic changes ahead.</w:t>
      </w:r>
    </w:p>
    <w:p w14:paraId="3070C28C" w14:textId="77777777" w:rsidR="00A74472" w:rsidRPr="00403C18" w:rsidRDefault="00A74472" w:rsidP="00460C69">
      <w:r w:rsidRPr="00403C18">
        <w:t xml:space="preserve">For this reason, the ECOFIN Council gave a mandate to the Economic Policy Committee (EPC) to produce a new set of long-term budgetary projections by 2018, on the basis of new population projections to be provided by Eurostat. </w:t>
      </w:r>
    </w:p>
    <w:p w14:paraId="70E45045" w14:textId="77777777" w:rsidR="00A74472" w:rsidRPr="00403C18" w:rsidRDefault="00A74472" w:rsidP="00460C69">
      <w:r w:rsidRPr="00403C18">
        <w:t xml:space="preserve">The </w:t>
      </w:r>
      <w:smartTag w:uri="urn:schemas-microsoft-com:office:smarttags" w:element="stockticker">
        <w:r w:rsidRPr="00403C18">
          <w:t>EPC</w:t>
        </w:r>
      </w:smartTag>
      <w:r w:rsidRPr="00403C18">
        <w:t xml:space="preserve"> and the Commission services (Directorate-General for Economic and Financial Affairs - DG ECFIN) agreed on a work programme with broad arrangements to organise the budgetary projections and reach an agreement on its assumptions and methodologies to discharge this mandate (see the overview of the projection exercise for details). </w:t>
      </w:r>
    </w:p>
    <w:p w14:paraId="01E857FD" w14:textId="77777777" w:rsidR="00A74472" w:rsidRPr="00403C18" w:rsidRDefault="00A74472" w:rsidP="00460C69">
      <w:r w:rsidRPr="00403C18">
        <w:t xml:space="preserve">The long-term projections show where (in which countries), when, and to what extent ageing pressures will accelerate as the baby-boom generation retires and as the people in the EU is expected to live longer in the future. Hence, the projections are helpful in highlighting the immediate and future policy challenges for governments posed by projected demographic trends. The report provides a very rich set of information at the individual country level which covers a long time-span (until 2070), compiled in a comparable and transparent manner. </w:t>
      </w:r>
    </w:p>
    <w:p w14:paraId="49842E32" w14:textId="77777777" w:rsidR="00A74472" w:rsidRPr="00403C18" w:rsidRDefault="00A74472" w:rsidP="00460C69">
      <w:r w:rsidRPr="00403C18">
        <w:t>The projections feed into a variety of policy debates and processes at EU level, including the overarching Europe 2020 strategy for smart, sustainable and inclusive growth. In particular, they are used in the context of the European Semester so as to identify policy challenges, among others in setting the medium-term budgetary objectives (MTOs), in the annual assessment of the sustainability of public finances carried out as part of the Stability and Growth Pact, and in the analysis on the impact of ageing populations on the labour market and potential economic growth.</w:t>
      </w:r>
    </w:p>
    <w:p w14:paraId="6EED113A" w14:textId="77777777" w:rsidR="00A74472" w:rsidRPr="00403C18" w:rsidRDefault="00A74472" w:rsidP="00460C69">
      <w:pPr>
        <w:pStyle w:val="Heading"/>
      </w:pPr>
      <w:r w:rsidRPr="00403C18">
        <w:t>Coverage and overview of the 2018 long-term projection exercise</w:t>
      </w:r>
    </w:p>
    <w:p w14:paraId="17BABF7B" w14:textId="77777777" w:rsidR="00A74472" w:rsidRPr="00403C18" w:rsidRDefault="00A74472" w:rsidP="00460C69">
      <w:r w:rsidRPr="00403C18">
        <w:t xml:space="preserve">The long-term projections take as starting point Eurostat's population projections for the period 2016 to 2070. In addition, the EPC, on the basis of proposals prepared by the Commission services (DG ECFIN) and the Ageing Working Group (AWG) of the EPC, agreed upon assumptions and methodologies common for all Member States to project a set of exogenous macroeconomic variables covering the labour force (participation, employment and unemployment rates), labour productivity, and the real interest rate (see Graph </w:t>
      </w:r>
      <w:r w:rsidRPr="00403C18">
        <w:fldChar w:fldCharType="begin"/>
      </w:r>
      <w:r w:rsidRPr="00403C18">
        <w:instrText xml:space="preserve"> QUOTE "1"</w:instrText>
      </w:r>
      <w:r w:rsidRPr="00403C18">
        <w:fldChar w:fldCharType="begin">
          <w:fldData xml:space="preserve">QwBSAE8AUwBTAFIARQBGAEUAUgBFAE4AQwBFACoARwBSAEEAUABIACoAYwA2ADYAZgAwADgAMwA1
AC0AYQA3AGEAZgAtADQANwA5ADEALQA4AGUAMQA2AC0AYwA5AGQAOAA1ADAANgBiAGEAYQBhADAA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1</w:t>
      </w:r>
      <w:r w:rsidRPr="00403C18">
        <w:fldChar w:fldCharType="end"/>
      </w:r>
      <w:r w:rsidRPr="00403C18">
        <w:t>). This combined set of projections enabled the calculation of GDP for all Member States up to 2070. The macroeconomic assumptions on which this report is based were agreed upon in the first half of 2017 and published in November 2017 (</w:t>
      </w:r>
      <w:r w:rsidRPr="00403C18">
        <w:rPr>
          <w:rStyle w:val="Referencafusnote"/>
        </w:rPr>
        <w:footnoteReference w:id="1"/>
      </w:r>
      <w:r w:rsidRPr="00403C18">
        <w:t>).</w:t>
      </w:r>
    </w:p>
    <w:p w14:paraId="72508A40" w14:textId="77777777" w:rsidR="00A74472" w:rsidRPr="00403C18" w:rsidRDefault="00A74472" w:rsidP="00460C69">
      <w:r w:rsidRPr="00403C18">
        <w:t>On the basis of these assumptions, separate budgetary projections were carried out for five government expenditure items. The projections for pensions were run by the Member States using their own national model(s), reflecting current pension legislation (</w:t>
      </w:r>
      <w:r w:rsidRPr="00403C18">
        <w:rPr>
          <w:rStyle w:val="Referencafusnote"/>
        </w:rPr>
        <w:footnoteReference w:id="2"/>
      </w:r>
      <w:r w:rsidRPr="00403C18">
        <w:t xml:space="preserve">). In this way, the projections benefit from capturing the country-specific circumstances prevailing in the different Member States as a result of different pension legislation, while at the same time ensuring consistency by basing the projections on commonly agreed </w:t>
      </w:r>
      <w:r w:rsidRPr="00403C18">
        <w:lastRenderedPageBreak/>
        <w:t xml:space="preserve">underlying assumptions. A novelty in this projection round is a detailed account of the extent to which special pensions (those which have different conditions for a pension is different from the general pension schemes prevailing in a country) are an important part of public pension provision in the EU countries. </w:t>
      </w:r>
    </w:p>
    <w:p w14:paraId="16D4BEC6" w14:textId="77777777" w:rsidR="00A74472" w:rsidRPr="00403C18" w:rsidRDefault="00A74472" w:rsidP="00460C69">
      <w:r w:rsidRPr="00403C18">
        <w:t xml:space="preserve">The projections for health care, long-term care, education and unemployment were run by the European Commission (DG ECFIN) on the basis of a common projection model for each expenditure item, taking into account country-specific settings, where appropriate. The results of this set of projections are aggregated to provide an overall projection of age-related public expenditures (see Graph </w:t>
      </w:r>
      <w:r w:rsidRPr="00403C18">
        <w:fldChar w:fldCharType="begin"/>
      </w:r>
      <w:r w:rsidRPr="00403C18">
        <w:instrText xml:space="preserve"> QUOTE "1"</w:instrText>
      </w:r>
      <w:r w:rsidRPr="00403C18">
        <w:fldChar w:fldCharType="begin">
          <w:fldData xml:space="preserve">QwBSAE8AUwBTAFIARQBGAEUAUgBFAE4AQwBFACoARwBSAEEAUABIACoAYwA2ADYAZgAwADgAMwA1
AC0AYQA3AGEAZgAtADQANwA5ADEALQA4AGUAMQA2AC0AYwA5AGQAOAA1ADAANgBiAGEAYQBhADAA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1</w:t>
      </w:r>
      <w:r w:rsidRPr="00403C18">
        <w:fldChar w:fldCharType="end"/>
      </w:r>
      <w:r w:rsidRPr="00403C18">
        <w:t>).</w:t>
      </w:r>
    </w:p>
    <w:tbl>
      <w:tblPr>
        <w:tblW w:w="0" w:type="auto"/>
        <w:tblLayout w:type="fixed"/>
        <w:tblCellMar>
          <w:left w:w="0" w:type="dxa"/>
          <w:right w:w="0" w:type="dxa"/>
        </w:tblCellMar>
        <w:tblLook w:val="0000" w:firstRow="0" w:lastRow="0" w:firstColumn="0" w:lastColumn="0" w:noHBand="0" w:noVBand="0"/>
      </w:tblPr>
      <w:tblGrid>
        <w:gridCol w:w="8505"/>
      </w:tblGrid>
      <w:tr w:rsidR="00A74472" w:rsidRPr="00403C18" w14:paraId="06DDEAEF" w14:textId="77777777" w:rsidTr="00460C69">
        <w:trPr>
          <w:cantSplit/>
        </w:trPr>
        <w:tc>
          <w:tcPr>
            <w:tcW w:w="8505" w:type="dxa"/>
            <w:shd w:val="clear" w:color="auto" w:fill="auto"/>
          </w:tcPr>
          <w:p w14:paraId="7AA77FC7" w14:textId="77777777" w:rsidR="00A74472" w:rsidRPr="00403C18" w:rsidRDefault="00A74472" w:rsidP="00460C69">
            <w:pPr>
              <w:pStyle w:val="GraphTitle"/>
              <w:rPr>
                <w:b/>
              </w:rPr>
            </w:pPr>
            <w:r w:rsidRPr="00403C18">
              <w:t>Graph 1:</w:t>
            </w:r>
            <w:r w:rsidRPr="00403C18">
              <w:rPr>
                <w:b/>
              </w:rPr>
              <w:tab/>
              <w:t>Overview of the 2018 long-term projection exercise</w:t>
            </w:r>
          </w:p>
        </w:tc>
      </w:tr>
      <w:tr w:rsidR="00A74472" w:rsidRPr="00403C18" w14:paraId="00577DC0" w14:textId="77777777" w:rsidTr="00460C69">
        <w:trPr>
          <w:cantSplit/>
        </w:trPr>
        <w:tc>
          <w:tcPr>
            <w:tcW w:w="8505" w:type="dxa"/>
            <w:shd w:val="clear" w:color="auto" w:fill="auto"/>
          </w:tcPr>
          <w:p w14:paraId="0A8A8D32" w14:textId="77777777" w:rsidR="00A74472" w:rsidRPr="00403C18" w:rsidRDefault="00A74472" w:rsidP="00460C69">
            <w:pPr>
              <w:pStyle w:val="GraphShape"/>
              <w:rPr>
                <w:sz w:val="2"/>
              </w:rPr>
            </w:pPr>
            <w:r w:rsidRPr="00403C18">
              <w:fldChar w:fldCharType="begin"/>
            </w:r>
            <w:r w:rsidRPr="009F3ED8">
              <w:instrText xml:space="preserve"> TC "</w:instrText>
            </w:r>
            <w:bookmarkStart w:id="19" w:name="_Toc511664612"/>
            <w:r w:rsidRPr="009F3ED8">
              <w:instrText>1.</w:instrText>
            </w:r>
            <w:r w:rsidRPr="009F3ED8">
              <w:tab/>
              <w:instrText>Overview of the 2018 long-term projection exercise</w:instrText>
            </w:r>
            <w:bookmarkEnd w:id="19"/>
            <w:r w:rsidRPr="009F3ED8">
              <w:instrText xml:space="preserve">" \fgraph \l 5 </w:instrText>
            </w:r>
            <w:r w:rsidRPr="00403C18">
              <w:fldChar w:fldCharType="end"/>
            </w:r>
            <w:r w:rsidRPr="00403C18">
              <w:rPr>
                <w:noProof/>
                <w:sz w:val="2"/>
                <w:lang w:val="hr-HR" w:eastAsia="hr-HR"/>
              </w:rPr>
              <w:drawing>
                <wp:inline distT="0" distB="0" distL="0" distR="0" wp14:anchorId="79890781" wp14:editId="18F1E7B6">
                  <wp:extent cx="5388229" cy="3261446"/>
                  <wp:effectExtent l="0" t="0" r="3175" b="0"/>
                  <wp:docPr id="9" name="Picture 9" descr="&lt;nbr&gt;&lt;GETTEXTFROMWORD&gt;&lt;/nbr&gt;&#10;&lt;title&gt;&lt;GETTEXTFROMWORD&gt;&lt;/title&gt;&#10;&lt;id&gt;c66f0835-a7af-4791-8e16-c9d8506baaa0&lt;/id&gt;&#10;&lt;srcType&gt;IMAGE&lt;/srcType&gt;&#10;&lt;srcPath&gt;U:\Budgetary projections 2018\Reports\2018 AR\Tables_and_graphs\Part II Chapter 6\&lt;/srcPath&gt;&#10;&lt;srcName&gt;graph_presentation3.png&lt;/srcName&gt;&#10;&lt;type&gt;graph&lt;/typ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7-07-10T17:09:16&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388229" cy="3261446"/>
                          </a:xfrm>
                          <a:prstGeom prst="rect">
                            <a:avLst/>
                          </a:prstGeom>
                          <a:noFill/>
                          <a:ln>
                            <a:noFill/>
                          </a:ln>
                        </pic:spPr>
                      </pic:pic>
                    </a:graphicData>
                  </a:graphic>
                </wp:inline>
              </w:drawing>
            </w:r>
          </w:p>
        </w:tc>
      </w:tr>
      <w:tr w:rsidR="00A74472" w:rsidRPr="00403C18" w14:paraId="40B1D5C3" w14:textId="77777777" w:rsidTr="00460C69">
        <w:trPr>
          <w:cantSplit/>
        </w:trPr>
        <w:tc>
          <w:tcPr>
            <w:tcW w:w="8505" w:type="dxa"/>
            <w:shd w:val="clear" w:color="auto" w:fill="auto"/>
            <w:tcMar>
              <w:bottom w:w="240" w:type="dxa"/>
            </w:tcMar>
          </w:tcPr>
          <w:p w14:paraId="377FE646" w14:textId="77777777" w:rsidR="00A74472" w:rsidRPr="00403C18" w:rsidRDefault="00A74472" w:rsidP="00460C69">
            <w:pPr>
              <w:pStyle w:val="GraphSource"/>
              <w:keepNext/>
            </w:pPr>
            <w:r w:rsidRPr="00403C18">
              <w:rPr>
                <w:b/>
                <w:i/>
              </w:rPr>
              <w:t>Source:</w:t>
            </w:r>
            <w:r w:rsidRPr="00403C18">
              <w:t xml:space="preserve"> Commission services, EPC.</w:t>
            </w:r>
          </w:p>
        </w:tc>
      </w:tr>
    </w:tbl>
    <w:p w14:paraId="016262E6" w14:textId="77777777" w:rsidR="00A74472" w:rsidRPr="00403C18" w:rsidRDefault="00A74472" w:rsidP="00460C69">
      <w:r w:rsidRPr="00403C18">
        <w:t>There is uncertainty surrounding these long-term projections, which are made under a 'no-policy-change' assumption to illustrate what the future could be if current policies remain unchanged. The projection results are strongly influenced by the underlying assumptions. For this reason, a set of sensitivity tests are carried out to illustrate the extent to which the public expenditure projections are sensitive to key assumptions.</w:t>
      </w:r>
    </w:p>
    <w:p w14:paraId="3678C8DA" w14:textId="77777777" w:rsidR="00A74472" w:rsidRPr="00403C18" w:rsidRDefault="00A74472" w:rsidP="00460C69">
      <w:r w:rsidRPr="00403C18">
        <w:t>This report is structured in two parts. The first part describes the underlying assumptions: the population projection, the labour force projection and the macroeconomic assumptions used. The second part presents the long-term budgetary projections on pensions, health care, long-term care, education and unemployment benefits. A Statistical Annex gives an overview of the main assumptions and macroeconomic projections as well as projection results of age-related expenditure items by area and by country.</w:t>
      </w:r>
    </w:p>
    <w:p w14:paraId="52BE2EFC" w14:textId="77777777" w:rsidR="00A74472" w:rsidRPr="00403C18" w:rsidRDefault="00A74472" w:rsidP="00460C69"/>
    <w:p w14:paraId="651D4C0A" w14:textId="77777777" w:rsidR="00A74472" w:rsidRPr="00403C18" w:rsidRDefault="00A74472" w:rsidP="00460C69">
      <w:pPr>
        <w:pStyle w:val="NumberedHeading1"/>
        <w:tabs>
          <w:tab w:val="left" w:pos="567"/>
        </w:tabs>
      </w:pPr>
      <w:bookmarkStart w:id="20" w:name="_Toc511664410"/>
      <w:r w:rsidRPr="00403C18">
        <w:lastRenderedPageBreak/>
        <w:t>2.</w:t>
      </w:r>
      <w:r w:rsidRPr="00403C18">
        <w:tab/>
        <w:t>The economic and budgetary impact of population ageing</w:t>
      </w:r>
      <w:bookmarkEnd w:id="20"/>
      <w:r w:rsidRPr="00403C18">
        <w:t xml:space="preserve"> </w:t>
      </w:r>
    </w:p>
    <w:p w14:paraId="2FFB1B50" w14:textId="77777777" w:rsidR="00A74472" w:rsidRPr="00403C18" w:rsidRDefault="00A74472" w:rsidP="00460C69">
      <w:pPr>
        <w:pStyle w:val="Heading"/>
      </w:pPr>
      <w:r w:rsidRPr="00403C18">
        <w:t>Significantly lower working-age population projected for the EU over the coming decades</w:t>
      </w:r>
    </w:p>
    <w:p w14:paraId="4F539352" w14:textId="77777777" w:rsidR="00A74472" w:rsidRPr="00403C18" w:rsidRDefault="00A74472" w:rsidP="00460C69">
      <w:r w:rsidRPr="00403C18">
        <w:t>The demographic projections over the long term reveal that the EU is ‘turning increasingly grey’ in the coming decades. The total population in the EU is projected to increase from 511 million in 2016 to 520 million in 2070, but the working-age population (15-64) will decrease significantly from 333 million in 2016 to 292 million in 2070 due to fertility, life expectancy and migration flow dynamics (</w:t>
      </w:r>
      <w:r w:rsidRPr="00403C18">
        <w:rPr>
          <w:rStyle w:val="Referencafusnote"/>
        </w:rPr>
        <w:footnoteReference w:id="3"/>
      </w:r>
      <w:r w:rsidRPr="00403C18">
        <w:t>).</w:t>
      </w:r>
    </w:p>
    <w:tbl>
      <w:tblPr>
        <w:tblW w:w="0" w:type="auto"/>
        <w:tblLayout w:type="fixed"/>
        <w:tblCellMar>
          <w:left w:w="0" w:type="dxa"/>
          <w:right w:w="0" w:type="dxa"/>
        </w:tblCellMar>
        <w:tblLook w:val="0000" w:firstRow="0" w:lastRow="0" w:firstColumn="0" w:lastColumn="0" w:noHBand="0" w:noVBand="0"/>
      </w:tblPr>
      <w:tblGrid>
        <w:gridCol w:w="8505"/>
      </w:tblGrid>
      <w:tr w:rsidR="00A74472" w:rsidRPr="00403C18" w14:paraId="561FC55C" w14:textId="77777777" w:rsidTr="00460C69">
        <w:trPr>
          <w:cantSplit/>
        </w:trPr>
        <w:tc>
          <w:tcPr>
            <w:tcW w:w="8505" w:type="dxa"/>
            <w:shd w:val="clear" w:color="auto" w:fill="auto"/>
          </w:tcPr>
          <w:p w14:paraId="544780A9" w14:textId="77777777" w:rsidR="00A74472" w:rsidRPr="00403C18" w:rsidRDefault="00A74472" w:rsidP="00460C69">
            <w:pPr>
              <w:pStyle w:val="GraphTitle"/>
              <w:rPr>
                <w:b/>
              </w:rPr>
            </w:pPr>
            <w:r w:rsidRPr="00403C18">
              <w:t>Graph 2:</w:t>
            </w:r>
            <w:r w:rsidRPr="00403C18">
              <w:rPr>
                <w:b/>
              </w:rPr>
              <w:tab/>
              <w:t>Population by age group and gender, 2016-70 (thousands)</w:t>
            </w:r>
          </w:p>
        </w:tc>
      </w:tr>
      <w:tr w:rsidR="00A74472" w:rsidRPr="00403C18" w14:paraId="77EE0DC6" w14:textId="77777777" w:rsidTr="00460C69">
        <w:trPr>
          <w:cantSplit/>
        </w:trPr>
        <w:tc>
          <w:tcPr>
            <w:tcW w:w="8505" w:type="dxa"/>
            <w:shd w:val="clear" w:color="auto" w:fill="auto"/>
          </w:tcPr>
          <w:p w14:paraId="1BE33ED4" w14:textId="77777777" w:rsidR="00A74472" w:rsidRPr="00403C18" w:rsidRDefault="00A74472" w:rsidP="00460C69">
            <w:pPr>
              <w:pStyle w:val="GraphShape"/>
              <w:rPr>
                <w:sz w:val="2"/>
              </w:rPr>
            </w:pPr>
            <w:r w:rsidRPr="00403C18">
              <w:fldChar w:fldCharType="begin"/>
            </w:r>
            <w:r w:rsidRPr="009F3ED8">
              <w:instrText xml:space="preserve"> TC "</w:instrText>
            </w:r>
            <w:bookmarkStart w:id="21" w:name="_Toc511664613"/>
            <w:r w:rsidRPr="009F3ED8">
              <w:instrText>2.</w:instrText>
            </w:r>
            <w:r w:rsidRPr="009F3ED8">
              <w:tab/>
              <w:instrText>Population by age group and gender, 2016-70 (thousands)</w:instrText>
            </w:r>
            <w:bookmarkEnd w:id="21"/>
            <w:r w:rsidRPr="009F3ED8">
              <w:instrText xml:space="preserve">" \fgraph \l 5 </w:instrText>
            </w:r>
            <w:r w:rsidRPr="00403C18">
              <w:fldChar w:fldCharType="end"/>
            </w:r>
            <w:r>
              <w:rPr>
                <w:noProof/>
                <w:sz w:val="2"/>
                <w:lang w:val="hr-HR" w:eastAsia="hr-HR"/>
              </w:rPr>
              <w:drawing>
                <wp:inline distT="0" distB="0" distL="0" distR="0" wp14:anchorId="1352F0BC" wp14:editId="6FEA17F0">
                  <wp:extent cx="5388229" cy="2774890"/>
                  <wp:effectExtent l="0" t="0" r="3175" b="6985"/>
                  <wp:docPr id="23" name="Picture 23" descr="&lt;nbr&gt;&lt;GETTEXTFROMWORD&gt;&lt;/nbr&gt;&#10;&lt;title&gt;&lt;GETTEXTFROMWORD&gt;&lt;/title&gt;&#10;&lt;id&gt;d0da66f5-30ed-47a6-bcd2-ea73d3f87833&lt;/id&gt;&#10;&lt;srcType&gt;EXCEL&lt;/srcType&gt;&#10;&lt;srcPath&gt;U:\Budgetary projections 2018\Reports\2018 AR\Tables_and_graphs\Part II Chapter 6\&lt;/srcPath&gt;&#10;&lt;srcName&gt;Graphs_tables.xlsx&lt;/srcName&gt;&#10;&lt;type&gt;clusterofgraphs&lt;/type&gt;&#10; &lt;srcSheet&gt;Pyramid_final&lt;/srcSheet&gt;&#10; &lt;individualNumbers&gt;no&lt;/individualNumbers&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54:1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88229" cy="2774890"/>
                          </a:xfrm>
                          <a:prstGeom prst="rect">
                            <a:avLst/>
                          </a:prstGeom>
                          <a:noFill/>
                          <a:ln>
                            <a:noFill/>
                          </a:ln>
                        </pic:spPr>
                      </pic:pic>
                    </a:graphicData>
                  </a:graphic>
                </wp:inline>
              </w:drawing>
            </w:r>
          </w:p>
        </w:tc>
      </w:tr>
      <w:tr w:rsidR="00A74472" w:rsidRPr="00403C18" w14:paraId="6AB2C5A5" w14:textId="77777777" w:rsidTr="00460C69">
        <w:trPr>
          <w:cantSplit/>
        </w:trPr>
        <w:tc>
          <w:tcPr>
            <w:tcW w:w="8505" w:type="dxa"/>
            <w:shd w:val="clear" w:color="auto" w:fill="auto"/>
            <w:tcMar>
              <w:bottom w:w="240" w:type="dxa"/>
            </w:tcMar>
          </w:tcPr>
          <w:p w14:paraId="02935F11" w14:textId="77777777" w:rsidR="00A74472" w:rsidRPr="00403C18" w:rsidRDefault="00A74472" w:rsidP="00460C69">
            <w:pPr>
              <w:pStyle w:val="GraphSource"/>
              <w:keepNext/>
            </w:pPr>
            <w:r w:rsidRPr="00403C18">
              <w:rPr>
                <w:b/>
                <w:i/>
              </w:rPr>
              <w:t>Source:</w:t>
            </w:r>
            <w:r w:rsidRPr="00403C18">
              <w:t xml:space="preserve"> Commission services, Eurostat.</w:t>
            </w:r>
          </w:p>
        </w:tc>
      </w:tr>
    </w:tbl>
    <w:p w14:paraId="67554D2B" w14:textId="77777777" w:rsidR="00A74472" w:rsidRPr="00403C18" w:rsidRDefault="00A74472" w:rsidP="00460C69">
      <w:r w:rsidRPr="00403C18">
        <w:t xml:space="preserve">For males, the projected population in 2070 is lower than or close to the population in 2016 in all age cohorts between 0 and 64 years old. Conversely, in all age cohorts of 65 years old and above, the projected population in 2070 is higher than in 2016. For females, the projected population in 2070 is lower than or close to the population in 2016 in all age cohorts between 0 and 69. Conversely, in the age cohorts above 69 years old, the projected population in 2070 will be higher than in 2016. Moreover, while in 2016 the largest cohort for both males and females is 45-49 years old, in 2070 the largest cohort will be 70-74 years old for women and 50-54 years old for men (see Graph </w:t>
      </w:r>
      <w:r w:rsidRPr="00403C18">
        <w:fldChar w:fldCharType="begin"/>
      </w:r>
      <w:r w:rsidRPr="00403C18">
        <w:instrText xml:space="preserve"> QUOTE "2"</w:instrText>
      </w:r>
      <w:r w:rsidRPr="00403C18">
        <w:fldChar w:fldCharType="begin">
          <w:fldData xml:space="preserve">QwBSAE8AUwBTAFIARQBGAEUAUgBFAE4AQwBFACoAQwBMAFUAUwBUAEUAUgAgAE8ARgAgAEcAUgBB
AFAASABTACoAZAAwAGQAYQA2ADYAZgA1AC0AMwAwAGUAZAAtADQANwBhADYALQBiAGMAZAAyAC0A
ZQBhADcAMwBkADMAZgA4ADcAOAAzADMA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2</w:t>
      </w:r>
      <w:r w:rsidRPr="00403C18">
        <w:fldChar w:fldCharType="end"/>
      </w:r>
      <w:r w:rsidRPr="00403C18">
        <w:t>). Overall, the median age will rise by 4 years for both men and women by 2070. Similar developments are projected for the euro area.</w:t>
      </w:r>
    </w:p>
    <w:p w14:paraId="4E7E4FA0" w14:textId="77777777" w:rsidR="00A74472" w:rsidRPr="00403C18" w:rsidRDefault="00A74472" w:rsidP="00460C69">
      <w:r w:rsidRPr="00403C18">
        <w:t>The projected changes in the population structure reflect assumptions on fertility rates, life expectancy and migration flows. The total fertility rate is assumed to rise in almost all Member States between 2016 and 2070, increasing from 1.58 to 1.81 for the EU as whole. In the EU, life expectancy at birth for males is expected to increase by 7.8 years over the projection period, from 78.3 in 2016 to 86.1 in 2070. For females, life expectancy at birth is projected to increase by 6.6 years, from 83.7 in 2016 to 90.3 in 2070, implying a convergence of life expectancy between males and females. Annual net migration inflows to the EU are projected to decrease from about 1.5 million people in 2016 to 0.8 million people by 2070, representing a decreased contribution from 0.3% to 0.15% of the total population.</w:t>
      </w:r>
    </w:p>
    <w:p w14:paraId="5EC18145" w14:textId="77777777" w:rsidR="00A74472" w:rsidRPr="00403C18" w:rsidRDefault="00A74472" w:rsidP="00460C69">
      <w:pPr>
        <w:pStyle w:val="Heading"/>
      </w:pPr>
      <w:r w:rsidRPr="00403C18">
        <w:lastRenderedPageBreak/>
        <w:t>The projected demographic old-age dependency ratio almost doubling over the long-term</w:t>
      </w:r>
    </w:p>
    <w:p w14:paraId="40890D3B" w14:textId="77777777" w:rsidR="00A74472" w:rsidRPr="00403C18" w:rsidRDefault="00A74472" w:rsidP="00460C69">
      <w:r w:rsidRPr="00403C18">
        <w:t xml:space="preserve">The old-age dependency ratio (people aged 65 and above relative to those aged 15 to 64) in the EU is projected to increase by 21.6 pps. over the projection period, from 29.6% in 2016 to 51.2% in 2070. This implies that the EU would go from having 3.3 working-age people for every person aged over 65 years to only two working-age persons. Most of this increase is driven by the very old-age dependency ratio (people aged 80 and above relative to those aged 15-64) which is rising by 14 pps. (8.3% to 22.3%) over this horizon. </w:t>
      </w:r>
    </w:p>
    <w:p w14:paraId="64CD701D" w14:textId="77777777" w:rsidR="00A74472" w:rsidRPr="00403C18" w:rsidRDefault="00A74472" w:rsidP="00460C69">
      <w:pPr>
        <w:pStyle w:val="Heading"/>
      </w:pPr>
      <w:r w:rsidRPr="00403C18">
        <w:t>Overall participation and employment rates projected to rise, in particular for women and for older workers thanks to implemented pension reforms</w:t>
      </w:r>
    </w:p>
    <w:p w14:paraId="38530704" w14:textId="77777777" w:rsidR="00A74472" w:rsidRPr="00403C18" w:rsidRDefault="00A74472" w:rsidP="00460C69">
      <w:r w:rsidRPr="00403C18">
        <w:t>Participation rates are projected using a cohort simulation model (CSM), which allows taking into account assumptions on the impact on the participation rate of older workers of legislated pension reforms, including measures to be phased in gradually. In most of the EU Member States that have recently legislated pension reforms, these are projected to have a sizeable impact on the labour market participation of workers aged 55-64, depending on their magnitude and phasing in. The projections show an average increase of approximately 12.2 pps. in the participation rate for men (</w:t>
      </w:r>
      <w:r w:rsidRPr="00403C18">
        <w:rPr>
          <w:rStyle w:val="Referencafusnote"/>
        </w:rPr>
        <w:footnoteReference w:id="4"/>
      </w:r>
      <w:r w:rsidRPr="00403C18">
        <w:t xml:space="preserve">). The expected increase in the participation rates of women between 55-64 years old is slightly higher (16.2 pps. on average), reflecting the progressive convergence of participation rates across genders in a number of countries. </w:t>
      </w:r>
    </w:p>
    <w:p w14:paraId="6440EF4E" w14:textId="77777777" w:rsidR="00A74472" w:rsidRPr="00403C18" w:rsidRDefault="00A74472" w:rsidP="00460C69">
      <w:r w:rsidRPr="00403C18">
        <w:t>The total participation rate for those aged 20-64 is projected to rise from 77.5% in 2016 to 80.7% in 2070 in the EU as a whole and from 77.6% to 80.6% in the euro area. This is being driven by higher female participation, which is projected to rise by 5.5 pps. compared with 0.8 pps. for males in the EU and by 5.7 pps. compared with 0.3 pps. for men in the euro area.</w:t>
      </w:r>
    </w:p>
    <w:p w14:paraId="2A296EC9" w14:textId="77777777" w:rsidR="00A74472" w:rsidRPr="00403C18" w:rsidRDefault="00A74472" w:rsidP="00460C69">
      <w:pPr>
        <w:pStyle w:val="Heading"/>
      </w:pPr>
      <w:r w:rsidRPr="00403C18">
        <w:t>Labour supply will decline because of the projected drop of the working-age population</w:t>
      </w:r>
    </w:p>
    <w:p w14:paraId="128BDAA2" w14:textId="77777777" w:rsidR="00A74472" w:rsidRPr="00403C18" w:rsidRDefault="00A74472" w:rsidP="00460C69">
      <w:r w:rsidRPr="00403C18">
        <w:t>Total labour supply for those aged 20 to 64 in the EU is projected to fall by 9.6% over 2016-70, of which 2.3% by 2030 and a further 7.8% between 2030 and 2070. In the euro area, the projected fall in labour supply is 9.7% over the entire period, of which 2.3% takes place between 2016 and 2030 and a further 7.5% between 2030 and 2070.</w:t>
      </w:r>
    </w:p>
    <w:p w14:paraId="1A4F2284" w14:textId="77777777" w:rsidR="00A74472" w:rsidRPr="00403C18" w:rsidRDefault="00A74472" w:rsidP="00460C69">
      <w:pPr>
        <w:pStyle w:val="Heading"/>
      </w:pPr>
      <w:r w:rsidRPr="00403C18">
        <w:t>Employment rates expected to rise…</w:t>
      </w:r>
    </w:p>
    <w:p w14:paraId="68EBD521" w14:textId="77777777" w:rsidR="00A74472" w:rsidRPr="00403C18" w:rsidRDefault="00A74472" w:rsidP="00460C69">
      <w:r w:rsidRPr="00403C18">
        <w:t>Given the population projection, the labour force projection and the unemployment rate assumptions (</w:t>
      </w:r>
      <w:r w:rsidRPr="00403C18">
        <w:rPr>
          <w:rStyle w:val="Referencafusnote"/>
        </w:rPr>
        <w:footnoteReference w:id="5"/>
      </w:r>
      <w:r w:rsidRPr="00403C18">
        <w:t>), the total employment rate (for persons aged 20 to 64) in the EU is projected to increase from 71.1% in 2016 to 73.9% in 2030 and 75.8% in 2070. In the euro area, a similar development is expected, with the employment rate rising from 69.9% in 2016 to 75.3% in 2070.</w:t>
      </w:r>
    </w:p>
    <w:p w14:paraId="3A5C2F27" w14:textId="77777777" w:rsidR="00A74472" w:rsidRPr="00403C18" w:rsidRDefault="00A74472" w:rsidP="00460C69">
      <w:pPr>
        <w:pStyle w:val="Heading"/>
      </w:pPr>
      <w:r w:rsidRPr="00403C18">
        <w:t>…while employment is projected to fall</w:t>
      </w:r>
    </w:p>
    <w:p w14:paraId="7D89AEAD" w14:textId="77777777" w:rsidR="00A74472" w:rsidRPr="00403C18" w:rsidRDefault="00A74472" w:rsidP="00460C69">
      <w:r w:rsidRPr="00403C18">
        <w:t xml:space="preserve">The population projection trends have significant effects on labour market. Three distinctive periods can be identified for the EU (See Graph </w:t>
      </w:r>
      <w:r w:rsidRPr="00403C18">
        <w:fldChar w:fldCharType="begin"/>
      </w:r>
      <w:r w:rsidRPr="00403C18">
        <w:instrText xml:space="preserve"> QUOTE "3"</w:instrText>
      </w:r>
      <w:r w:rsidRPr="00403C18">
        <w:fldChar w:fldCharType="begin">
          <w:fldData xml:space="preserve">QwBSAE8AUwBTAFIARQBGAEUAUgBFAE4AQwBFACoARwBSAEEAUABIACoAYgAyADYAZgAyADEAZgA0
AC0AYwBjADYAOAAtADQAYQA4ADYALQA4ADkANAAwAC0AYQAwAGYAMgAzAGQAMgA2AGIAMgA5ADMA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3</w:t>
      </w:r>
      <w:r w:rsidRPr="00403C18">
        <w:fldChar w:fldCharType="end"/>
      </w:r>
      <w:r w:rsidRPr="00403C18">
        <w:t xml:space="preserve">). </w:t>
      </w:r>
    </w:p>
    <w:p w14:paraId="25FF15F0" w14:textId="77777777" w:rsidR="00A74472" w:rsidRPr="00403C18" w:rsidRDefault="00A74472" w:rsidP="00A74472">
      <w:pPr>
        <w:pStyle w:val="ListDash"/>
        <w:numPr>
          <w:ilvl w:val="0"/>
          <w:numId w:val="4"/>
        </w:numPr>
      </w:pPr>
      <w:r w:rsidRPr="00403C18">
        <w:t xml:space="preserve">2007-2010: the working-age population was growing, but employment was sluggish as the financial and economic crisis weighed on job growth during this period. </w:t>
      </w:r>
    </w:p>
    <w:p w14:paraId="45F97207" w14:textId="77777777" w:rsidR="00A74472" w:rsidRPr="00403C18" w:rsidRDefault="00A74472" w:rsidP="00A74472">
      <w:pPr>
        <w:pStyle w:val="ListDash"/>
        <w:numPr>
          <w:ilvl w:val="0"/>
          <w:numId w:val="4"/>
        </w:numPr>
      </w:pPr>
      <w:r w:rsidRPr="00403C18">
        <w:t xml:space="preserve">2011-2020: the working-age population starts to decline as the baby-boom generation enters retirement. However, the assumed reduction in unemployment rates, the projected increase in the </w:t>
      </w:r>
      <w:r w:rsidRPr="00403C18">
        <w:lastRenderedPageBreak/>
        <w:t xml:space="preserve">employment rates of women and older workers cushion the impact of demographic change, and the overall number of persons employed start to increase during the latter part of this period. </w:t>
      </w:r>
    </w:p>
    <w:p w14:paraId="0D984838" w14:textId="77777777" w:rsidR="00A74472" w:rsidRPr="00403C18" w:rsidRDefault="00A74472" w:rsidP="00A74472">
      <w:pPr>
        <w:pStyle w:val="ListDash"/>
        <w:numPr>
          <w:ilvl w:val="0"/>
          <w:numId w:val="4"/>
        </w:numPr>
      </w:pPr>
      <w:r w:rsidRPr="00403C18">
        <w:t>From 2021: the projected increase in employment rates is slower, as trend increases in female employment and the impact of pension reforms will be less pronounced. Hence, both the working-age population and the number of persons employed falls over the remainder of the projection period.</w:t>
      </w:r>
    </w:p>
    <w:tbl>
      <w:tblPr>
        <w:tblW w:w="0" w:type="auto"/>
        <w:tblLayout w:type="fixed"/>
        <w:tblCellMar>
          <w:left w:w="0" w:type="dxa"/>
          <w:right w:w="0" w:type="dxa"/>
        </w:tblCellMar>
        <w:tblLook w:val="0000" w:firstRow="0" w:lastRow="0" w:firstColumn="0" w:lastColumn="0" w:noHBand="0" w:noVBand="0"/>
      </w:tblPr>
      <w:tblGrid>
        <w:gridCol w:w="8505"/>
      </w:tblGrid>
      <w:tr w:rsidR="00A74472" w:rsidRPr="00403C18" w14:paraId="64E6EDBC" w14:textId="77777777" w:rsidTr="00460C69">
        <w:trPr>
          <w:cantSplit/>
        </w:trPr>
        <w:tc>
          <w:tcPr>
            <w:tcW w:w="8505" w:type="dxa"/>
            <w:shd w:val="clear" w:color="auto" w:fill="auto"/>
          </w:tcPr>
          <w:p w14:paraId="26173F5F" w14:textId="77777777" w:rsidR="00A74472" w:rsidRPr="00403C18" w:rsidRDefault="00A74472" w:rsidP="00460C69">
            <w:pPr>
              <w:pStyle w:val="GraphTitle"/>
              <w:rPr>
                <w:b/>
              </w:rPr>
            </w:pPr>
            <w:r w:rsidRPr="00403C18">
              <w:t>Graph 3:</w:t>
            </w:r>
            <w:r w:rsidRPr="00403C18">
              <w:rPr>
                <w:b/>
              </w:rPr>
              <w:tab/>
              <w:t>Population and employment developments (million), EU</w:t>
            </w:r>
          </w:p>
        </w:tc>
      </w:tr>
      <w:tr w:rsidR="00A74472" w:rsidRPr="00403C18" w14:paraId="1CC9A97D" w14:textId="77777777" w:rsidTr="00460C69">
        <w:trPr>
          <w:cantSplit/>
        </w:trPr>
        <w:tc>
          <w:tcPr>
            <w:tcW w:w="8505" w:type="dxa"/>
            <w:shd w:val="clear" w:color="auto" w:fill="auto"/>
          </w:tcPr>
          <w:p w14:paraId="0A3B376B" w14:textId="77777777" w:rsidR="00A74472" w:rsidRPr="00403C18" w:rsidRDefault="00A74472" w:rsidP="00460C69">
            <w:pPr>
              <w:pStyle w:val="GraphShape"/>
              <w:rPr>
                <w:sz w:val="2"/>
              </w:rPr>
            </w:pPr>
            <w:r w:rsidRPr="00403C18">
              <w:fldChar w:fldCharType="begin"/>
            </w:r>
            <w:r w:rsidRPr="009F3ED8">
              <w:instrText xml:space="preserve"> TC "</w:instrText>
            </w:r>
            <w:bookmarkStart w:id="22" w:name="_Toc511664614"/>
            <w:r w:rsidRPr="009F3ED8">
              <w:instrText>3.</w:instrText>
            </w:r>
            <w:r w:rsidRPr="009F3ED8">
              <w:tab/>
              <w:instrText>Population and employment developments (million), EU</w:instrText>
            </w:r>
            <w:bookmarkEnd w:id="22"/>
            <w:r w:rsidRPr="009F3ED8">
              <w:instrText xml:space="preserve">" \fgraph \l 5 </w:instrText>
            </w:r>
            <w:r w:rsidRPr="00403C18">
              <w:fldChar w:fldCharType="end"/>
            </w:r>
            <w:r w:rsidRPr="00403C18">
              <w:rPr>
                <w:noProof/>
                <w:sz w:val="2"/>
                <w:lang w:val="hr-HR" w:eastAsia="hr-HR"/>
              </w:rPr>
              <w:drawing>
                <wp:inline distT="0" distB="0" distL="0" distR="0" wp14:anchorId="02A54282" wp14:editId="18F5337F">
                  <wp:extent cx="5388229" cy="2373636"/>
                  <wp:effectExtent l="0" t="0" r="3175" b="7620"/>
                  <wp:docPr id="39" name="Picture 39" descr="&lt;nbr&gt;&lt;GETTEXTFROMWORD&gt;&lt;/nbr&gt;&#10;&lt;title&gt;&lt;GETTEXTFROMWORD&gt;&lt;/title&gt;&#10;&lt;id&gt;b26f21f4-cc68-4a86-8940-a0f23d26b293&lt;/id&gt;&#10;&lt;srcType&gt;EXCEL&lt;/srcType&gt;&#10;&lt;srcPath&gt;U:\Budgetary projections 2018\Reports\2018 AR\Tables_and_graphs\Part II Chapter 6\&lt;/srcPath&gt;&#10;&lt;srcName&gt;population_graph_EU.xlsx&lt;/srcName&gt;&#10;&lt;type&gt;graph&lt;/type&gt;&#10; &lt;srcSheet&gt;Graph 2&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04T09:43:4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8229" cy="2373636"/>
                          </a:xfrm>
                          <a:prstGeom prst="rect">
                            <a:avLst/>
                          </a:prstGeom>
                          <a:noFill/>
                          <a:ln>
                            <a:noFill/>
                          </a:ln>
                        </pic:spPr>
                      </pic:pic>
                    </a:graphicData>
                  </a:graphic>
                </wp:inline>
              </w:drawing>
            </w:r>
          </w:p>
        </w:tc>
      </w:tr>
      <w:tr w:rsidR="00A74472" w:rsidRPr="00403C18" w14:paraId="3416B0FB" w14:textId="77777777" w:rsidTr="00460C69">
        <w:trPr>
          <w:cantSplit/>
        </w:trPr>
        <w:tc>
          <w:tcPr>
            <w:tcW w:w="8505" w:type="dxa"/>
            <w:shd w:val="clear" w:color="auto" w:fill="auto"/>
            <w:tcMar>
              <w:bottom w:w="240" w:type="dxa"/>
            </w:tcMar>
          </w:tcPr>
          <w:p w14:paraId="7F77DAED" w14:textId="77777777" w:rsidR="00A74472" w:rsidRPr="00403C18" w:rsidRDefault="00A74472" w:rsidP="00460C69">
            <w:pPr>
              <w:pStyle w:val="GraphSource"/>
              <w:keepNext/>
            </w:pPr>
            <w:r w:rsidRPr="00403C18">
              <w:rPr>
                <w:b/>
                <w:i/>
              </w:rPr>
              <w:t>Source:</w:t>
            </w:r>
            <w:r w:rsidRPr="00403C18">
              <w:t xml:space="preserve"> Commission services, Eurostat, EPC.</w:t>
            </w:r>
          </w:p>
        </w:tc>
      </w:tr>
    </w:tbl>
    <w:p w14:paraId="659062D3" w14:textId="77777777" w:rsidR="00A74472" w:rsidRPr="00403C18" w:rsidRDefault="00A74472" w:rsidP="00460C69">
      <w:pPr>
        <w:pStyle w:val="Heading"/>
      </w:pPr>
      <w:r w:rsidRPr="00403C18">
        <w:t>Stable potential GDP growth projected over the long-term</w:t>
      </w:r>
    </w:p>
    <w:p w14:paraId="6F2C2A17" w14:textId="77777777" w:rsidR="00A74472" w:rsidRPr="00403C18" w:rsidRDefault="00A74472" w:rsidP="00460C69">
      <w:r w:rsidRPr="00403C18">
        <w:t xml:space="preserve">In the EU as a whole, the average annual GDP growth rate is projected to remain quite stable over the long-term. After an average potential growth of 1.2% up to 2040, an increase to 1.5% is projected over the remainder of the projection horizon. Over the whole period 2016-2070, the average annual GDP growth rate in the EU is projected to be 1.4%. Developments in the euro area are slightly less positive than in the EU as a whole, with an average annual growth rate of 1.3% over 2016-2070. In per capita terms, developments are projected to be similar, with average potential GDP growth of 1.3% in both the EU and the euro area. </w:t>
      </w:r>
    </w:p>
    <w:p w14:paraId="0C57B4B6" w14:textId="77777777" w:rsidR="00A74472" w:rsidRPr="00403C18" w:rsidRDefault="00A74472" w:rsidP="00460C69">
      <w:r w:rsidRPr="00403C18">
        <w:t>The sources of GDP growth will alter dramatically over the projection horizon. Labour will make a positive contribution to growth in both the EU and the euro area up to the 2020s, but turn negative thereafter. For the EU and for the euro area, an assumed increase of employment rates makes a positive contribution to average potential GDP growth. However, this is more than offset by a decline in the share of the working-age population, which is a negative influence on growth (by an annual average of -0.2 percentage points). As a result, labour input contributes negatively to output growth on average over the projection period (by 0.1 pps. in the EU and by 0.2 pps. in the euro area). Hence, labour productivity growth, driven by TFP growth, is projected to be the sole source of potential output growth in both the EU and the euro area over the entire projection period.</w:t>
      </w:r>
    </w:p>
    <w:p w14:paraId="1BBC6371" w14:textId="77777777" w:rsidR="00A74472" w:rsidRPr="00403C18" w:rsidRDefault="00A74472" w:rsidP="00460C69">
      <w:pPr>
        <w:pStyle w:val="Heading"/>
      </w:pPr>
      <w:r w:rsidRPr="00403C18">
        <w:lastRenderedPageBreak/>
        <w:t>Budgetary projections: population ageing put upward pressure on public spending</w:t>
      </w:r>
    </w:p>
    <w:p w14:paraId="253F97CE" w14:textId="77777777" w:rsidR="00A74472" w:rsidRPr="00403C18" w:rsidRDefault="00A74472" w:rsidP="00460C69">
      <w:pPr>
        <w:keepNext/>
      </w:pPr>
      <w:r w:rsidRPr="00403C18">
        <w:t xml:space="preserve">The fiscal impact of ageing is projected to be a significant challenge in almost all Member States, with effects becoming apparent already during the next two decades in many countries. As in previous long-term projection exercise, a baseline scenario (the AWG reference scenario) focuses on the budgetary impact mostly due to demographic developments. </w:t>
      </w:r>
    </w:p>
    <w:p w14:paraId="13AF84B1" w14:textId="77777777" w:rsidR="00A74472" w:rsidRPr="00403C18" w:rsidRDefault="00A74472" w:rsidP="00460C69">
      <w:pPr>
        <w:keepNext/>
      </w:pPr>
      <w:r w:rsidRPr="00403C18">
        <w:t xml:space="preserve">Additionally, there is considerable uncertainty as to future developments of age-related public expenditure, related to future GDP growth prospects, in particular as regards TFP growth, uncertainty of the population projections and to the challenge to cope with trend increases in public spending in particular on health care and long-term care. For this reason, a set of sensitivity tests are carried out to illustrate the extent to which the public expenditure projections are sensitive to key assumptions such as demographic assumptions, labour force and macro-economic assumptions and assumptions on the cost drivers (see section on risk scenarios below). </w:t>
      </w:r>
    </w:p>
    <w:p w14:paraId="4F823F62" w14:textId="77777777" w:rsidR="00A74472" w:rsidRPr="00403C18" w:rsidRDefault="00A74472" w:rsidP="00460C69">
      <w:pPr>
        <w:pStyle w:val="Heading"/>
      </w:pPr>
      <w:r w:rsidRPr="00403C18">
        <w:t>Baseline projection results</w:t>
      </w:r>
    </w:p>
    <w:p w14:paraId="52C67E93" w14:textId="77777777" w:rsidR="00A74472" w:rsidRPr="00403C18" w:rsidRDefault="00A74472" w:rsidP="00460C69">
      <w:r w:rsidRPr="00403C18">
        <w:t>In the baseline scenario, the total cost of ageing was 25% of GDP in 2016 and is projected to rise by 1.7 pps. of GDP (baseline scenario) in the period to 2070 in the EU. In the euro area, it is projected to rise from 26% of GDP in 2016 by 1.1 pps. in the baseline scenario up to 2070 (see Graph 4 and Table 1).</w:t>
      </w:r>
    </w:p>
    <w:p w14:paraId="23F29D6E" w14:textId="77777777" w:rsidR="00A74472" w:rsidRPr="00403C18" w:rsidRDefault="00A74472" w:rsidP="00460C69">
      <w:r w:rsidRPr="00403C18">
        <w:t xml:space="preserve">The peak in age-related expenditure as a share of GDP takes place in the middle of the projection horizon. This reflects primarily the expenditure profile for pension expenditure. For a majority of countries, the highest value is reached before the end of the projection horizon (see Graphs </w:t>
      </w:r>
      <w:r w:rsidRPr="00403C18">
        <w:fldChar w:fldCharType="begin"/>
      </w:r>
      <w:r w:rsidRPr="00403C18">
        <w:instrText xml:space="preserve"> QUOTE "4"</w:instrText>
      </w:r>
      <w:r w:rsidRPr="00403C18">
        <w:fldChar w:fldCharType="begin">
          <w:fldData xml:space="preserve">QwBSAE8AUwBTAFIARQBGAEUAUgBFAE4AQwBFACoARwBSAEEAUABIACoAYQA0ADMAOQBkAGEAMgBl
AC0AZQBmAGIANwAtADQAMQBlADgALQA4ADgAMQBhAC0AZAAzAGEAMQA4ADgAOQBlADcAZQAyAGQA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4</w:t>
      </w:r>
      <w:r w:rsidRPr="00403C18">
        <w:fldChar w:fldCharType="end"/>
      </w:r>
      <w:r w:rsidRPr="00403C18">
        <w:t xml:space="preserve"> and </w:t>
      </w:r>
      <w:r w:rsidRPr="00403C18">
        <w:fldChar w:fldCharType="begin"/>
      </w:r>
      <w:r w:rsidRPr="00403C18">
        <w:instrText xml:space="preserve"> QUOTE "7"</w:instrText>
      </w:r>
      <w:r w:rsidRPr="00403C18">
        <w:fldChar w:fldCharType="begin">
          <w:fldData xml:space="preserve">QwBSAE8AUwBTAFIARQBGAEUAUgBFAE4AQwBFACoAQwBMAFUAUwBUAEUAUgAgAE8ARgAgAEcAUgBB
AFAASABTACoANQA2AGQAOAA2ADMANwA2AC0AOQBmADgAYgAtADQAYwAyAGEALQA5AGUAYwA0AC0A
NwA1ADMAOAA4ADMAZgAzAGQAMgBhADIA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7</w:t>
      </w:r>
      <w:r w:rsidRPr="00403C18">
        <w:fldChar w:fldCharType="end"/>
      </w:r>
      <w:r w:rsidRPr="00403C18">
        <w:t xml:space="preserve">). This results from the projection of pension expenditure, where the impact of reforms often takes a long time to set in. In addition, in several countries, the population ageing effect peaks before 2070 (the old-age dependency ratio does not increase over the entire projection horizon). Hence, the limited decline in pension expenditure (as a share of GDP) is projected to materialize only after nearly three decades of further increases in the EU overall.  </w:t>
      </w:r>
    </w:p>
    <w:tbl>
      <w:tblPr>
        <w:tblW w:w="0" w:type="auto"/>
        <w:tblLayout w:type="fixed"/>
        <w:tblCellMar>
          <w:left w:w="0" w:type="dxa"/>
          <w:right w:w="0" w:type="dxa"/>
        </w:tblCellMar>
        <w:tblLook w:val="0000" w:firstRow="0" w:lastRow="0" w:firstColumn="0" w:lastColumn="0" w:noHBand="0" w:noVBand="0"/>
      </w:tblPr>
      <w:tblGrid>
        <w:gridCol w:w="8505"/>
      </w:tblGrid>
      <w:tr w:rsidR="00A74472" w:rsidRPr="00403C18" w14:paraId="440C72E0" w14:textId="77777777" w:rsidTr="00460C69">
        <w:trPr>
          <w:cantSplit/>
        </w:trPr>
        <w:tc>
          <w:tcPr>
            <w:tcW w:w="8505" w:type="dxa"/>
            <w:shd w:val="clear" w:color="auto" w:fill="auto"/>
          </w:tcPr>
          <w:p w14:paraId="2D8E3823" w14:textId="77777777" w:rsidR="00A74472" w:rsidRPr="00403C18" w:rsidRDefault="00A74472" w:rsidP="00460C69">
            <w:pPr>
              <w:pStyle w:val="GraphTitle"/>
              <w:rPr>
                <w:b/>
              </w:rPr>
            </w:pPr>
            <w:r w:rsidRPr="00403C18">
              <w:t>Graph 4:</w:t>
            </w:r>
            <w:r w:rsidRPr="00403C18">
              <w:rPr>
                <w:b/>
              </w:rPr>
              <w:tab/>
              <w:t>Total age-related expenditure (2016, peak year and 2070), % of GDP</w:t>
            </w:r>
          </w:p>
        </w:tc>
      </w:tr>
      <w:tr w:rsidR="00A74472" w:rsidRPr="00403C18" w14:paraId="0D2A94FB" w14:textId="77777777" w:rsidTr="00460C69">
        <w:trPr>
          <w:cantSplit/>
        </w:trPr>
        <w:tc>
          <w:tcPr>
            <w:tcW w:w="8505" w:type="dxa"/>
            <w:shd w:val="clear" w:color="auto" w:fill="auto"/>
          </w:tcPr>
          <w:p w14:paraId="2C9FE540" w14:textId="77777777" w:rsidR="00A74472" w:rsidRPr="00403C18" w:rsidRDefault="00A74472" w:rsidP="00460C69">
            <w:pPr>
              <w:pStyle w:val="GraphShape"/>
              <w:rPr>
                <w:sz w:val="2"/>
              </w:rPr>
            </w:pPr>
            <w:r w:rsidRPr="00403C18">
              <w:fldChar w:fldCharType="begin"/>
            </w:r>
            <w:r w:rsidRPr="009F3ED8">
              <w:instrText xml:space="preserve"> TC "</w:instrText>
            </w:r>
            <w:bookmarkStart w:id="23" w:name="_Toc511664615"/>
            <w:r w:rsidRPr="009F3ED8">
              <w:instrText>4.</w:instrText>
            </w:r>
            <w:r w:rsidRPr="009F3ED8">
              <w:tab/>
              <w:instrText>Total age-related expenditure (2016, peak year and 2070), % of GDP</w:instrText>
            </w:r>
            <w:bookmarkEnd w:id="23"/>
            <w:r w:rsidRPr="009F3ED8">
              <w:instrText xml:space="preserve">" \fgraph \l 5 </w:instrText>
            </w:r>
            <w:r w:rsidRPr="00403C18">
              <w:fldChar w:fldCharType="end"/>
            </w:r>
            <w:r>
              <w:rPr>
                <w:noProof/>
                <w:sz w:val="2"/>
                <w:lang w:val="hr-HR" w:eastAsia="hr-HR"/>
              </w:rPr>
              <w:drawing>
                <wp:inline distT="0" distB="0" distL="0" distR="0" wp14:anchorId="11C54072" wp14:editId="57460D76">
                  <wp:extent cx="5388229" cy="2242720"/>
                  <wp:effectExtent l="0" t="0" r="3175" b="5715"/>
                  <wp:docPr id="40" name="Picture 40" descr="&lt;nbr&gt;&lt;GETTEXTFROMWORD&gt;&lt;/nbr&gt;&#10;&lt;title&gt;&lt;GETTEXTFROMWORD&gt;&lt;/title&gt;&#10;&lt;id&gt;a439da2e-efb7-41e8-881a-d3a1889e7e2d&lt;/id&gt;&#10;&lt;srcType&gt;EXCEL&lt;/srcType&gt;&#10;&lt;srcPath&gt;U:\Budgetary projections 2018\Reports\2018 AR\Tables_and_graphs\Part II Chapter 6\&lt;/srcPath&gt;&#10;&lt;srcName&gt;Graphs_tables.xlsx&lt;/srcName&gt;&#10;&lt;type&gt;graph&lt;/type&gt;&#10; &lt;srcSheet&gt;Reference_scenario_graph2&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54:1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8229" cy="2242720"/>
                          </a:xfrm>
                          <a:prstGeom prst="rect">
                            <a:avLst/>
                          </a:prstGeom>
                          <a:noFill/>
                          <a:ln>
                            <a:noFill/>
                          </a:ln>
                        </pic:spPr>
                      </pic:pic>
                    </a:graphicData>
                  </a:graphic>
                </wp:inline>
              </w:drawing>
            </w:r>
          </w:p>
        </w:tc>
      </w:tr>
      <w:tr w:rsidR="00A74472" w:rsidRPr="00403C18" w14:paraId="25FF6911" w14:textId="77777777" w:rsidTr="00460C69">
        <w:trPr>
          <w:cantSplit/>
        </w:trPr>
        <w:tc>
          <w:tcPr>
            <w:tcW w:w="8505" w:type="dxa"/>
            <w:shd w:val="clear" w:color="auto" w:fill="auto"/>
            <w:tcMar>
              <w:bottom w:w="240" w:type="dxa"/>
            </w:tcMar>
          </w:tcPr>
          <w:p w14:paraId="35A214A9" w14:textId="77777777" w:rsidR="00A74472" w:rsidRPr="00403C18" w:rsidRDefault="00A74472" w:rsidP="00460C69">
            <w:pPr>
              <w:pStyle w:val="GraphSource"/>
              <w:keepNext/>
            </w:pPr>
            <w:r w:rsidRPr="00403C18">
              <w:rPr>
                <w:b/>
                <w:i/>
              </w:rPr>
              <w:t>Source:</w:t>
            </w:r>
            <w:r w:rsidRPr="00403C18">
              <w:t xml:space="preserve"> Commission services, EPC.</w:t>
            </w:r>
          </w:p>
        </w:tc>
      </w:tr>
    </w:tbl>
    <w:p w14:paraId="526E8A90" w14:textId="77777777" w:rsidR="00A74472" w:rsidRPr="00403C18" w:rsidRDefault="00A74472" w:rsidP="00460C69">
      <w:r w:rsidRPr="00403C18">
        <w:t xml:space="preserve">There is however considerable variety across EU Member States and also in the profile over time in the long-term spending trends (see Graph </w:t>
      </w:r>
      <w:r w:rsidRPr="00403C18">
        <w:fldChar w:fldCharType="begin"/>
      </w:r>
      <w:r w:rsidRPr="00403C18">
        <w:instrText xml:space="preserve"> QUOTE "7"</w:instrText>
      </w:r>
      <w:r w:rsidRPr="00403C18">
        <w:fldChar w:fldCharType="begin">
          <w:fldData xml:space="preserve">QwBSAE8AUwBTAFIARQBGAEUAUgBFAE4AQwBFACoAQwBMAFUAUwBUAEUAUgAgAE8ARgAgAEcAUgBB
AFAASABTACoANQA2AGQAOAA2ADMANwA2AC0AOQBmADgAYgAtADQAYwAyAGEALQA5AGUAYwA0AC0A
NwA1ADMAOAA4ADMAZgAzAGQAMgBhADIA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7</w:t>
      </w:r>
      <w:r w:rsidRPr="00403C18">
        <w:fldChar w:fldCharType="end"/>
      </w:r>
      <w:r w:rsidRPr="00403C18">
        <w:t xml:space="preserve"> and Table </w:t>
      </w:r>
      <w:r w:rsidRPr="00403C18">
        <w:fldChar w:fldCharType="begin"/>
      </w:r>
      <w:r w:rsidRPr="00403C18">
        <w:instrText xml:space="preserve"> QUOTE "1"</w:instrText>
      </w:r>
      <w:r w:rsidRPr="00403C18">
        <w:fldChar w:fldCharType="begin">
          <w:fldData xml:space="preserve">QwBSAE8AUwBTAFIARQBGAEUAUgBFAE4AQwBFACoAVABBAEIATABFACoAZgA2ADkAYgAyAGYAMQA4
AC0AZAA5ADkAYQAtADQAZgA0ADcALQA4AGQAYQA0AC0AYQBjADgAMAAwADAAMgBjAGEAOABjADIA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1</w:t>
      </w:r>
      <w:r w:rsidRPr="00403C18">
        <w:fldChar w:fldCharType="end"/>
      </w:r>
      <w:r w:rsidRPr="00403C18">
        <w:t>). According to the projections:</w:t>
      </w:r>
    </w:p>
    <w:p w14:paraId="75C6AAE6" w14:textId="77777777" w:rsidR="00A74472" w:rsidRPr="00403C18" w:rsidRDefault="00A74472" w:rsidP="00A74472">
      <w:pPr>
        <w:pStyle w:val="ListDash"/>
        <w:numPr>
          <w:ilvl w:val="0"/>
          <w:numId w:val="4"/>
        </w:numPr>
      </w:pPr>
      <w:r w:rsidRPr="00403C18">
        <w:lastRenderedPageBreak/>
        <w:t xml:space="preserve">A fall in total age-related expenditure relative to GDP is projected in eight Member States (EL, HR, FR, LV, EE, IT, LT and ES). In all of these countries, a decline in the pension-to-GDP ratio is projected over the long-term (exceeding 3 pps. of GDP in EL, HR and FR).  </w:t>
      </w:r>
    </w:p>
    <w:p w14:paraId="61972BAB" w14:textId="77777777" w:rsidR="00A74472" w:rsidRPr="00403C18" w:rsidRDefault="00A74472" w:rsidP="00A74472">
      <w:pPr>
        <w:pStyle w:val="ListDash"/>
        <w:numPr>
          <w:ilvl w:val="0"/>
          <w:numId w:val="4"/>
        </w:numPr>
      </w:pPr>
      <w:r w:rsidRPr="00403C18">
        <w:t xml:space="preserve">For another set of countries (PT, DK, CY, PL, SE, RO, BG, FI, HU and SK), the age-related expenditure ratio is expected to rise moderately (by up to 3 pps. of GDP). </w:t>
      </w:r>
    </w:p>
    <w:p w14:paraId="7F733188" w14:textId="77777777" w:rsidR="00A74472" w:rsidRPr="00403C18" w:rsidRDefault="00A74472" w:rsidP="00A74472">
      <w:pPr>
        <w:pStyle w:val="ListDash"/>
        <w:numPr>
          <w:ilvl w:val="0"/>
          <w:numId w:val="4"/>
        </w:numPr>
      </w:pPr>
      <w:r w:rsidRPr="00403C18">
        <w:t xml:space="preserve">The age-related expenditure ratio increase is projected to be the largest in the remaining ten Member States (NL, AT, IE, DE, UK, BE, CZ, SI, MT and LU), rising by 3 pps. of GDP or more and with pension expenditure increasing in all of these countries (exceeding 2.5 pps. of GDP in LU, SI, BE, MT and CZ ). </w:t>
      </w:r>
    </w:p>
    <w:p w14:paraId="01403CA0" w14:textId="77777777" w:rsidR="00A74472" w:rsidRPr="00403C18" w:rsidRDefault="00A74472" w:rsidP="00460C69">
      <w:r w:rsidRPr="00403C18">
        <w:t xml:space="preserve">Looking at the components of age-related expenditure in the baseline scenario, the increase up to 2070 is mostly driven by long-term care and health care spending, which combined is projected to rise by 2.1 pps. of GDP (Long-term care: +1.2 pps., Health care: +0.9 pps.) in the EU (EA: +1.8 pps.). After a projected increase of 0.8 pps. of GDP up to 2040 (EA: +1.3 pps.), public pension expenditure is projected to return close to its 2016 level (EU: -0.2 pps., EA: -0.4 pps.). However, the projected decline in pension spending is mostly visible in the latter part of the projection horizon. Education expenditure is projected to remain unchanged by 2070. Unemployment benefit expenditure is projected to decline by 0.2 pps. of GDP (see Graph </w:t>
      </w:r>
      <w:r w:rsidRPr="00403C18">
        <w:fldChar w:fldCharType="begin"/>
      </w:r>
      <w:r w:rsidRPr="00403C18">
        <w:instrText xml:space="preserve"> QUOTE "5"</w:instrText>
      </w:r>
      <w:r w:rsidRPr="00403C18">
        <w:fldChar w:fldCharType="begin">
          <w:fldData xml:space="preserve">QwBSAE8AUwBTAFIARQBGAEUAUgBFAE4AQwBFACoARwBSAEEAUABIACoANABlAGMAOAA5AGMANwAx
AC0AZQAwAGIANwAtADQANwBjADUALQBhADEAMgA3AC0ANwAwADUAMAA5AGEAZABiADMAMgBiADYA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5</w:t>
      </w:r>
      <w:r w:rsidRPr="00403C18">
        <w:fldChar w:fldCharType="end"/>
      </w:r>
      <w:r w:rsidRPr="00403C18">
        <w:t xml:space="preserve"> and Table </w:t>
      </w:r>
      <w:r w:rsidRPr="00403C18">
        <w:fldChar w:fldCharType="begin"/>
      </w:r>
      <w:r w:rsidRPr="00403C18">
        <w:instrText xml:space="preserve"> QUOTE "1"</w:instrText>
      </w:r>
      <w:r w:rsidRPr="00403C18">
        <w:fldChar w:fldCharType="begin">
          <w:fldData xml:space="preserve">QwBSAE8AUwBTAFIARQBGAEUAUgBFAE4AQwBFACoAVABBAEIATABFACoAZgA2ADkAYgAyAGYAMQA4
AC0AZAA5ADkAYQAtADQAZgA0ADcALQA4AGQAYQA0AC0AYQBjADgAMAAwADAAMgBjAGEAOABjADIA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1</w:t>
      </w:r>
      <w:r w:rsidRPr="00403C18">
        <w:fldChar w:fldCharType="end"/>
      </w:r>
      <w:r w:rsidRPr="00403C18">
        <w:t>).</w:t>
      </w:r>
    </w:p>
    <w:tbl>
      <w:tblPr>
        <w:tblW w:w="0" w:type="auto"/>
        <w:tblLayout w:type="fixed"/>
        <w:tblCellMar>
          <w:left w:w="0" w:type="dxa"/>
          <w:right w:w="0" w:type="dxa"/>
        </w:tblCellMar>
        <w:tblLook w:val="0000" w:firstRow="0" w:lastRow="0" w:firstColumn="0" w:lastColumn="0" w:noHBand="0" w:noVBand="0"/>
      </w:tblPr>
      <w:tblGrid>
        <w:gridCol w:w="8505"/>
      </w:tblGrid>
      <w:tr w:rsidR="00A74472" w:rsidRPr="00403C18" w14:paraId="137B6AA8" w14:textId="77777777" w:rsidTr="00460C69">
        <w:trPr>
          <w:cantSplit/>
        </w:trPr>
        <w:tc>
          <w:tcPr>
            <w:tcW w:w="8505" w:type="dxa"/>
            <w:shd w:val="clear" w:color="auto" w:fill="auto"/>
          </w:tcPr>
          <w:p w14:paraId="18627050" w14:textId="77777777" w:rsidR="00A74472" w:rsidRPr="00403C18" w:rsidRDefault="00A74472" w:rsidP="00460C69">
            <w:pPr>
              <w:pStyle w:val="GraphTitle"/>
              <w:rPr>
                <w:b/>
              </w:rPr>
            </w:pPr>
            <w:r w:rsidRPr="00403C18">
              <w:t>Graph 5:</w:t>
            </w:r>
            <w:r w:rsidRPr="00403C18">
              <w:rPr>
                <w:b/>
              </w:rPr>
              <w:tab/>
              <w:t>Projected change in age-related expenditure (2016-70), by expenditure component, pps. of GDP</w:t>
            </w:r>
          </w:p>
        </w:tc>
      </w:tr>
      <w:tr w:rsidR="00A74472" w:rsidRPr="00403C18" w14:paraId="19CA4E9E" w14:textId="77777777" w:rsidTr="00460C69">
        <w:trPr>
          <w:cantSplit/>
        </w:trPr>
        <w:tc>
          <w:tcPr>
            <w:tcW w:w="8505" w:type="dxa"/>
            <w:shd w:val="clear" w:color="auto" w:fill="auto"/>
          </w:tcPr>
          <w:p w14:paraId="00B779DA" w14:textId="77777777" w:rsidR="00A74472" w:rsidRPr="00403C18" w:rsidRDefault="00A74472" w:rsidP="00460C69">
            <w:pPr>
              <w:pStyle w:val="GraphShape"/>
              <w:rPr>
                <w:sz w:val="2"/>
              </w:rPr>
            </w:pPr>
            <w:r w:rsidRPr="00403C18">
              <w:fldChar w:fldCharType="begin"/>
            </w:r>
            <w:r w:rsidRPr="009F3ED8">
              <w:instrText xml:space="preserve"> TC "</w:instrText>
            </w:r>
            <w:bookmarkStart w:id="24" w:name="_Toc511664616"/>
            <w:r w:rsidRPr="009F3ED8">
              <w:instrText>5.</w:instrText>
            </w:r>
            <w:r w:rsidRPr="009F3ED8">
              <w:tab/>
              <w:instrText>Projected change in age-related expenditure (2016-70), by expenditure component, pps. of GDP</w:instrText>
            </w:r>
            <w:bookmarkEnd w:id="24"/>
            <w:r w:rsidRPr="009F3ED8">
              <w:instrText xml:space="preserve">" \fgraph \l 5 </w:instrText>
            </w:r>
            <w:r w:rsidRPr="00403C18">
              <w:fldChar w:fldCharType="end"/>
            </w:r>
            <w:r>
              <w:rPr>
                <w:noProof/>
                <w:sz w:val="2"/>
                <w:lang w:val="hr-HR" w:eastAsia="hr-HR"/>
              </w:rPr>
              <w:drawing>
                <wp:inline distT="0" distB="0" distL="0" distR="0" wp14:anchorId="357F3C9D" wp14:editId="6D451738">
                  <wp:extent cx="5388229" cy="2874991"/>
                  <wp:effectExtent l="0" t="0" r="3175" b="1905"/>
                  <wp:docPr id="57" name="Picture 57" descr="&lt;nbr&gt;&lt;GETTEXTFROMWORD&gt;&lt;/nbr&gt;&#10;&lt;title&gt;&lt;GETTEXTFROMWORD&gt;&lt;/title&gt;&#10;&lt;id&gt;4ec89c71-e0b7-47c5-a127-70509adb32b6&lt;/id&gt;&#10;&lt;srcType&gt;EXCEL&lt;/srcType&gt;&#10;&lt;srcPath&gt;U:\Budgetary projections 2018\Reports\2018 AR\Tables_and_graphs\Part II Chapter 6\&lt;/srcPath&gt;&#10;&lt;srcName&gt;Graphs_tables.xlsx&lt;/srcName&gt;&#10;&lt;type&gt;graph&lt;/type&gt;&#10; &lt;srcSheet&gt;Reference_scenario_graph2&lt;/srcSheet&gt;&#10; &lt;srcChartTitle&gt;Chart 2&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54:1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88229" cy="2874991"/>
                          </a:xfrm>
                          <a:prstGeom prst="rect">
                            <a:avLst/>
                          </a:prstGeom>
                          <a:noFill/>
                          <a:ln>
                            <a:noFill/>
                          </a:ln>
                        </pic:spPr>
                      </pic:pic>
                    </a:graphicData>
                  </a:graphic>
                </wp:inline>
              </w:drawing>
            </w:r>
          </w:p>
        </w:tc>
      </w:tr>
      <w:tr w:rsidR="00A74472" w:rsidRPr="00403C18" w14:paraId="2B395ACE" w14:textId="77777777" w:rsidTr="00460C69">
        <w:trPr>
          <w:cantSplit/>
        </w:trPr>
        <w:tc>
          <w:tcPr>
            <w:tcW w:w="8505" w:type="dxa"/>
            <w:shd w:val="clear" w:color="auto" w:fill="auto"/>
            <w:tcMar>
              <w:bottom w:w="240" w:type="dxa"/>
            </w:tcMar>
          </w:tcPr>
          <w:p w14:paraId="0136B7E4" w14:textId="77777777" w:rsidR="00A74472" w:rsidRPr="00403C18" w:rsidRDefault="00A74472" w:rsidP="00460C69">
            <w:pPr>
              <w:pStyle w:val="GraphSource"/>
              <w:keepNext/>
            </w:pPr>
            <w:r w:rsidRPr="00403C18">
              <w:rPr>
                <w:b/>
                <w:i/>
              </w:rPr>
              <w:t>Source:</w:t>
            </w:r>
            <w:r w:rsidRPr="00403C18">
              <w:t xml:space="preserve"> Commission services, EPC.</w:t>
            </w:r>
          </w:p>
        </w:tc>
      </w:tr>
    </w:tbl>
    <w:p w14:paraId="525D546C" w14:textId="77777777" w:rsidR="00A74472" w:rsidRPr="00403C18" w:rsidRDefault="00A74472" w:rsidP="00460C69">
      <w:r w:rsidRPr="00403C18">
        <w:t xml:space="preserve">A reduction of public pension spending as a share of GDP over the long-term is projected in 12 Member States (EL, HR, FR, LV, PT, DK, EE, IT, LT, ES, SE and PL), as a result of implemented pension reforms (see Table </w:t>
      </w:r>
      <w:r w:rsidRPr="00403C18">
        <w:fldChar w:fldCharType="begin"/>
      </w:r>
      <w:r w:rsidRPr="00403C18">
        <w:instrText xml:space="preserve"> QUOTE "1"</w:instrText>
      </w:r>
      <w:r w:rsidRPr="00403C18">
        <w:fldChar w:fldCharType="begin">
          <w:fldData xml:space="preserve">QwBSAE8AUwBTAFIARQBGAEUAUgBFAE4AQwBFACoAVABBAEIATABFACoAZgA2ADkAYgAyAGYAMQA4
AC0AZAA5ADkAYQAtADQAZgA0ADcALQA4AGQAYQA0AC0AYQBjADgAMAAwADAAMgBjAGEAOABjADIA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1</w:t>
      </w:r>
      <w:r w:rsidRPr="00403C18">
        <w:fldChar w:fldCharType="end"/>
      </w:r>
      <w:r w:rsidRPr="00403C18">
        <w:t xml:space="preserve">). These reform measures, including changes to the retirement age and the pension benefit, have primarily been adopted to address fiscal sustainability concerns of pension systems. As a consequence, the public pension benefit ratio (average pensions in relation to average wages) is projected to decline in almost all Member States and on average in the EU by 10.6 pps. over the period 2016-70 </w:t>
      </w:r>
      <w:r w:rsidRPr="00403C18">
        <w:lastRenderedPageBreak/>
        <w:t xml:space="preserve">(see Graph </w:t>
      </w:r>
      <w:r w:rsidRPr="00403C18">
        <w:fldChar w:fldCharType="begin"/>
      </w:r>
      <w:r w:rsidRPr="00403C18">
        <w:instrText xml:space="preserve"> QUOTE "6"</w:instrText>
      </w:r>
      <w:r w:rsidRPr="00403C18">
        <w:fldChar w:fldCharType="begin">
          <w:fldData xml:space="preserve">QwBSAE8AUwBTAFIARQBGAEUAUgBFAE4AQwBFACoARwBSAEEAUABIACoAZgAxADkAYQAxADkANQA1
AC0AZABiADIAYwAtADQAOQA2ADMALQA5ADkANQBjAC0AOQAxADIAMgA1ADkANAA1AGMAMAA3ADgA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6</w:t>
      </w:r>
      <w:r w:rsidRPr="00403C18">
        <w:fldChar w:fldCharType="end"/>
      </w:r>
      <w:r w:rsidRPr="00403C18">
        <w:t>) (</w:t>
      </w:r>
      <w:r w:rsidRPr="00403C18">
        <w:rPr>
          <w:rStyle w:val="Referencafusnote"/>
        </w:rPr>
        <w:footnoteReference w:id="6"/>
      </w:r>
      <w:r w:rsidRPr="00403C18">
        <w:t>). For some countries the decline is projected to be 20 pps. or more (EL, PL, PT, CY and ES).</w:t>
      </w:r>
    </w:p>
    <w:p w14:paraId="617C926E" w14:textId="77777777" w:rsidR="00A74472" w:rsidRPr="00403C18" w:rsidRDefault="00A74472" w:rsidP="00460C69">
      <w:r w:rsidRPr="00403C18">
        <w:t>However, many countries also have private pension schemes, and the total benefit ratio in 2070 is on average 10.5 pps. higher (for countries where private pensions are reported) (</w:t>
      </w:r>
      <w:r w:rsidRPr="00403C18">
        <w:rPr>
          <w:rStyle w:val="Referencafusnote"/>
        </w:rPr>
        <w:footnoteReference w:id="7"/>
      </w:r>
      <w:r w:rsidRPr="00403C18">
        <w:t>). Moreover, the decline in the minimum pension benefit ratio is much smaller in most countries because those pensions are indexed to wages (or similar) (</w:t>
      </w:r>
      <w:r w:rsidRPr="00403C18">
        <w:rPr>
          <w:rStyle w:val="Referencafusnote"/>
        </w:rPr>
        <w:footnoteReference w:id="8"/>
      </w:r>
      <w:r w:rsidRPr="00403C18">
        <w:t xml:space="preserve">), and is projected to decrease by 1.7 pps. on average in the EU (see Graph </w:t>
      </w:r>
      <w:r w:rsidRPr="00403C18">
        <w:fldChar w:fldCharType="begin"/>
      </w:r>
      <w:r w:rsidRPr="00403C18">
        <w:instrText xml:space="preserve"> QUOTE "6"</w:instrText>
      </w:r>
      <w:r w:rsidRPr="00403C18">
        <w:fldChar w:fldCharType="begin">
          <w:fldData xml:space="preserve">QwBSAE8AUwBTAFIARQBGAEUAUgBFAE4AQwBFACoARwBSAEEAUABIACoAZgAxADkAYQAxADkANQA1
AC0AZABiADIAYwAtADQAOQA2ADMALQA5ADkANQBjAC0AOQAxADIAMgA1ADkANAA1AGMAMAA3ADgA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6</w:t>
      </w:r>
      <w:r w:rsidRPr="00403C18">
        <w:fldChar w:fldCharType="end"/>
      </w:r>
      <w:r w:rsidRPr="00403C18">
        <w:t>) (</w:t>
      </w:r>
      <w:r w:rsidRPr="00403C18">
        <w:rPr>
          <w:rStyle w:val="Referencafusnote"/>
        </w:rPr>
        <w:footnoteReference w:id="9"/>
      </w:r>
      <w:r w:rsidRPr="00403C18">
        <w:t xml:space="preserve">). Hence, risks relating to minimum pensions being too low in the future are contained, due to higher indexation of minimum pensions compared with the general pension scheme. </w:t>
      </w:r>
    </w:p>
    <w:tbl>
      <w:tblPr>
        <w:tblW w:w="0" w:type="auto"/>
        <w:tblLayout w:type="fixed"/>
        <w:tblCellMar>
          <w:left w:w="0" w:type="dxa"/>
          <w:right w:w="0" w:type="dxa"/>
        </w:tblCellMar>
        <w:tblLook w:val="0000" w:firstRow="0" w:lastRow="0" w:firstColumn="0" w:lastColumn="0" w:noHBand="0" w:noVBand="0"/>
      </w:tblPr>
      <w:tblGrid>
        <w:gridCol w:w="8505"/>
      </w:tblGrid>
      <w:tr w:rsidR="00A74472" w:rsidRPr="00403C18" w14:paraId="419F5AE9" w14:textId="77777777" w:rsidTr="00460C69">
        <w:trPr>
          <w:cantSplit/>
        </w:trPr>
        <w:tc>
          <w:tcPr>
            <w:tcW w:w="8505" w:type="dxa"/>
            <w:shd w:val="clear" w:color="auto" w:fill="auto"/>
          </w:tcPr>
          <w:p w14:paraId="030A6A5E" w14:textId="77777777" w:rsidR="00A74472" w:rsidRPr="00403C18" w:rsidRDefault="00A74472" w:rsidP="00460C69">
            <w:pPr>
              <w:pStyle w:val="GraphTitle"/>
              <w:rPr>
                <w:b/>
              </w:rPr>
            </w:pPr>
            <w:r w:rsidRPr="00403C18">
              <w:t>Graph 6:</w:t>
            </w:r>
            <w:r w:rsidRPr="00403C18">
              <w:rPr>
                <w:b/>
              </w:rPr>
              <w:tab/>
              <w:t>Public pension benefit ratio, total and minimum pension, pps. change, 2016-70</w:t>
            </w:r>
          </w:p>
        </w:tc>
      </w:tr>
      <w:tr w:rsidR="00A74472" w:rsidRPr="00403C18" w14:paraId="63388632" w14:textId="77777777" w:rsidTr="00460C69">
        <w:trPr>
          <w:cantSplit/>
        </w:trPr>
        <w:tc>
          <w:tcPr>
            <w:tcW w:w="8505" w:type="dxa"/>
            <w:shd w:val="clear" w:color="auto" w:fill="auto"/>
          </w:tcPr>
          <w:p w14:paraId="196F706B" w14:textId="77777777" w:rsidR="00A74472" w:rsidRPr="00403C18" w:rsidRDefault="00A74472" w:rsidP="00460C69">
            <w:pPr>
              <w:pStyle w:val="GraphShape"/>
              <w:rPr>
                <w:sz w:val="2"/>
              </w:rPr>
            </w:pPr>
            <w:r w:rsidRPr="00403C18">
              <w:fldChar w:fldCharType="begin"/>
            </w:r>
            <w:r w:rsidRPr="009F3ED8">
              <w:instrText xml:space="preserve"> TC "</w:instrText>
            </w:r>
            <w:bookmarkStart w:id="25" w:name="_Toc511664617"/>
            <w:r w:rsidRPr="009F3ED8">
              <w:instrText>6.</w:instrText>
            </w:r>
            <w:r w:rsidRPr="009F3ED8">
              <w:tab/>
              <w:instrText>Public pension benefit ratio, total and minimum pension, pps. change, 2016-70</w:instrText>
            </w:r>
            <w:bookmarkEnd w:id="25"/>
            <w:r w:rsidRPr="009F3ED8">
              <w:instrText xml:space="preserve">" \fgraph \l 5 </w:instrText>
            </w:r>
            <w:r w:rsidRPr="00403C18">
              <w:fldChar w:fldCharType="end"/>
            </w:r>
            <w:r>
              <w:rPr>
                <w:noProof/>
                <w:sz w:val="2"/>
                <w:lang w:val="hr-HR" w:eastAsia="hr-HR"/>
              </w:rPr>
              <w:drawing>
                <wp:inline distT="0" distB="0" distL="0" distR="0" wp14:anchorId="0E98A46D" wp14:editId="10E89E6D">
                  <wp:extent cx="5388229" cy="2252223"/>
                  <wp:effectExtent l="0" t="0" r="3175" b="0"/>
                  <wp:docPr id="61" name="Picture 61" descr="&lt;nbr&gt;&lt;GETTEXTFROMWORD&gt;&lt;/nbr&gt;&#10;&lt;title&gt;&lt;GETTEXTFROMWORD&gt;&lt;/title&gt;&#10;&lt;id&gt;f19a1955-db2c-4963-995c-91225945c078&lt;/id&gt;&#10;&lt;srcType&gt;EXCEL&lt;/srcType&gt;&#10;&lt;srcPath&gt;U:\Budgetary projections 2018\Reports\2018 AR\Tables_and_graphs\Part II Chapter 6\&lt;/srcPath&gt;&#10;&lt;srcName&gt;Graphs_tables.xlsx&lt;/srcName&gt;&#10;&lt;type&gt;graph&lt;/type&gt;&#10; &lt;srcSheet&gt;Graph4&lt;/srcSheet&gt;&#10; &lt;srcChartTitle&gt;Chart 6&lt;/srcChartTitl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54:1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88229" cy="2252223"/>
                          </a:xfrm>
                          <a:prstGeom prst="rect">
                            <a:avLst/>
                          </a:prstGeom>
                          <a:noFill/>
                          <a:ln>
                            <a:noFill/>
                          </a:ln>
                        </pic:spPr>
                      </pic:pic>
                    </a:graphicData>
                  </a:graphic>
                </wp:inline>
              </w:drawing>
            </w:r>
          </w:p>
        </w:tc>
      </w:tr>
      <w:tr w:rsidR="00A74472" w:rsidRPr="00403C18" w14:paraId="461FF74B" w14:textId="77777777" w:rsidTr="00460C69">
        <w:trPr>
          <w:cantSplit/>
        </w:trPr>
        <w:tc>
          <w:tcPr>
            <w:tcW w:w="8505" w:type="dxa"/>
            <w:shd w:val="clear" w:color="auto" w:fill="auto"/>
            <w:tcMar>
              <w:bottom w:w="240" w:type="dxa"/>
            </w:tcMar>
          </w:tcPr>
          <w:p w14:paraId="0A811764" w14:textId="77777777" w:rsidR="00A74472" w:rsidRDefault="00A74472" w:rsidP="00460C69">
            <w:pPr>
              <w:pStyle w:val="GraphFootnote"/>
              <w:keepNext/>
            </w:pPr>
            <w:r>
              <w:t xml:space="preserve">(1)For the total public pension benefit ratio, EU* is the simple average of the 28 Member States. For the minimum pension benefit ratio, the EU* is the simple average of the countries available. </w:t>
            </w:r>
          </w:p>
          <w:p w14:paraId="156B0809" w14:textId="77777777" w:rsidR="00A74472" w:rsidRPr="00403C18" w:rsidRDefault="00A74472" w:rsidP="00460C69">
            <w:pPr>
              <w:pStyle w:val="GraphSource"/>
              <w:keepNext/>
            </w:pPr>
            <w:r w:rsidRPr="00403C18">
              <w:rPr>
                <w:b/>
                <w:i/>
              </w:rPr>
              <w:t>Source:</w:t>
            </w:r>
            <w:r w:rsidRPr="00403C18">
              <w:t xml:space="preserve"> Commission services, EPC.</w:t>
            </w:r>
          </w:p>
        </w:tc>
      </w:tr>
    </w:tbl>
    <w:p w14:paraId="535ED0A9" w14:textId="77777777" w:rsidR="00A74472" w:rsidRPr="00403C18" w:rsidRDefault="00A74472" w:rsidP="00460C69">
      <w:pPr>
        <w:pStyle w:val="Heading"/>
      </w:pPr>
      <w:r w:rsidRPr="00403C18">
        <w:t xml:space="preserve">Risk analysis supplements the baseline projection results </w:t>
      </w:r>
    </w:p>
    <w:p w14:paraId="7777CA1E" w14:textId="77777777" w:rsidR="00A74472" w:rsidRPr="00403C18" w:rsidRDefault="00A74472" w:rsidP="00460C69">
      <w:r w:rsidRPr="00403C18">
        <w:t xml:space="preserve">Given the very long time-span over which the projections are made, there is considerable uncertainty as to future developments of age-related public expenditure. The budgetary projections were also run with a set of alternative scenarios to assess the sensitivity of age-related government expenditure to different underlying assumptions (demographic, macro-economic and in terms of cost drivers). </w:t>
      </w:r>
    </w:p>
    <w:p w14:paraId="4991E239" w14:textId="77777777" w:rsidR="00A74472" w:rsidRPr="00403C18" w:rsidRDefault="00A74472" w:rsidP="00460C69">
      <w:pPr>
        <w:keepNext/>
      </w:pPr>
      <w:r w:rsidRPr="00403C18">
        <w:t xml:space="preserve">Two of these scenarios were therefore carried out, as was the case in the previous report, defined as follows: </w:t>
      </w:r>
    </w:p>
    <w:p w14:paraId="7CA09253" w14:textId="77777777" w:rsidR="00A74472" w:rsidRPr="00403C18" w:rsidRDefault="00A74472" w:rsidP="00A74472">
      <w:pPr>
        <w:pStyle w:val="ListDash"/>
        <w:numPr>
          <w:ilvl w:val="0"/>
          <w:numId w:val="4"/>
        </w:numPr>
      </w:pPr>
      <w:r w:rsidRPr="00403C18">
        <w:rPr>
          <w:b/>
        </w:rPr>
        <w:t>TFP risk scenario</w:t>
      </w:r>
      <w:r w:rsidRPr="00403C18">
        <w:t xml:space="preserve"> (</w:t>
      </w:r>
      <w:r w:rsidRPr="00403C18">
        <w:rPr>
          <w:rStyle w:val="Referencafusnote"/>
        </w:rPr>
        <w:footnoteReference w:id="10"/>
      </w:r>
      <w:r w:rsidRPr="00403C18">
        <w:t xml:space="preserve">): In light of the trend decline in TFP growth performance over the last decades in the EU, due visibility and prominence should also be given to the risk of lower TFP growth in the future. Thus, a TFP risk scenario is included, with a lower TFP growth rate (converging to 0.8% instead of 1%). The TFP risk scenario essentially shows that GDP growth could be much lower in the event that future TFP growth rates developed less dynamically than in the baseline scenario, i.e. more </w:t>
      </w:r>
      <w:r w:rsidRPr="00403C18">
        <w:lastRenderedPageBreak/>
        <w:t xml:space="preserve">in line with the growth rate (0.8%) observed over the last 20 years. In this scenario, potential GDP would grow by 1.1% on average up to 2070 in the EU and the euro area, as opposed to 1.4% and 1.3%, respectively, in the baseline scenario.  </w:t>
      </w:r>
    </w:p>
    <w:p w14:paraId="371A7064" w14:textId="77777777" w:rsidR="00A74472" w:rsidRPr="00403C18" w:rsidRDefault="00A74472" w:rsidP="00A74472">
      <w:pPr>
        <w:pStyle w:val="ListDash"/>
        <w:numPr>
          <w:ilvl w:val="0"/>
          <w:numId w:val="4"/>
        </w:numPr>
      </w:pPr>
      <w:r w:rsidRPr="00403C18">
        <w:rPr>
          <w:b/>
        </w:rPr>
        <w:t>AWG risk scenario</w:t>
      </w:r>
      <w:r w:rsidRPr="00403C18">
        <w:t xml:space="preserve"> (</w:t>
      </w:r>
      <w:r w:rsidRPr="00403C18">
        <w:rPr>
          <w:rStyle w:val="Referencafusnote"/>
        </w:rPr>
        <w:footnoteReference w:id="11"/>
      </w:r>
      <w:r w:rsidRPr="00403C18">
        <w:t>): Non-demographic drivers may exercise an upward push on costs in the health care and long-term care areas. In order to gain further insights into the possible importance of such developments, another set of projections was run which assumes the partial continuation of recently observed trends in health care expenditure due to, e.g. technological progress. Moreover, an upward convergence of coverage and costs to the EU average is assumed to take place in long-term care.</w:t>
      </w:r>
    </w:p>
    <w:p w14:paraId="0C567816" w14:textId="77777777" w:rsidR="00A74472" w:rsidRPr="00403C18" w:rsidRDefault="00A74472" w:rsidP="00460C69">
      <w:pPr>
        <w:pStyle w:val="Heading"/>
      </w:pPr>
      <w:r w:rsidRPr="00403C18">
        <w:t>Risk scenario projections</w:t>
      </w:r>
    </w:p>
    <w:p w14:paraId="6C49899B" w14:textId="77777777" w:rsidR="00A74472" w:rsidRPr="00403C18" w:rsidRDefault="00A74472" w:rsidP="00460C69">
      <w:r w:rsidRPr="00403C18">
        <w:t xml:space="preserve">Graph </w:t>
      </w:r>
      <w:r w:rsidRPr="00403C18">
        <w:fldChar w:fldCharType="begin"/>
      </w:r>
      <w:r w:rsidRPr="00403C18">
        <w:instrText xml:space="preserve"> QUOTE "7"</w:instrText>
      </w:r>
      <w:r w:rsidRPr="00403C18">
        <w:fldChar w:fldCharType="begin">
          <w:fldData xml:space="preserve">QwBSAE8AUwBTAFIARQBGAEUAUgBFAE4AQwBFACoAQwBMAFUAUwBUAEUAUgAgAE8ARgAgAEcAUgBB
AFAASABTACoANQA2AGQAOAA2ADMANwA2AC0AOQBmADgAYgAtADQAYwAyAGEALQA5AGUAYwA0AC0A
NwA1ADMAOAA4ADMAZgAzAGQAMgBhADIA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7</w:t>
      </w:r>
      <w:r w:rsidRPr="00403C18">
        <w:fldChar w:fldCharType="end"/>
      </w:r>
      <w:r w:rsidRPr="00403C18">
        <w:t xml:space="preserve"> illustrates the projected increase in age-related expenditure (total and strictly) over 2016-70 in the three different scenarios (Baseline, TFP risk  and AWG risk ) for the EU and the EA. In the EU as a whole, the total cost of ageing was 25% of GDP in 2016 and is projected to rise by 1.7 pps. of GDP (baseline scenario), by 2.2 pps. (TFP risk scenario) and by as much as 4 pps. (AWG risk scenario) in the period to 2070. In the euro area, it is projected to rise from 26% of GDP in 2016 by 1.1 pps. (baseline scenario), by 1.7 pps. (TFP risk scenario) and by 3.6 pps. (AWG risk scenario) up to 2070.</w:t>
      </w:r>
    </w:p>
    <w:tbl>
      <w:tblPr>
        <w:tblW w:w="0" w:type="auto"/>
        <w:tblLayout w:type="fixed"/>
        <w:tblCellMar>
          <w:left w:w="0" w:type="dxa"/>
          <w:right w:w="0" w:type="dxa"/>
        </w:tblCellMar>
        <w:tblLook w:val="0000" w:firstRow="0" w:lastRow="0" w:firstColumn="0" w:lastColumn="0" w:noHBand="0" w:noVBand="0"/>
      </w:tblPr>
      <w:tblGrid>
        <w:gridCol w:w="8505"/>
      </w:tblGrid>
      <w:tr w:rsidR="00A74472" w:rsidRPr="00403C18" w14:paraId="5A158C65" w14:textId="77777777" w:rsidTr="00460C69">
        <w:trPr>
          <w:cantSplit/>
        </w:trPr>
        <w:tc>
          <w:tcPr>
            <w:tcW w:w="8505" w:type="dxa"/>
            <w:shd w:val="clear" w:color="auto" w:fill="auto"/>
          </w:tcPr>
          <w:p w14:paraId="5C30E031" w14:textId="77777777" w:rsidR="00A74472" w:rsidRPr="00403C18" w:rsidRDefault="00A74472" w:rsidP="00460C69">
            <w:pPr>
              <w:pStyle w:val="GraphTitle"/>
              <w:rPr>
                <w:b/>
              </w:rPr>
            </w:pPr>
            <w:r w:rsidRPr="00403C18">
              <w:t>Graph 7:</w:t>
            </w:r>
            <w:r w:rsidRPr="00403C18">
              <w:rPr>
                <w:b/>
              </w:rPr>
              <w:tab/>
              <w:t>Projected age-related expenditure (2016-70), different scenarios, % of GDP, EU and EA</w:t>
            </w:r>
          </w:p>
        </w:tc>
      </w:tr>
      <w:tr w:rsidR="00A74472" w:rsidRPr="00403C18" w14:paraId="3365064B" w14:textId="77777777" w:rsidTr="00460C69">
        <w:trPr>
          <w:cantSplit/>
        </w:trPr>
        <w:tc>
          <w:tcPr>
            <w:tcW w:w="8505" w:type="dxa"/>
            <w:shd w:val="clear" w:color="auto" w:fill="auto"/>
          </w:tcPr>
          <w:p w14:paraId="07B7DB4E" w14:textId="77777777" w:rsidR="00A74472" w:rsidRPr="00403C18" w:rsidRDefault="00A74472" w:rsidP="00460C69">
            <w:pPr>
              <w:pStyle w:val="GraphShape"/>
              <w:rPr>
                <w:sz w:val="2"/>
              </w:rPr>
            </w:pPr>
            <w:r w:rsidRPr="00403C18">
              <w:fldChar w:fldCharType="begin"/>
            </w:r>
            <w:r w:rsidRPr="009F3ED8">
              <w:instrText xml:space="preserve"> TC "</w:instrText>
            </w:r>
            <w:bookmarkStart w:id="26" w:name="_Toc511664618"/>
            <w:r w:rsidRPr="009F3ED8">
              <w:instrText>7.</w:instrText>
            </w:r>
            <w:r w:rsidRPr="009F3ED8">
              <w:tab/>
              <w:instrText>Projected age-related expenditure (2016-70), different scenarios, % of GDP, EU and EA</w:instrText>
            </w:r>
            <w:bookmarkEnd w:id="26"/>
            <w:r w:rsidRPr="009F3ED8">
              <w:instrText xml:space="preserve">" \fgraph \l 5 </w:instrText>
            </w:r>
            <w:r w:rsidRPr="00403C18">
              <w:fldChar w:fldCharType="end"/>
            </w:r>
            <w:r w:rsidRPr="00403C18">
              <w:rPr>
                <w:noProof/>
                <w:sz w:val="2"/>
                <w:lang w:val="hr-HR" w:eastAsia="hr-HR"/>
              </w:rPr>
              <w:drawing>
                <wp:inline distT="0" distB="0" distL="0" distR="0" wp14:anchorId="4712713F" wp14:editId="298F59D3">
                  <wp:extent cx="5388229" cy="3569971"/>
                  <wp:effectExtent l="0" t="0" r="3175" b="0"/>
                  <wp:docPr id="752" name="Picture 752" descr="&lt;nbr&gt;&lt;GETTEXTFROMWORD&gt;&lt;/nbr&gt;&#10;&lt;title&gt;&lt;GETTEXTFROMWORD&gt;&lt;/title&gt;&#10;&lt;id&gt;56d86376-9f8b-4c2a-9ec4-753883f3d2a2&lt;/id&gt;&#10;&lt;srcType&gt;EXCEL&lt;/srcType&gt;&#10;&lt;srcPath&gt;U:\Budgetary projections 2018\Reports\2018 AR\Tables_and_graphs\Part II Chapter 6\&lt;/srcPath&gt;&#10;&lt;srcName&gt;Graphs_tables.xlsx&lt;/srcName&gt;&#10;&lt;type&gt;clusterofgraphs&lt;/type&gt;&#10; &lt;srcSheet&gt;Graph 3&lt;/srcSheet&gt;&#10; &lt;individualNumbers&gt;no&lt;/individualNumbers&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54:1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88229" cy="3569971"/>
                          </a:xfrm>
                          <a:prstGeom prst="rect">
                            <a:avLst/>
                          </a:prstGeom>
                          <a:noFill/>
                          <a:ln>
                            <a:noFill/>
                          </a:ln>
                        </pic:spPr>
                      </pic:pic>
                    </a:graphicData>
                  </a:graphic>
                </wp:inline>
              </w:drawing>
            </w:r>
          </w:p>
        </w:tc>
      </w:tr>
      <w:tr w:rsidR="00A74472" w:rsidRPr="00403C18" w14:paraId="700E4DC2" w14:textId="77777777" w:rsidTr="00460C69">
        <w:trPr>
          <w:cantSplit/>
        </w:trPr>
        <w:tc>
          <w:tcPr>
            <w:tcW w:w="8505" w:type="dxa"/>
            <w:shd w:val="clear" w:color="auto" w:fill="auto"/>
            <w:tcMar>
              <w:bottom w:w="240" w:type="dxa"/>
            </w:tcMar>
          </w:tcPr>
          <w:p w14:paraId="45AF459C" w14:textId="77777777" w:rsidR="00A74472" w:rsidRPr="00403C18" w:rsidRDefault="00A74472" w:rsidP="00460C69">
            <w:pPr>
              <w:pStyle w:val="GraphSource"/>
              <w:keepNext/>
            </w:pPr>
            <w:r w:rsidRPr="00403C18">
              <w:rPr>
                <w:b/>
                <w:i/>
              </w:rPr>
              <w:t>Source:</w:t>
            </w:r>
            <w:r w:rsidRPr="00403C18">
              <w:t xml:space="preserve"> Commission services, EPC.</w:t>
            </w:r>
          </w:p>
        </w:tc>
      </w:tr>
    </w:tbl>
    <w:p w14:paraId="6FC9EE61" w14:textId="77777777" w:rsidR="00A74472" w:rsidRPr="00403C18" w:rsidRDefault="00A74472" w:rsidP="00460C69">
      <w:r w:rsidRPr="00403C18">
        <w:t xml:space="preserve">The projected rise in strictly age-related expenditure (pensions, health care, long-term care and education) is higher, since unemployment benefit expenditure is projected to fall in the period to 2070 (by 0.2 pps. of GDP in the EU and the EA, see Table </w:t>
      </w:r>
      <w:r w:rsidRPr="00403C18">
        <w:fldChar w:fldCharType="begin"/>
      </w:r>
      <w:r w:rsidRPr="00403C18">
        <w:instrText xml:space="preserve"> QUOTE "1"</w:instrText>
      </w:r>
      <w:r w:rsidRPr="00403C18">
        <w:fldChar w:fldCharType="begin">
          <w:fldData xml:space="preserve">QwBSAE8AUwBTAFIARQBGAEUAUgBFAE4AQwBFACoAVABBAEIATABFACoAZgA2ADkAYgAyAGYAMQA4
AC0AZAA5ADkAYQAtADQAZgA0ADcALQA4AGQAYQA0AC0AYQBjADgAMAAwADAAMgBjAGEAOABjADIA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1</w:t>
      </w:r>
      <w:r w:rsidRPr="00403C18">
        <w:fldChar w:fldCharType="end"/>
      </w:r>
      <w:r w:rsidRPr="00403C18">
        <w:t xml:space="preserve">). The projected rise in strictly public age-related expenditure is almost 1.8 pps. of GDP in the EU (EA: +1.4 pps.) between 2016 and 2070 in the baseline scenario (see </w:t>
      </w:r>
      <w:r w:rsidRPr="00403C18">
        <w:lastRenderedPageBreak/>
        <w:t xml:space="preserve">Graph </w:t>
      </w:r>
      <w:r w:rsidRPr="00403C18">
        <w:fldChar w:fldCharType="begin"/>
      </w:r>
      <w:r w:rsidRPr="00403C18">
        <w:instrText xml:space="preserve"> QUOTE "7"</w:instrText>
      </w:r>
      <w:r w:rsidRPr="00403C18">
        <w:fldChar w:fldCharType="begin">
          <w:fldData xml:space="preserve">QwBSAE8AUwBTAFIARQBGAEUAUgBFAE4AQwBFACoAQwBMAFUAUwBUAEUAUgAgAE8ARgAgAEcAUgBB
AFAASABTACoANQA2AGQAOAA2ADMANwA2AC0AOQBmADgAYgAtADQAYwAyAGEALQA5AGUAYwA0AC0A
NwA1ADMAOAA4ADMAZgAzAGQAMgBhADIA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7</w:t>
      </w:r>
      <w:r w:rsidRPr="00403C18">
        <w:fldChar w:fldCharType="end"/>
      </w:r>
      <w:r w:rsidRPr="00403C18">
        <w:t xml:space="preserve"> and Table </w:t>
      </w:r>
      <w:r w:rsidRPr="00403C18">
        <w:fldChar w:fldCharType="begin"/>
      </w:r>
      <w:r w:rsidRPr="00403C18">
        <w:instrText xml:space="preserve"> QUOTE "1"</w:instrText>
      </w:r>
      <w:r w:rsidRPr="00403C18">
        <w:fldChar w:fldCharType="begin">
          <w:fldData xml:space="preserve">QwBSAE8AUwBTAFIARQBGAEUAUgBFAE4AQwBFACoAVABBAEIATABFACoAZgA2ADkAYgAyAGYAMQA4
AC0AZAA5ADkAYQAtADQAZgA0ADcALQA4AGQAYQA0AC0AYQBjADgAMAAwADAAMgBjAGEAOABjADIA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1</w:t>
      </w:r>
      <w:r w:rsidRPr="00403C18">
        <w:fldChar w:fldCharType="end"/>
      </w:r>
      <w:r w:rsidRPr="00403C18">
        <w:t>) (</w:t>
      </w:r>
      <w:r w:rsidRPr="00403C18">
        <w:rPr>
          <w:rStyle w:val="Referencafusnote"/>
        </w:rPr>
        <w:footnoteReference w:id="12"/>
      </w:r>
      <w:r w:rsidRPr="00403C18">
        <w:t>). A higher increase is projected in the TFP risk scenario, up by 2.4 pps (EA: +1.9pps) and in the AWG risk scenario, rising by 4.1 pps (EA: +3.8 pps.)</w:t>
      </w:r>
    </w:p>
    <w:tbl>
      <w:tblPr>
        <w:tblW w:w="0" w:type="auto"/>
        <w:tblLayout w:type="fixed"/>
        <w:tblCellMar>
          <w:left w:w="0" w:type="dxa"/>
          <w:right w:w="0" w:type="dxa"/>
        </w:tblCellMar>
        <w:tblLook w:val="0000" w:firstRow="0" w:lastRow="0" w:firstColumn="0" w:lastColumn="0" w:noHBand="0" w:noVBand="0"/>
      </w:tblPr>
      <w:tblGrid>
        <w:gridCol w:w="8505"/>
      </w:tblGrid>
      <w:tr w:rsidR="00A74472" w:rsidRPr="00403C18" w14:paraId="755D7350" w14:textId="77777777" w:rsidTr="00460C69">
        <w:trPr>
          <w:cantSplit/>
        </w:trPr>
        <w:tc>
          <w:tcPr>
            <w:tcW w:w="8505" w:type="dxa"/>
            <w:shd w:val="clear" w:color="auto" w:fill="auto"/>
          </w:tcPr>
          <w:p w14:paraId="30CAF673" w14:textId="77777777" w:rsidR="00A74472" w:rsidRPr="00403C18" w:rsidRDefault="00A74472" w:rsidP="00460C69">
            <w:pPr>
              <w:pStyle w:val="GraphTitle"/>
              <w:rPr>
                <w:b/>
              </w:rPr>
            </w:pPr>
            <w:r w:rsidRPr="00403C18">
              <w:t>Graph 8:</w:t>
            </w:r>
            <w:r w:rsidRPr="00403C18">
              <w:rPr>
                <w:b/>
              </w:rPr>
              <w:tab/>
              <w:t>Projected change in age-related expenditure (2016-70), different scenarios, pps. of GDP</w:t>
            </w:r>
          </w:p>
        </w:tc>
      </w:tr>
      <w:tr w:rsidR="00A74472" w:rsidRPr="00403C18" w14:paraId="1A585285" w14:textId="77777777" w:rsidTr="00460C69">
        <w:trPr>
          <w:cantSplit/>
        </w:trPr>
        <w:tc>
          <w:tcPr>
            <w:tcW w:w="8505" w:type="dxa"/>
            <w:shd w:val="clear" w:color="auto" w:fill="auto"/>
          </w:tcPr>
          <w:p w14:paraId="1D1DC697" w14:textId="77777777" w:rsidR="00A74472" w:rsidRPr="00403C18" w:rsidRDefault="00A74472" w:rsidP="00460C69">
            <w:pPr>
              <w:pStyle w:val="GraphShape"/>
              <w:rPr>
                <w:sz w:val="2"/>
              </w:rPr>
            </w:pPr>
            <w:r w:rsidRPr="00403C18">
              <w:fldChar w:fldCharType="begin"/>
            </w:r>
            <w:r w:rsidRPr="009F3ED8">
              <w:instrText xml:space="preserve"> TC "</w:instrText>
            </w:r>
            <w:bookmarkStart w:id="27" w:name="_Toc511664619"/>
            <w:r w:rsidRPr="009F3ED8">
              <w:instrText>8.</w:instrText>
            </w:r>
            <w:r w:rsidRPr="009F3ED8">
              <w:tab/>
              <w:instrText>Projected change in age-related expenditure (2016-70), different scenarios, pps. of GDP</w:instrText>
            </w:r>
            <w:bookmarkEnd w:id="27"/>
            <w:r w:rsidRPr="009F3ED8">
              <w:instrText xml:space="preserve">" \fgraph \l 5 </w:instrText>
            </w:r>
            <w:r w:rsidRPr="00403C18">
              <w:fldChar w:fldCharType="end"/>
            </w:r>
            <w:r>
              <w:rPr>
                <w:noProof/>
                <w:sz w:val="2"/>
                <w:lang w:val="hr-HR" w:eastAsia="hr-HR"/>
              </w:rPr>
              <w:drawing>
                <wp:inline distT="0" distB="0" distL="0" distR="0" wp14:anchorId="7B75C89E" wp14:editId="709E54D9">
                  <wp:extent cx="5388229" cy="4304881"/>
                  <wp:effectExtent l="0" t="0" r="3175" b="635"/>
                  <wp:docPr id="753" name="Picture 753" descr="&lt;nbr&gt;&lt;GETTEXTFROMWORD&gt;&lt;/nbr&gt;&#10;&lt;title&gt;&lt;GETTEXTFROMWORD&gt;&lt;/title&gt;&#10;&lt;id&gt;a16185ee-f57f-4bc5-84f0-fde344c8515a&lt;/id&gt;&#10;&lt;srcType&gt;EXCEL&lt;/srcType&gt;&#10;&lt;srcPath&gt;U:\Budgetary projections 2018\Reports\2018 AR\Tables_and_graphs\Part II Chapter 6\&lt;/srcPath&gt;&#10;&lt;srcName&gt;Graphs_tables.xlsx&lt;/srcName&gt;&#10;&lt;type&gt;clusterofgraphs&lt;/type&gt;&#10; &lt;srcSheet&gt;Graph 2a_2b&lt;/srcSheet&gt;&#10; &lt;individualNumbers&gt;no&lt;/individualNumbers&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54:1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88229" cy="4304881"/>
                          </a:xfrm>
                          <a:prstGeom prst="rect">
                            <a:avLst/>
                          </a:prstGeom>
                          <a:noFill/>
                          <a:ln>
                            <a:noFill/>
                          </a:ln>
                        </pic:spPr>
                      </pic:pic>
                    </a:graphicData>
                  </a:graphic>
                </wp:inline>
              </w:drawing>
            </w:r>
          </w:p>
        </w:tc>
      </w:tr>
      <w:tr w:rsidR="00A74472" w:rsidRPr="00403C18" w14:paraId="5FEDBAFE" w14:textId="77777777" w:rsidTr="00460C69">
        <w:trPr>
          <w:cantSplit/>
        </w:trPr>
        <w:tc>
          <w:tcPr>
            <w:tcW w:w="8505" w:type="dxa"/>
            <w:shd w:val="clear" w:color="auto" w:fill="auto"/>
            <w:tcMar>
              <w:bottom w:w="240" w:type="dxa"/>
            </w:tcMar>
          </w:tcPr>
          <w:p w14:paraId="49626C9E" w14:textId="77777777" w:rsidR="00A74472" w:rsidRPr="00403C18" w:rsidRDefault="00A74472" w:rsidP="00460C69">
            <w:pPr>
              <w:pStyle w:val="GraphSource"/>
              <w:keepNext/>
            </w:pPr>
            <w:r w:rsidRPr="00403C18">
              <w:rPr>
                <w:b/>
                <w:i/>
              </w:rPr>
              <w:t>Source:</w:t>
            </w:r>
            <w:r w:rsidRPr="00403C18">
              <w:t xml:space="preserve"> Commission services, EPC.</w:t>
            </w:r>
          </w:p>
        </w:tc>
      </w:tr>
    </w:tbl>
    <w:p w14:paraId="3E2B9B0F" w14:textId="77777777" w:rsidR="00A74472" w:rsidRPr="00403C18" w:rsidRDefault="00A74472" w:rsidP="00460C69">
      <w:r w:rsidRPr="00403C18">
        <w:t xml:space="preserve">The TFP risk scenario primarily affects pension expenditure, projected to rise by ½ pps. of GDP more on average (EU and EA) up to 2070 compared with the baseline scenario. This is because pensions in payments are in many countries projected to rise in line with inflation, i.e. slower than wages (which evolve in line with labour productivity growth, which in turn depends on TFP growth). By contrast, it only has a small impact on health care and long-term care, as unit costs in these areas are closely linked to labour productivity growth and hence with wage growth. The projected increase in total age-related expenditure would be about ½ pps. of GDP higher than the baseline scenario up to 2070 in the EU and EA (see Graph </w:t>
      </w:r>
      <w:r w:rsidRPr="00403C18">
        <w:fldChar w:fldCharType="begin"/>
      </w:r>
      <w:r w:rsidRPr="00403C18">
        <w:instrText xml:space="preserve"> QUOTE "8"</w:instrText>
      </w:r>
      <w:r w:rsidRPr="00403C18">
        <w:fldChar w:fldCharType="begin">
          <w:fldData xml:space="preserve">QwBSAE8AUwBTAFIARQBGAEUAUgBFAE4AQwBFACoAQwBMAFUAUwBUAEUAUgAgAE8ARgAgAEcAUgBB
AFAASABTACoAYQAxADYAMQA4ADUAZQBlAC0AZgA1ADcAZgAtADQAYgBjADUALQA4ADQAZgAwAC0A
ZgBkAGUAMwA0ADQAYwA4ADUAMQA1AGEA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8</w:t>
      </w:r>
      <w:r w:rsidRPr="00403C18">
        <w:fldChar w:fldCharType="end"/>
      </w:r>
      <w:r w:rsidRPr="00403C18">
        <w:t xml:space="preserve">, Graph </w:t>
      </w:r>
      <w:r w:rsidRPr="00403C18">
        <w:fldChar w:fldCharType="begin"/>
      </w:r>
      <w:r w:rsidRPr="00403C18">
        <w:instrText xml:space="preserve"> QUOTE "9"</w:instrText>
      </w:r>
      <w:r w:rsidRPr="00403C18">
        <w:fldChar w:fldCharType="begin">
          <w:fldData xml:space="preserve">QwBSAE8AUwBTAFIARQBGAEUAUgBFAE4AQwBFACoARwBSAEEAUABIACoAOAA1ADIANwA1ADgAZQAz
AC0AYwA4AGUANAAtADQANwA1AGUALQBiADMAOAA4AC0ANABiADkAYgA2ADQAMQAwAGUAYQBhAGUA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9</w:t>
      </w:r>
      <w:r w:rsidRPr="00403C18">
        <w:fldChar w:fldCharType="end"/>
      </w:r>
      <w:r w:rsidRPr="00403C18">
        <w:t xml:space="preserve"> and Table </w:t>
      </w:r>
      <w:r w:rsidRPr="00403C18">
        <w:fldChar w:fldCharType="begin"/>
      </w:r>
      <w:r w:rsidRPr="00403C18">
        <w:instrText xml:space="preserve"> QUOTE "2"</w:instrText>
      </w:r>
      <w:r w:rsidRPr="00403C18">
        <w:fldChar w:fldCharType="begin">
          <w:fldData xml:space="preserve">QwBSAE8AUwBTAFIARQBGAEUAUgBFAE4AQwBFACoAVABBAEIATABFACoAMwAxAGQAYQA5ADQAZAA4
AC0AOQAyAGYANQAtADQAZQA2ADgALQBiADQAMwA4AC0AZAA5AGMAZABiAGYAOAAxADgANgAzAGUA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2</w:t>
      </w:r>
      <w:r w:rsidRPr="00403C18">
        <w:fldChar w:fldCharType="end"/>
      </w:r>
      <w:r w:rsidRPr="00403C18">
        <w:t>).</w:t>
      </w:r>
    </w:p>
    <w:p w14:paraId="29E860CC" w14:textId="77777777" w:rsidR="00A74472" w:rsidRPr="00403C18" w:rsidRDefault="00A74472" w:rsidP="00460C69">
      <w:r w:rsidRPr="00403C18">
        <w:t xml:space="preserve">The AWG risk scenario has an important effect on health care and long-term care expenditure. The projected increase in total age-related expenditure would be 2 ½ pps. of GDP higher than the baseline scenario up to 2070 for both the EU as a whole and the EA. It would entail an increase over the entire projection horizon of 4 pps. in the EU and of 3.6 pps. in the EA (see Graph </w:t>
      </w:r>
      <w:r w:rsidRPr="00403C18">
        <w:fldChar w:fldCharType="begin"/>
      </w:r>
      <w:r w:rsidRPr="00403C18">
        <w:instrText xml:space="preserve"> QUOTE "8"</w:instrText>
      </w:r>
      <w:r w:rsidRPr="00403C18">
        <w:fldChar w:fldCharType="begin">
          <w:fldData xml:space="preserve">QwBSAE8AUwBTAFIARQBGAEUAUgBFAE4AQwBFACoAQwBMAFUAUwBUAEUAUgAgAE8ARgAgAEcAUgBB
AFAASABTACoAYQAxADYAMQA4ADUAZQBlAC0AZgA1ADcAZgAtADQAYgBjADUALQA4ADQAZgAwAC0A
ZgBkAGUAMwA0ADQAYwA4ADUAMQA1AGEA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8</w:t>
      </w:r>
      <w:r w:rsidRPr="00403C18">
        <w:fldChar w:fldCharType="end"/>
      </w:r>
      <w:r w:rsidRPr="00403C18">
        <w:t xml:space="preserve">, Graph </w:t>
      </w:r>
      <w:r w:rsidRPr="00403C18">
        <w:fldChar w:fldCharType="begin"/>
      </w:r>
      <w:r w:rsidRPr="00403C18">
        <w:instrText xml:space="preserve"> QUOTE "9"</w:instrText>
      </w:r>
      <w:r w:rsidRPr="00403C18">
        <w:fldChar w:fldCharType="begin">
          <w:fldData xml:space="preserve">QwBSAE8AUwBTAFIARQBGAEUAUgBFAE4AQwBFACoARwBSAEEAUABIACoAOAA1ADIANwA1ADgAZQAz
AC0AYwA4AGUANAAtADQANwA1AGUALQBiADMAOAA4AC0ANABiADkAYgA2ADQAMQAwAGUAYQBhAGUA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9</w:t>
      </w:r>
      <w:r w:rsidRPr="00403C18">
        <w:fldChar w:fldCharType="end"/>
      </w:r>
      <w:r w:rsidRPr="00403C18">
        <w:t xml:space="preserve"> and Table </w:t>
      </w:r>
      <w:r w:rsidRPr="00403C18">
        <w:fldChar w:fldCharType="begin"/>
      </w:r>
      <w:r w:rsidRPr="00403C18">
        <w:instrText xml:space="preserve"> QUOTE "3"</w:instrText>
      </w:r>
      <w:r w:rsidRPr="00403C18">
        <w:fldChar w:fldCharType="begin">
          <w:fldData xml:space="preserve">QwBSAE8AUwBTAFIARQBGAEUAUgBFAE4AQwBFACoAVABBAEIATABFACoAMgA3ADEANwA5AGYAOAA0
AC0ANQBmADUAZQAtADQAMQBlAGEALQA5ADUANgAzAC0AMAA2AGMAMQA0AGUAZgBjAGIANwA2ADkA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3</w:t>
      </w:r>
      <w:r w:rsidRPr="00403C18">
        <w:fldChar w:fldCharType="end"/>
      </w:r>
      <w:r w:rsidRPr="00403C18">
        <w:t>). However, in both risk scenarios, the EU aggregates mask considerable variety and the expenditure projections are very different across Member States.</w:t>
      </w:r>
    </w:p>
    <w:tbl>
      <w:tblPr>
        <w:tblW w:w="0" w:type="auto"/>
        <w:tblLayout w:type="fixed"/>
        <w:tblCellMar>
          <w:left w:w="0" w:type="dxa"/>
          <w:right w:w="0" w:type="dxa"/>
        </w:tblCellMar>
        <w:tblLook w:val="0000" w:firstRow="0" w:lastRow="0" w:firstColumn="0" w:lastColumn="0" w:noHBand="0" w:noVBand="0"/>
      </w:tblPr>
      <w:tblGrid>
        <w:gridCol w:w="8505"/>
      </w:tblGrid>
      <w:tr w:rsidR="00A74472" w:rsidRPr="00403C18" w14:paraId="0001B3EA" w14:textId="77777777" w:rsidTr="00460C69">
        <w:trPr>
          <w:cantSplit/>
        </w:trPr>
        <w:tc>
          <w:tcPr>
            <w:tcW w:w="8505" w:type="dxa"/>
            <w:shd w:val="clear" w:color="auto" w:fill="auto"/>
          </w:tcPr>
          <w:p w14:paraId="52D63D7D" w14:textId="77777777" w:rsidR="00A74472" w:rsidRPr="00403C18" w:rsidRDefault="00A74472" w:rsidP="00460C69">
            <w:pPr>
              <w:pStyle w:val="GraphTitle"/>
              <w:rPr>
                <w:b/>
              </w:rPr>
            </w:pPr>
            <w:r w:rsidRPr="00403C18">
              <w:lastRenderedPageBreak/>
              <w:t>Graph 9:</w:t>
            </w:r>
            <w:r w:rsidRPr="00403C18">
              <w:rPr>
                <w:b/>
              </w:rPr>
              <w:tab/>
              <w:t>Total age-related expenditure, different scenarios and by component, 2016 and 2070, % of GDP</w:t>
            </w:r>
          </w:p>
        </w:tc>
      </w:tr>
      <w:tr w:rsidR="00A74472" w:rsidRPr="00403C18" w14:paraId="60731836" w14:textId="77777777" w:rsidTr="00460C69">
        <w:trPr>
          <w:cantSplit/>
        </w:trPr>
        <w:tc>
          <w:tcPr>
            <w:tcW w:w="8505" w:type="dxa"/>
            <w:shd w:val="clear" w:color="auto" w:fill="auto"/>
          </w:tcPr>
          <w:p w14:paraId="5C5FC0C4" w14:textId="77777777" w:rsidR="00A74472" w:rsidRPr="00403C18" w:rsidRDefault="00A74472" w:rsidP="00460C69">
            <w:pPr>
              <w:pStyle w:val="GraphShape"/>
              <w:rPr>
                <w:sz w:val="2"/>
              </w:rPr>
            </w:pPr>
            <w:r w:rsidRPr="00403C18">
              <w:fldChar w:fldCharType="begin"/>
            </w:r>
            <w:r w:rsidRPr="009F3ED8">
              <w:instrText xml:space="preserve"> TC "</w:instrText>
            </w:r>
            <w:bookmarkStart w:id="28" w:name="_Toc511664620"/>
            <w:r w:rsidRPr="009F3ED8">
              <w:instrText>9.</w:instrText>
            </w:r>
            <w:r w:rsidRPr="009F3ED8">
              <w:tab/>
              <w:instrText>Total age-related expenditure, different scenarios and by component, 2016 and 2070, % of GDP</w:instrText>
            </w:r>
            <w:bookmarkEnd w:id="28"/>
            <w:r w:rsidRPr="009F3ED8">
              <w:instrText xml:space="preserve">" \fgraph \l 5 </w:instrText>
            </w:r>
            <w:r w:rsidRPr="00403C18">
              <w:fldChar w:fldCharType="end"/>
            </w:r>
            <w:r>
              <w:rPr>
                <w:noProof/>
                <w:sz w:val="2"/>
                <w:lang w:val="hr-HR" w:eastAsia="hr-HR"/>
              </w:rPr>
              <w:drawing>
                <wp:inline distT="0" distB="0" distL="0" distR="0" wp14:anchorId="052A07FD" wp14:editId="388131D4">
                  <wp:extent cx="5388229" cy="2632345"/>
                  <wp:effectExtent l="0" t="0" r="3175" b="0"/>
                  <wp:docPr id="754" name="Picture 754" descr="&lt;nbr&gt;&lt;GETTEXTFROMWORD&gt;&lt;/nbr&gt;&#10;&lt;title&gt;&lt;GETTEXTFROMWORD&gt;&lt;/title&gt;&#10;&lt;id&gt;852758e3-c8e4-475e-b388-4b9b6410eaae&lt;/id&gt;&#10;&lt;srcType&gt;EXCEL&lt;/srcType&gt;&#10;&lt;srcPath&gt;U:\Budgetary projections 2018\Reports\2018 AR\Tables_and_graphs\Part II Chapter 6\&lt;/srcPath&gt;&#10;&lt;srcName&gt;Graphs_tables.xlsx&lt;/srcName&gt;&#10;&lt;type&gt;graph&lt;/type&gt;&#10; &lt;srcSheet&gt;Graph 7 (2)&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54:1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88229" cy="2632345"/>
                          </a:xfrm>
                          <a:prstGeom prst="rect">
                            <a:avLst/>
                          </a:prstGeom>
                          <a:noFill/>
                          <a:ln>
                            <a:noFill/>
                          </a:ln>
                        </pic:spPr>
                      </pic:pic>
                    </a:graphicData>
                  </a:graphic>
                </wp:inline>
              </w:drawing>
            </w:r>
          </w:p>
        </w:tc>
      </w:tr>
      <w:tr w:rsidR="00A74472" w:rsidRPr="00403C18" w14:paraId="2CAC101A" w14:textId="77777777" w:rsidTr="00460C69">
        <w:trPr>
          <w:cantSplit/>
        </w:trPr>
        <w:tc>
          <w:tcPr>
            <w:tcW w:w="8505" w:type="dxa"/>
            <w:shd w:val="clear" w:color="auto" w:fill="auto"/>
            <w:tcMar>
              <w:bottom w:w="240" w:type="dxa"/>
            </w:tcMar>
          </w:tcPr>
          <w:p w14:paraId="3A74C4BB" w14:textId="77777777" w:rsidR="00A74472" w:rsidRPr="00403C18" w:rsidRDefault="00A74472" w:rsidP="00460C69">
            <w:pPr>
              <w:pStyle w:val="GraphSource"/>
              <w:keepNext/>
            </w:pPr>
            <w:r w:rsidRPr="00403C18">
              <w:rPr>
                <w:b/>
                <w:i/>
              </w:rPr>
              <w:t>Source:</w:t>
            </w:r>
            <w:r w:rsidRPr="00403C18">
              <w:t xml:space="preserve"> Commission services, EPC.</w:t>
            </w:r>
          </w:p>
        </w:tc>
      </w:tr>
    </w:tbl>
    <w:p w14:paraId="5FF28AF0" w14:textId="77777777" w:rsidR="00A74472" w:rsidRPr="00403C18" w:rsidRDefault="00A74472" w:rsidP="00460C69">
      <w:pPr>
        <w:pStyle w:val="Heading"/>
      </w:pPr>
      <w:r w:rsidRPr="00403C18">
        <w:t xml:space="preserve">A slightly higher projected increase in age-related spending projections now compared with the 2015 Ageing Report </w:t>
      </w:r>
    </w:p>
    <w:p w14:paraId="76C8FCB0" w14:textId="77777777" w:rsidR="00A74472" w:rsidRPr="00403C18" w:rsidRDefault="00A74472" w:rsidP="00460C69">
      <w:r w:rsidRPr="00403C18">
        <w:t>Total age-related public expenditure according to the baseline scenario is now projected to rise more in all EU countries except EE, EL, FR, LT, MT, NL, SK and FI compared with the projections in the 2015 Ageing Report up to 2060 (</w:t>
      </w:r>
      <w:r w:rsidRPr="00403C18">
        <w:rPr>
          <w:rStyle w:val="Referencafusnote"/>
        </w:rPr>
        <w:footnoteReference w:id="13"/>
      </w:r>
      <w:r w:rsidRPr="00403C18">
        <w:t xml:space="preserve">). Age-related expenditure was however slightly lower in 2016 than projected in the 2015 Ageing Report in the EU (-0.5 pps. of GDP). The higher projected increase is mainly due to higher increases in pension expenditure over the long-term (see Graph </w:t>
      </w:r>
      <w:r w:rsidRPr="00403C18">
        <w:fldChar w:fldCharType="begin"/>
      </w:r>
      <w:r w:rsidRPr="00403C18">
        <w:instrText xml:space="preserve"> QUOTE "10"</w:instrText>
      </w:r>
      <w:r w:rsidRPr="00403C18">
        <w:fldChar w:fldCharType="begin">
          <w:fldData xml:space="preserve">QwBSAE8AUwBTAFIARQBGAEUAUgBFAE4AQwBFACoAQwBMAFUAUwBUAEUAUgAgAE8ARgAgAEcAUgBB
AFAASABTACoAMgBjADYAYgBjADEAMwBmAC0AZAAwAGYAZAAtADQAMgBjADAALQBiAGIANQA1AC0A
NQBkADgAMAAxADIANgBkADYAOAA2AGMA
</w:fldData>
        </w:fldChar>
      </w:r>
      <w:r w:rsidRPr="00403C18">
        <w:instrText xml:space="preserve"> ADDIN </w:instrText>
      </w:r>
      <w:r w:rsidRPr="00403C18">
        <w:fldChar w:fldCharType="end"/>
      </w:r>
      <w:r w:rsidRPr="00403C18">
        <w:instrText xml:space="preserve"> </w:instrText>
      </w:r>
      <w:r w:rsidRPr="00403C18">
        <w:fldChar w:fldCharType="separate"/>
      </w:r>
      <w:r w:rsidR="009F3ED8" w:rsidRPr="00403C18">
        <w:t>10</w:t>
      </w:r>
      <w:r w:rsidRPr="00403C18">
        <w:fldChar w:fldCharType="end"/>
      </w:r>
      <w:r w:rsidRPr="00403C18">
        <w:t xml:space="preserve">), and also to long-term care expenditure. This reflects a more pronounced population ageing effect in the EU up to 2060 according to the latest Eurostat population projection, but also the impact of reducing the retirement age in the future in some countries (e.g. CZ and PL), which has led to higher pension expenditure increases.   </w:t>
      </w:r>
    </w:p>
    <w:tbl>
      <w:tblPr>
        <w:tblW w:w="0" w:type="auto"/>
        <w:tblLayout w:type="fixed"/>
        <w:tblCellMar>
          <w:left w:w="0" w:type="dxa"/>
          <w:right w:w="0" w:type="dxa"/>
        </w:tblCellMar>
        <w:tblLook w:val="0000" w:firstRow="0" w:lastRow="0" w:firstColumn="0" w:lastColumn="0" w:noHBand="0" w:noVBand="0"/>
      </w:tblPr>
      <w:tblGrid>
        <w:gridCol w:w="8505"/>
      </w:tblGrid>
      <w:tr w:rsidR="00A74472" w:rsidRPr="00403C18" w14:paraId="7BBBE456" w14:textId="77777777" w:rsidTr="00460C69">
        <w:trPr>
          <w:cantSplit/>
        </w:trPr>
        <w:tc>
          <w:tcPr>
            <w:tcW w:w="8505" w:type="dxa"/>
            <w:shd w:val="clear" w:color="auto" w:fill="auto"/>
          </w:tcPr>
          <w:p w14:paraId="1792F489" w14:textId="77777777" w:rsidR="00A74472" w:rsidRPr="00403C18" w:rsidRDefault="00A74472" w:rsidP="00460C69">
            <w:pPr>
              <w:pStyle w:val="GraphTitle"/>
              <w:rPr>
                <w:b/>
              </w:rPr>
            </w:pPr>
            <w:r w:rsidRPr="00403C18">
              <w:t>Graph 10:</w:t>
            </w:r>
            <w:r w:rsidRPr="00403C18">
              <w:rPr>
                <w:b/>
              </w:rPr>
              <w:tab/>
              <w:t>Projected change in age-related and pension expenditure compared, 2018 and 2015 AR, 2016-60, pps. of GDP</w:t>
            </w:r>
          </w:p>
        </w:tc>
      </w:tr>
      <w:tr w:rsidR="00A74472" w:rsidRPr="00403C18" w14:paraId="45DD790E" w14:textId="77777777" w:rsidTr="00460C69">
        <w:trPr>
          <w:cantSplit/>
        </w:trPr>
        <w:tc>
          <w:tcPr>
            <w:tcW w:w="8505" w:type="dxa"/>
            <w:shd w:val="clear" w:color="auto" w:fill="auto"/>
          </w:tcPr>
          <w:p w14:paraId="7233BCC3" w14:textId="77777777" w:rsidR="00A74472" w:rsidRPr="00403C18" w:rsidRDefault="00A74472" w:rsidP="00460C69">
            <w:pPr>
              <w:pStyle w:val="GraphShape"/>
              <w:rPr>
                <w:sz w:val="2"/>
              </w:rPr>
            </w:pPr>
            <w:r w:rsidRPr="00403C18">
              <w:fldChar w:fldCharType="begin"/>
            </w:r>
            <w:r w:rsidRPr="009F3ED8">
              <w:instrText xml:space="preserve"> TC "</w:instrText>
            </w:r>
            <w:bookmarkStart w:id="29" w:name="_Toc511664621"/>
            <w:r w:rsidRPr="009F3ED8">
              <w:instrText>10.</w:instrText>
            </w:r>
            <w:r w:rsidRPr="009F3ED8">
              <w:tab/>
              <w:instrText>Projected change in age-related and pension expenditure compared, 2018 and 2015 AR, 2016-60, pps. of GDP</w:instrText>
            </w:r>
            <w:bookmarkEnd w:id="29"/>
            <w:r w:rsidRPr="009F3ED8">
              <w:instrText xml:space="preserve">" \fgraph \l 5 </w:instrText>
            </w:r>
            <w:r w:rsidRPr="00403C18">
              <w:fldChar w:fldCharType="end"/>
            </w:r>
            <w:r>
              <w:rPr>
                <w:noProof/>
                <w:sz w:val="2"/>
                <w:lang w:val="hr-HR" w:eastAsia="hr-HR"/>
              </w:rPr>
              <w:drawing>
                <wp:inline distT="0" distB="0" distL="0" distR="0" wp14:anchorId="4F615F57" wp14:editId="659377D3">
                  <wp:extent cx="5388229" cy="1967131"/>
                  <wp:effectExtent l="0" t="0" r="3175" b="0"/>
                  <wp:docPr id="5" name="Picture 5" descr="&lt;nbr&gt;&lt;GETTEXTFROMWORD&gt;&lt;/nbr&gt;&#10;&lt;title&gt;&lt;GETTEXTFROMWORD&gt;&lt;/title&gt;&#10;&lt;id&gt;2c6bc13f-d0fd-42c0-bb55-5d80126d686c&lt;/id&gt;&#10;&lt;srcType&gt;EXCEL&lt;/srcType&gt;&#10;&lt;srcPath&gt;U:\Budgetary projections 2018\Reports\2018 AR\Tables_and_graphs\Part II Chapter 6\&lt;/srcPath&gt;&#10;&lt;srcName&gt;Graphs_tables.xlsx&lt;/srcName&gt;&#10;&lt;type&gt;clusterofgraphs&lt;/type&gt;&#10; &lt;srcSheet&gt;Graph 6&lt;/srcSheet&gt;&#10; &lt;individualNumbers&gt;no&lt;/individualNumbers&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54:1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88229" cy="1967131"/>
                          </a:xfrm>
                          <a:prstGeom prst="rect">
                            <a:avLst/>
                          </a:prstGeom>
                          <a:noFill/>
                          <a:ln>
                            <a:noFill/>
                          </a:ln>
                        </pic:spPr>
                      </pic:pic>
                    </a:graphicData>
                  </a:graphic>
                </wp:inline>
              </w:drawing>
            </w:r>
          </w:p>
        </w:tc>
      </w:tr>
      <w:tr w:rsidR="00A74472" w:rsidRPr="00403C18" w14:paraId="4A30D2E0" w14:textId="77777777" w:rsidTr="00460C69">
        <w:trPr>
          <w:cantSplit/>
        </w:trPr>
        <w:tc>
          <w:tcPr>
            <w:tcW w:w="8505" w:type="dxa"/>
            <w:shd w:val="clear" w:color="auto" w:fill="auto"/>
            <w:tcMar>
              <w:bottom w:w="240" w:type="dxa"/>
            </w:tcMar>
          </w:tcPr>
          <w:p w14:paraId="5C79DD6F" w14:textId="77777777" w:rsidR="00A74472" w:rsidRPr="00403C18" w:rsidRDefault="00A74472" w:rsidP="00460C69">
            <w:pPr>
              <w:pStyle w:val="GraphSource"/>
              <w:keepNext/>
            </w:pPr>
            <w:r w:rsidRPr="00403C18">
              <w:rPr>
                <w:b/>
                <w:i/>
              </w:rPr>
              <w:t>Source:</w:t>
            </w:r>
            <w:r w:rsidRPr="00403C18">
              <w:t xml:space="preserve"> Commission services, EPC.</w:t>
            </w:r>
          </w:p>
        </w:tc>
      </w:tr>
    </w:tbl>
    <w:p w14:paraId="4E16B643" w14:textId="77777777" w:rsidR="00A74472" w:rsidRPr="00403C18" w:rsidRDefault="00A74472" w:rsidP="00460C69">
      <w:pPr>
        <w:pStyle w:val="MultipageDelimiter"/>
      </w:pPr>
    </w:p>
    <w:tbl>
      <w:tblPr>
        <w:tblpPr w:horzAnchor="margin" w:tblpYSpec="top"/>
        <w:tblOverlap w:val="never"/>
        <w:tblW w:w="0" w:type="auto"/>
        <w:tblLayout w:type="fixed"/>
        <w:tblCellMar>
          <w:left w:w="0" w:type="dxa"/>
          <w:right w:w="0" w:type="dxa"/>
        </w:tblCellMar>
        <w:tblLook w:val="0000" w:firstRow="0" w:lastRow="0" w:firstColumn="0" w:lastColumn="0" w:noHBand="0" w:noVBand="0"/>
      </w:tblPr>
      <w:tblGrid>
        <w:gridCol w:w="20"/>
        <w:gridCol w:w="273"/>
        <w:gridCol w:w="5742"/>
        <w:gridCol w:w="540"/>
        <w:gridCol w:w="1930"/>
      </w:tblGrid>
      <w:tr w:rsidR="00A74472" w:rsidRPr="00403C18" w14:paraId="491478EA" w14:textId="77777777" w:rsidTr="00460C69">
        <w:trPr>
          <w:cantSplit/>
          <w:trHeight w:val="12632"/>
        </w:trPr>
        <w:tc>
          <w:tcPr>
            <w:tcW w:w="6" w:type="dxa"/>
            <w:shd w:val="clear" w:color="auto" w:fill="auto"/>
            <w:textDirection w:val="btLr"/>
          </w:tcPr>
          <w:p w14:paraId="585B0ED7" w14:textId="77777777" w:rsidR="00A74472" w:rsidRPr="00403C18" w:rsidRDefault="00A74472" w:rsidP="00460C69">
            <w:pPr>
              <w:pStyle w:val="SlimCell"/>
            </w:pPr>
            <w:r w:rsidRPr="00403C18">
              <w:lastRenderedPageBreak/>
              <w:fldChar w:fldCharType="begin"/>
            </w:r>
            <w:r w:rsidRPr="009F3ED8">
              <w:instrText xml:space="preserve"> TC "</w:instrText>
            </w:r>
            <w:bookmarkStart w:id="30" w:name="_Toc511664505"/>
            <w:r w:rsidRPr="009F3ED8">
              <w:instrText>1.</w:instrText>
            </w:r>
            <w:r w:rsidRPr="009F3ED8">
              <w:tab/>
              <w:instrText>Overview of the 2018 long-term budgetary projections – Baseline scenario</w:instrText>
            </w:r>
            <w:bookmarkEnd w:id="30"/>
            <w:r w:rsidRPr="009F3ED8">
              <w:instrText xml:space="preserve">" \ftable \l 5 </w:instrText>
            </w:r>
            <w:r w:rsidRPr="00403C18">
              <w:fldChar w:fldCharType="end"/>
            </w:r>
            <w:r w:rsidRPr="00403C18">
              <w:fldChar w:fldCharType="begin"/>
            </w:r>
            <w:r w:rsidRPr="009F3ED8">
              <w:instrText xml:space="preserve"> TC "</w:instrText>
            </w:r>
            <w:bookmarkStart w:id="31" w:name="_Toc511664506"/>
            <w:r w:rsidRPr="009F3ED8">
              <w:instrText>2.</w:instrText>
            </w:r>
            <w:r w:rsidRPr="009F3ED8">
              <w:tab/>
              <w:instrText>Overview of the 2018 long-term budgetary projections – TFP risk scenario</w:instrText>
            </w:r>
            <w:bookmarkEnd w:id="31"/>
            <w:r w:rsidRPr="009F3ED8">
              <w:instrText xml:space="preserve">" \ftable \l 5 </w:instrText>
            </w:r>
            <w:r w:rsidRPr="00403C18">
              <w:fldChar w:fldCharType="end"/>
            </w:r>
            <w:r w:rsidRPr="00403C18">
              <w:fldChar w:fldCharType="begin"/>
            </w:r>
            <w:r w:rsidRPr="009F3ED8">
              <w:instrText xml:space="preserve"> TC "</w:instrText>
            </w:r>
            <w:bookmarkStart w:id="32" w:name="_Toc511664507"/>
            <w:r w:rsidRPr="009F3ED8">
              <w:instrText>3.</w:instrText>
            </w:r>
            <w:r w:rsidRPr="009F3ED8">
              <w:tab/>
              <w:instrText>Overview of the 2018 long-term budgetary projections – AWG risk scenario</w:instrText>
            </w:r>
            <w:bookmarkEnd w:id="32"/>
            <w:r w:rsidRPr="009F3ED8">
              <w:instrText xml:space="preserve">" \ftable \l 5 </w:instrText>
            </w:r>
            <w:r w:rsidRPr="00403C18">
              <w:fldChar w:fldCharType="end"/>
            </w:r>
          </w:p>
        </w:tc>
        <w:tc>
          <w:tcPr>
            <w:tcW w:w="273" w:type="dxa"/>
            <w:shd w:val="clear" w:color="auto" w:fill="auto"/>
            <w:textDirection w:val="btLr"/>
          </w:tcPr>
          <w:p w14:paraId="38553A87" w14:textId="77777777" w:rsidR="00A74472" w:rsidRPr="00403C18" w:rsidRDefault="00A74472" w:rsidP="00460C69">
            <w:pPr>
              <w:pStyle w:val="TableTitle"/>
              <w:rPr>
                <w:b/>
              </w:rPr>
            </w:pPr>
            <w:r w:rsidRPr="00403C18">
              <w:t>Table 1:</w:t>
            </w:r>
            <w:r w:rsidRPr="00403C18">
              <w:rPr>
                <w:b/>
              </w:rPr>
              <w:tab/>
              <w:t>Overview of the 2018 long-term budgetary projections – Baseline scenario</w:t>
            </w:r>
          </w:p>
        </w:tc>
        <w:tc>
          <w:tcPr>
            <w:tcW w:w="5742" w:type="dxa"/>
            <w:shd w:val="clear" w:color="auto" w:fill="auto"/>
            <w:textDirection w:val="btLr"/>
          </w:tcPr>
          <w:p w14:paraId="38B32084" w14:textId="77777777" w:rsidR="00A74472" w:rsidRPr="00403C18" w:rsidRDefault="00A74472" w:rsidP="00460C69">
            <w:pPr>
              <w:pStyle w:val="TableShape"/>
              <w:jc w:val="right"/>
              <w:rPr>
                <w:sz w:val="2"/>
              </w:rPr>
            </w:pPr>
            <w:r>
              <w:rPr>
                <w:noProof/>
                <w:sz w:val="2"/>
                <w:lang w:val="hr-HR" w:eastAsia="hr-HR"/>
              </w:rPr>
              <w:drawing>
                <wp:inline distT="0" distB="0" distL="0" distR="0" wp14:anchorId="6568D715" wp14:editId="02101D05">
                  <wp:extent cx="7985515" cy="3642516"/>
                  <wp:effectExtent l="0" t="317" r="0" b="0"/>
                  <wp:docPr id="755" name="Picture 755" descr="&lt;nbr&gt;&lt;GETTEXTFROMWORD&gt;&lt;/nbr&gt;&#10;&lt;title&gt;&lt;GETTEXTFROMWORD&gt;&lt;/title&gt;&#10;&lt;id&gt;f69b2f18-d99a-4f47-8da4-ac80002ca8c2&lt;/id&gt;&#10;&lt;srcType&gt;EXCEL&lt;/srcType&gt;&#10;&lt;srcPath&gt;U:\Budgetary projections 2018\Reports\2018 AR\Tables_and_graphs\Part II Chapter 6\&lt;/srcPath&gt;&#10;&lt;srcName&gt;Graphs_tables.xlsx&lt;/srcName&gt;&#10;&lt;type&gt;table&lt;/type&gt;&#10; &lt;srcSheet&gt;Baseline_dif&lt;/srcSheet&gt;&#10; &lt;srcRange&gt;R2C2:R40C24&lt;/srcRange&gt;&#10;&lt;pos&gt;landscap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54:1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7985515" cy="3642516"/>
                          </a:xfrm>
                          <a:prstGeom prst="rect">
                            <a:avLst/>
                          </a:prstGeom>
                          <a:noFill/>
                          <a:ln>
                            <a:noFill/>
                          </a:ln>
                        </pic:spPr>
                      </pic:pic>
                    </a:graphicData>
                  </a:graphic>
                </wp:inline>
              </w:drawing>
            </w:r>
          </w:p>
        </w:tc>
        <w:tc>
          <w:tcPr>
            <w:tcW w:w="540" w:type="dxa"/>
            <w:shd w:val="clear" w:color="auto" w:fill="auto"/>
            <w:textDirection w:val="btLr"/>
          </w:tcPr>
          <w:p w14:paraId="4AF328C4" w14:textId="77777777" w:rsidR="00A74472" w:rsidRDefault="00A74472" w:rsidP="00460C69">
            <w:pPr>
              <w:pStyle w:val="TableFootnote"/>
            </w:pPr>
            <w:r>
              <w:t>Note: EA: euro area; EU*: All 28 Member States; EU27: All EU Member States except the UK; EU*s: non-weighted EU average.</w:t>
            </w:r>
          </w:p>
          <w:p w14:paraId="6D6FC59C" w14:textId="77777777" w:rsidR="00A74472" w:rsidRPr="00403C18" w:rsidRDefault="00A74472" w:rsidP="00460C69">
            <w:pPr>
              <w:pStyle w:val="TableSource"/>
            </w:pPr>
            <w:r w:rsidRPr="00403C18">
              <w:rPr>
                <w:b/>
                <w:i/>
              </w:rPr>
              <w:t>Source:</w:t>
            </w:r>
            <w:r w:rsidRPr="00403C18">
              <w:t xml:space="preserve">  Commission services, EPC.</w:t>
            </w:r>
          </w:p>
        </w:tc>
        <w:tc>
          <w:tcPr>
            <w:tcW w:w="1930" w:type="dxa"/>
            <w:shd w:val="clear" w:color="auto" w:fill="auto"/>
            <w:textDirection w:val="btLr"/>
          </w:tcPr>
          <w:p w14:paraId="73FCECC7" w14:textId="77777777" w:rsidR="00A74472" w:rsidRPr="00403C18" w:rsidRDefault="00A74472" w:rsidP="00460C69">
            <w:pPr>
              <w:pStyle w:val="SlimCell"/>
            </w:pPr>
          </w:p>
        </w:tc>
      </w:tr>
    </w:tbl>
    <w:p w14:paraId="316F9521" w14:textId="77777777" w:rsidR="00A74472" w:rsidRPr="00403C18" w:rsidRDefault="00A74472" w:rsidP="00460C69">
      <w:pPr>
        <w:pStyle w:val="MultipageDelimiter"/>
      </w:pPr>
    </w:p>
    <w:tbl>
      <w:tblPr>
        <w:tblpPr w:horzAnchor="margin" w:tblpYSpec="top"/>
        <w:tblOverlap w:val="never"/>
        <w:tblW w:w="0" w:type="auto"/>
        <w:tblLayout w:type="fixed"/>
        <w:tblCellMar>
          <w:left w:w="0" w:type="dxa"/>
          <w:right w:w="0" w:type="dxa"/>
        </w:tblCellMar>
        <w:tblLook w:val="0000" w:firstRow="0" w:lastRow="0" w:firstColumn="0" w:lastColumn="0" w:noHBand="0" w:noVBand="0"/>
      </w:tblPr>
      <w:tblGrid>
        <w:gridCol w:w="20"/>
        <w:gridCol w:w="273"/>
        <w:gridCol w:w="5676"/>
        <w:gridCol w:w="273"/>
        <w:gridCol w:w="2263"/>
      </w:tblGrid>
      <w:tr w:rsidR="00A74472" w:rsidRPr="00403C18" w14:paraId="508B4520" w14:textId="77777777" w:rsidTr="00460C69">
        <w:trPr>
          <w:cantSplit/>
          <w:trHeight w:val="12632"/>
        </w:trPr>
        <w:tc>
          <w:tcPr>
            <w:tcW w:w="6" w:type="dxa"/>
            <w:shd w:val="clear" w:color="auto" w:fill="auto"/>
            <w:textDirection w:val="btLr"/>
          </w:tcPr>
          <w:p w14:paraId="20B8F0F3" w14:textId="77777777" w:rsidR="00A74472" w:rsidRPr="00403C18" w:rsidRDefault="00A74472" w:rsidP="00460C69">
            <w:pPr>
              <w:pStyle w:val="SlimCell"/>
            </w:pPr>
          </w:p>
        </w:tc>
        <w:tc>
          <w:tcPr>
            <w:tcW w:w="273" w:type="dxa"/>
            <w:shd w:val="clear" w:color="auto" w:fill="auto"/>
            <w:textDirection w:val="btLr"/>
          </w:tcPr>
          <w:p w14:paraId="72006B92" w14:textId="77777777" w:rsidR="00A74472" w:rsidRPr="00403C18" w:rsidRDefault="00A74472" w:rsidP="00460C69">
            <w:pPr>
              <w:pStyle w:val="TableTitle"/>
              <w:rPr>
                <w:b/>
              </w:rPr>
            </w:pPr>
            <w:r w:rsidRPr="00403C18">
              <w:t>Table 2:</w:t>
            </w:r>
            <w:r w:rsidRPr="00403C18">
              <w:rPr>
                <w:b/>
              </w:rPr>
              <w:tab/>
              <w:t>Overview of the 2018 long-term budgetary projections – TFP risk scenario</w:t>
            </w:r>
          </w:p>
        </w:tc>
        <w:tc>
          <w:tcPr>
            <w:tcW w:w="5676" w:type="dxa"/>
            <w:shd w:val="clear" w:color="auto" w:fill="auto"/>
            <w:textDirection w:val="btLr"/>
          </w:tcPr>
          <w:p w14:paraId="152BC351" w14:textId="77777777" w:rsidR="00A74472" w:rsidRPr="00403C18" w:rsidRDefault="00A74472" w:rsidP="00460C69">
            <w:pPr>
              <w:pStyle w:val="TableShape"/>
              <w:jc w:val="right"/>
              <w:rPr>
                <w:sz w:val="2"/>
              </w:rPr>
            </w:pPr>
            <w:r>
              <w:rPr>
                <w:noProof/>
                <w:sz w:val="2"/>
                <w:lang w:val="hr-HR" w:eastAsia="hr-HR"/>
              </w:rPr>
              <w:drawing>
                <wp:inline distT="0" distB="0" distL="0" distR="0" wp14:anchorId="3F35FADE" wp14:editId="14E5FD61">
                  <wp:extent cx="7985515" cy="3593482"/>
                  <wp:effectExtent l="5080" t="0" r="1905" b="1905"/>
                  <wp:docPr id="756" name="Picture 756" descr="&lt;nbr&gt;&lt;GETTEXTFROMWORD&gt;&lt;/nbr&gt;&#10;&lt;title&gt;&lt;GETTEXTFROMWORD&gt;&lt;/title&gt;&#10;&lt;id&gt;31da94d8-92f5-4e68-b438-d9cdbf81863e&lt;/id&gt;&#10;&lt;srcType&gt;EXCEL&lt;/srcType&gt;&#10;&lt;srcPath&gt;U:\Budgetary projections 2018\Reports\2018 AR\Tables_and_graphs\Part II Chapter 6\&lt;/srcPath&gt;&#10;&lt;srcName&gt;Graphs_tables.xlsx&lt;/srcName&gt;&#10;&lt;type&gt;table&lt;/type&gt;&#10; &lt;srcSheet&gt;TFP_risk_dif&lt;/srcSheet&gt;&#10; &lt;srcRange&gt;R2C2:R40C24&lt;/srcRange&gt;&#10;&lt;pos&gt;landscap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54:1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7985515" cy="3593482"/>
                          </a:xfrm>
                          <a:prstGeom prst="rect">
                            <a:avLst/>
                          </a:prstGeom>
                          <a:noFill/>
                          <a:ln>
                            <a:noFill/>
                          </a:ln>
                        </pic:spPr>
                      </pic:pic>
                    </a:graphicData>
                  </a:graphic>
                </wp:inline>
              </w:drawing>
            </w:r>
          </w:p>
        </w:tc>
        <w:tc>
          <w:tcPr>
            <w:tcW w:w="273" w:type="dxa"/>
            <w:shd w:val="clear" w:color="auto" w:fill="auto"/>
            <w:textDirection w:val="btLr"/>
          </w:tcPr>
          <w:p w14:paraId="4AF0B6E4" w14:textId="77777777" w:rsidR="00A74472" w:rsidRPr="00403C18" w:rsidRDefault="00A74472" w:rsidP="00460C69">
            <w:pPr>
              <w:pStyle w:val="TableSource"/>
            </w:pPr>
            <w:r w:rsidRPr="00403C18">
              <w:rPr>
                <w:b/>
                <w:i/>
              </w:rPr>
              <w:t>Source:</w:t>
            </w:r>
            <w:r w:rsidRPr="00403C18">
              <w:t xml:space="preserve">  Commission services, EPC.</w:t>
            </w:r>
          </w:p>
        </w:tc>
        <w:tc>
          <w:tcPr>
            <w:tcW w:w="2263" w:type="dxa"/>
            <w:shd w:val="clear" w:color="auto" w:fill="auto"/>
            <w:textDirection w:val="btLr"/>
          </w:tcPr>
          <w:p w14:paraId="0FA53913" w14:textId="77777777" w:rsidR="00A74472" w:rsidRPr="00403C18" w:rsidRDefault="00A74472" w:rsidP="00460C69">
            <w:pPr>
              <w:pStyle w:val="SlimCell"/>
            </w:pPr>
          </w:p>
        </w:tc>
      </w:tr>
    </w:tbl>
    <w:p w14:paraId="09E7B173" w14:textId="77777777" w:rsidR="00A74472" w:rsidRPr="00403C18" w:rsidRDefault="00A74472" w:rsidP="00460C69">
      <w:pPr>
        <w:pStyle w:val="MultipageDelimiter"/>
      </w:pPr>
    </w:p>
    <w:tbl>
      <w:tblPr>
        <w:tblpPr w:horzAnchor="margin" w:tblpYSpec="top"/>
        <w:tblOverlap w:val="never"/>
        <w:tblW w:w="0" w:type="auto"/>
        <w:tblLayout w:type="fixed"/>
        <w:tblCellMar>
          <w:left w:w="0" w:type="dxa"/>
          <w:right w:w="0" w:type="dxa"/>
        </w:tblCellMar>
        <w:tblLook w:val="0000" w:firstRow="0" w:lastRow="0" w:firstColumn="0" w:lastColumn="0" w:noHBand="0" w:noVBand="0"/>
      </w:tblPr>
      <w:tblGrid>
        <w:gridCol w:w="20"/>
        <w:gridCol w:w="273"/>
        <w:gridCol w:w="5693"/>
        <w:gridCol w:w="273"/>
        <w:gridCol w:w="2246"/>
      </w:tblGrid>
      <w:tr w:rsidR="00A74472" w:rsidRPr="00403C18" w14:paraId="51193F84" w14:textId="77777777" w:rsidTr="00460C69">
        <w:trPr>
          <w:cantSplit/>
          <w:trHeight w:val="12632"/>
        </w:trPr>
        <w:tc>
          <w:tcPr>
            <w:tcW w:w="6" w:type="dxa"/>
            <w:shd w:val="clear" w:color="auto" w:fill="auto"/>
            <w:textDirection w:val="btLr"/>
          </w:tcPr>
          <w:p w14:paraId="188F2D92" w14:textId="77777777" w:rsidR="00A74472" w:rsidRPr="00403C18" w:rsidRDefault="00A74472" w:rsidP="00460C69">
            <w:pPr>
              <w:pStyle w:val="SlimCell"/>
            </w:pPr>
          </w:p>
        </w:tc>
        <w:tc>
          <w:tcPr>
            <w:tcW w:w="273" w:type="dxa"/>
            <w:shd w:val="clear" w:color="auto" w:fill="auto"/>
            <w:textDirection w:val="btLr"/>
          </w:tcPr>
          <w:p w14:paraId="47D3F4A2" w14:textId="77777777" w:rsidR="00A74472" w:rsidRPr="00403C18" w:rsidRDefault="00A74472" w:rsidP="00460C69">
            <w:pPr>
              <w:pStyle w:val="TableTitle"/>
              <w:rPr>
                <w:b/>
              </w:rPr>
            </w:pPr>
            <w:r w:rsidRPr="00403C18">
              <w:t>Table 3:</w:t>
            </w:r>
            <w:r w:rsidRPr="00403C18">
              <w:rPr>
                <w:b/>
              </w:rPr>
              <w:tab/>
              <w:t>Overview of the 2018 long-term budgetary projections – AWG risk scenario</w:t>
            </w:r>
          </w:p>
        </w:tc>
        <w:tc>
          <w:tcPr>
            <w:tcW w:w="5693" w:type="dxa"/>
            <w:shd w:val="clear" w:color="auto" w:fill="auto"/>
            <w:textDirection w:val="btLr"/>
          </w:tcPr>
          <w:p w14:paraId="295CC657" w14:textId="77777777" w:rsidR="00A74472" w:rsidRPr="00403C18" w:rsidRDefault="00A74472" w:rsidP="00460C69">
            <w:pPr>
              <w:pStyle w:val="TableShape"/>
              <w:jc w:val="right"/>
              <w:rPr>
                <w:sz w:val="2"/>
              </w:rPr>
            </w:pPr>
            <w:r>
              <w:rPr>
                <w:noProof/>
                <w:sz w:val="2"/>
                <w:lang w:val="hr-HR" w:eastAsia="hr-HR"/>
              </w:rPr>
              <w:drawing>
                <wp:inline distT="0" distB="0" distL="0" distR="0" wp14:anchorId="56363DD7" wp14:editId="79EF4582">
                  <wp:extent cx="7985515" cy="3611823"/>
                  <wp:effectExtent l="0" t="3810" r="0" b="0"/>
                  <wp:docPr id="757" name="Picture 757" descr="&lt;nbr&gt;&lt;GETTEXTFROMWORD&gt;&lt;/nbr&gt;&#10;&lt;title&gt;&lt;GETTEXTFROMWORD&gt;&lt;/title&gt;&#10;&lt;id&gt;27179f84-5f5e-41ea-9563-06c14efcb769&lt;/id&gt;&#10;&lt;srcType&gt;EXCEL&lt;/srcType&gt;&#10;&lt;srcPath&gt;U:\Budgetary projections 2018\Reports\2018 AR\Tables_and_graphs\Part II Chapter 6\&lt;/srcPath&gt;&#10;&lt;srcName&gt;Graphs_tables.xlsx&lt;/srcName&gt;&#10;&lt;type&gt;table&lt;/type&gt;&#10; &lt;srcSheet&gt;Risk_dif&lt;/srcSheet&gt;&#10; &lt;srcRange&gt;R2C2:R40C24&lt;/srcRange&gt;&#10;&lt;pos&gt;landscap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54:1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7985515" cy="3611823"/>
                          </a:xfrm>
                          <a:prstGeom prst="rect">
                            <a:avLst/>
                          </a:prstGeom>
                          <a:noFill/>
                          <a:ln>
                            <a:noFill/>
                          </a:ln>
                        </pic:spPr>
                      </pic:pic>
                    </a:graphicData>
                  </a:graphic>
                </wp:inline>
              </w:drawing>
            </w:r>
          </w:p>
        </w:tc>
        <w:tc>
          <w:tcPr>
            <w:tcW w:w="273" w:type="dxa"/>
            <w:shd w:val="clear" w:color="auto" w:fill="auto"/>
            <w:textDirection w:val="btLr"/>
          </w:tcPr>
          <w:p w14:paraId="6731C920" w14:textId="77777777" w:rsidR="00A74472" w:rsidRPr="00403C18" w:rsidRDefault="00A74472" w:rsidP="00460C69">
            <w:pPr>
              <w:pStyle w:val="TableSource"/>
            </w:pPr>
            <w:r w:rsidRPr="00403C18">
              <w:rPr>
                <w:b/>
                <w:i/>
              </w:rPr>
              <w:t>Source:</w:t>
            </w:r>
            <w:r w:rsidRPr="00403C18">
              <w:t xml:space="preserve">  Commission services, EPC.</w:t>
            </w:r>
          </w:p>
        </w:tc>
        <w:tc>
          <w:tcPr>
            <w:tcW w:w="2246" w:type="dxa"/>
            <w:shd w:val="clear" w:color="auto" w:fill="auto"/>
            <w:textDirection w:val="btLr"/>
          </w:tcPr>
          <w:p w14:paraId="7BFDC270" w14:textId="77777777" w:rsidR="00A74472" w:rsidRPr="00403C18" w:rsidRDefault="00A74472" w:rsidP="00460C69">
            <w:pPr>
              <w:pStyle w:val="SlimCell"/>
            </w:pPr>
          </w:p>
        </w:tc>
      </w:tr>
      <w:bookmarkEnd w:id="16"/>
    </w:tbl>
    <w:p w14:paraId="50A69C78" w14:textId="77777777" w:rsidR="00A74472" w:rsidRPr="00A74472" w:rsidRDefault="00A74472" w:rsidP="00460C69">
      <w:pPr>
        <w:sectPr w:rsidR="00A74472" w:rsidRPr="00A74472" w:rsidSect="00A74472">
          <w:headerReference w:type="even" r:id="rId35"/>
          <w:headerReference w:type="default" r:id="rId36"/>
          <w:footerReference w:type="even" r:id="rId37"/>
          <w:footerReference w:type="default" r:id="rId38"/>
          <w:headerReference w:type="first" r:id="rId39"/>
          <w:footerReference w:type="first" r:id="rId40"/>
          <w:endnotePr>
            <w:numFmt w:val="decimal"/>
            <w:numRestart w:val="eachSect"/>
          </w:endnotePr>
          <w:pgSz w:w="11907" w:h="16839"/>
          <w:pgMar w:top="2693" w:right="1701" w:bottom="1417" w:left="1701" w:header="709" w:footer="1191" w:gutter="0"/>
          <w:pgNumType w:start="1"/>
          <w:cols w:space="708"/>
          <w:titlePg/>
          <w:docGrid w:linePitch="360"/>
        </w:sectPr>
      </w:pPr>
    </w:p>
    <w:bookmarkStart w:id="33" w:name="GUID6E5DF1825E4F43E6880B561AA0484D29"/>
    <w:p w14:paraId="22CD888E" w14:textId="77777777" w:rsidR="00FB1300" w:rsidRPr="009F3ED8" w:rsidRDefault="00FB1300" w:rsidP="00FB1300">
      <w:pPr>
        <w:pStyle w:val="EPKitTCFrame"/>
      </w:pPr>
      <w:r w:rsidRPr="009F3ED8">
        <w:lastRenderedPageBreak/>
        <w:fldChar w:fldCharType="begin"/>
      </w:r>
      <w:r w:rsidRPr="009F3ED8">
        <w:rPr>
          <w:vanish w:val="0"/>
        </w:rPr>
        <w:instrText xml:space="preserve"> TC "</w:instrText>
      </w:r>
      <w:bookmarkStart w:id="34" w:name="_Toc511664411"/>
      <w:r w:rsidRPr="009F3ED8">
        <w:rPr>
          <w:vanish w:val="0"/>
        </w:rPr>
        <w:instrText>Part I:</w:instrText>
      </w:r>
      <w:r w:rsidRPr="009F3ED8">
        <w:rPr>
          <w:vanish w:val="0"/>
        </w:rPr>
        <w:tab/>
        <w:instrText>Underlying demographic and macroeconomic assumptions</w:instrText>
      </w:r>
      <w:bookmarkEnd w:id="34"/>
      <w:r w:rsidRPr="009F3ED8">
        <w:rPr>
          <w:vanish w:val="0"/>
        </w:rPr>
        <w:instrText xml:space="preserve">" \f \l 1 </w:instrText>
      </w:r>
      <w:r w:rsidRPr="009F3ED8">
        <w:fldChar w:fldCharType="end"/>
      </w:r>
    </w:p>
    <w:p w14:paraId="41FC64B6" w14:textId="77777777" w:rsidR="00FB1300" w:rsidRDefault="00FB1300" w:rsidP="00FB1300"/>
    <w:bookmarkEnd w:id="33"/>
    <w:p w14:paraId="0AB06BA5" w14:textId="77777777" w:rsidR="00FB1300" w:rsidRDefault="00FB1300" w:rsidP="00FB1300">
      <w:pPr>
        <w:sectPr w:rsidR="00FB1300" w:rsidSect="00FB1300">
          <w:headerReference w:type="even" r:id="rId41"/>
          <w:headerReference w:type="default" r:id="rId42"/>
          <w:footerReference w:type="even" r:id="rId43"/>
          <w:footerReference w:type="default" r:id="rId44"/>
          <w:headerReference w:type="first" r:id="rId45"/>
          <w:footerReference w:type="first" r:id="rId46"/>
          <w:endnotePr>
            <w:numFmt w:val="decimal"/>
          </w:endnotePr>
          <w:type w:val="oddPage"/>
          <w:pgSz w:w="11907" w:h="16839"/>
          <w:pgMar w:top="2693" w:right="1701" w:bottom="1417" w:left="1701" w:header="709" w:footer="1191" w:gutter="0"/>
          <w:cols w:space="708"/>
          <w:titlePg/>
          <w:docGrid w:linePitch="360"/>
        </w:sectPr>
      </w:pPr>
    </w:p>
    <w:bookmarkStart w:id="35" w:name="GUID37CFBCEA72DA41FF9CC8DCFFAE09A88E"/>
    <w:p w14:paraId="2D1E3E08" w14:textId="77777777" w:rsidR="00852622" w:rsidRPr="009F3ED8" w:rsidRDefault="00852622" w:rsidP="00460C69">
      <w:pPr>
        <w:pStyle w:val="EPKitTCFrame"/>
      </w:pPr>
      <w:r w:rsidRPr="009F3ED8">
        <w:lastRenderedPageBreak/>
        <w:fldChar w:fldCharType="begin"/>
      </w:r>
      <w:r w:rsidRPr="009F3ED8">
        <w:rPr>
          <w:vanish w:val="0"/>
        </w:rPr>
        <w:instrText xml:space="preserve"> TC "</w:instrText>
      </w:r>
      <w:bookmarkStart w:id="36" w:name="_Toc511664412"/>
      <w:r w:rsidRPr="009F3ED8">
        <w:rPr>
          <w:vanish w:val="0"/>
        </w:rPr>
        <w:instrText>1.</w:instrText>
      </w:r>
      <w:r w:rsidRPr="009F3ED8">
        <w:rPr>
          <w:vanish w:val="0"/>
        </w:rPr>
        <w:tab/>
        <w:instrText>Demographic assumptions</w:instrText>
      </w:r>
      <w:bookmarkEnd w:id="36"/>
      <w:r w:rsidRPr="009F3ED8">
        <w:rPr>
          <w:vanish w:val="0"/>
        </w:rPr>
        <w:instrText xml:space="preserve">" \f \l 2 </w:instrText>
      </w:r>
      <w:r w:rsidRPr="009F3ED8">
        <w:fldChar w:fldCharType="end"/>
      </w:r>
    </w:p>
    <w:p w14:paraId="7C3E8F5F" w14:textId="77777777" w:rsidR="00852622" w:rsidRPr="00554B02" w:rsidRDefault="00852622" w:rsidP="00460C69">
      <w:pPr>
        <w:pStyle w:val="NumberedHeading1"/>
        <w:tabs>
          <w:tab w:val="left" w:pos="567"/>
        </w:tabs>
      </w:pPr>
      <w:bookmarkStart w:id="37" w:name="_Toc511664413"/>
      <w:r w:rsidRPr="00554B02">
        <w:t>1.1.</w:t>
      </w:r>
      <w:r w:rsidRPr="00554B02">
        <w:tab/>
        <w:t>Population projectionS</w:t>
      </w:r>
      <w:bookmarkEnd w:id="37"/>
      <w:r w:rsidRPr="00554B02">
        <w:t xml:space="preserve"> </w:t>
      </w:r>
    </w:p>
    <w:p w14:paraId="070F20E2" w14:textId="77777777" w:rsidR="00852622" w:rsidRPr="00554B02" w:rsidRDefault="00852622" w:rsidP="00460C69">
      <w:r w:rsidRPr="00554B02">
        <w:t>The 2018 long-term budgetary projections for the period 2016-2070 are based on the 2015-based population projections released by Eurostat in February 2017. The datasets on the key demographic determinants, as well as the underlying methodologies used can be found on the Eurostat dedicated website (</w:t>
      </w:r>
      <w:r w:rsidRPr="00554B02">
        <w:rPr>
          <w:rStyle w:val="Referencafusnote"/>
        </w:rPr>
        <w:footnoteReference w:id="14"/>
      </w:r>
      <w:r w:rsidRPr="00554B02">
        <w:t>).</w:t>
      </w:r>
    </w:p>
    <w:p w14:paraId="6A6D2AD5" w14:textId="77777777" w:rsidR="00852622" w:rsidRPr="00554B02" w:rsidRDefault="00852622" w:rsidP="00460C69">
      <w:r w:rsidRPr="00554B02">
        <w:t>National statistical institutes have collaborated with Eurostat during the preparation of these population projections (</w:t>
      </w:r>
      <w:r w:rsidRPr="00554B02">
        <w:rPr>
          <w:rStyle w:val="Referencafusnote"/>
        </w:rPr>
        <w:footnoteReference w:id="15"/>
      </w:r>
      <w:r w:rsidRPr="00554B02">
        <w:t xml:space="preserve">). </w:t>
      </w:r>
    </w:p>
    <w:p w14:paraId="79111813" w14:textId="77777777" w:rsidR="00852622" w:rsidRPr="00554B02" w:rsidRDefault="00852622" w:rsidP="00460C69">
      <w:r w:rsidRPr="00554B02">
        <w:t>As was the case with the previous demographic projections, the 2015-based population projections were made using a partial ‘convergence’ approach. This means that the key demographic determinants are assumed to converge over the very long-term. Setting the year of convergence far into the future has the advantage of taking due account of recent trends and developments in the beginning of the period, while at the same time assuming a degree of convergence over the very long-term in terms of demographic drivers.</w:t>
      </w:r>
    </w:p>
    <w:p w14:paraId="1FD583EB" w14:textId="77777777" w:rsidR="00852622" w:rsidRPr="00554B02" w:rsidRDefault="00852622" w:rsidP="00460C69">
      <w:r w:rsidRPr="00554B02">
        <w:t>The key demographic determinants are: (i) the fertility rate; (ii) the mortality rate and (iii) the level of net migration. As far as fertility and mortality are concerned, it is assumed that they converge to that of the ‘forerunners’.</w:t>
      </w:r>
    </w:p>
    <w:p w14:paraId="5D32A151" w14:textId="77777777" w:rsidR="00852622" w:rsidRPr="00554B02" w:rsidRDefault="00852622" w:rsidP="00460C69">
      <w:r w:rsidRPr="00554B02">
        <w:t>Migration flows on a net basis in each Member State are the result of a model taking various elements into account (past trends, latest empirical evidence and long-term partial convergence). Furthermore, immigration flows which depend on the specific age structure of the national population are added to the net migration projections.</w:t>
      </w:r>
    </w:p>
    <w:p w14:paraId="7A637D2F" w14:textId="77777777" w:rsidR="00852622" w:rsidRPr="00554B02" w:rsidRDefault="00852622" w:rsidP="00460C69">
      <w:pPr>
        <w:pStyle w:val="NumberedHeading2"/>
        <w:tabs>
          <w:tab w:val="left" w:pos="567"/>
        </w:tabs>
      </w:pPr>
      <w:r w:rsidRPr="00554B02">
        <w:lastRenderedPageBreak/>
        <w:t>1.1.1.</w:t>
      </w:r>
      <w:r w:rsidRPr="00554B02">
        <w:tab/>
        <w:t>Fertility rates</w:t>
      </w:r>
    </w:p>
    <w:p w14:paraId="55C66F55" w14:textId="77777777" w:rsidR="00852622" w:rsidRPr="00554B02" w:rsidRDefault="00852622" w:rsidP="00460C69">
      <w:pPr>
        <w:rPr>
          <w:b/>
          <w:i/>
        </w:rPr>
      </w:pPr>
      <w:r w:rsidRPr="00554B02">
        <w:rPr>
          <w:b/>
          <w:i/>
        </w:rPr>
        <w:t>The total fertility rate (TFR) is assumed to rise in almost all Member States between 2016-70, increasing from 1.58 to 1.81 for the EU as whole and from 1.56 to 1.79 for the euro-area</w:t>
      </w:r>
    </w:p>
    <w:p w14:paraId="38A9E213" w14:textId="77777777" w:rsidR="00852622" w:rsidRPr="00554B02" w:rsidRDefault="00852622" w:rsidP="00460C69">
      <w:pPr>
        <w:pStyle w:val="Heading"/>
      </w:pPr>
      <w:r w:rsidRPr="00554B02">
        <w:t>Past trends</w:t>
      </w:r>
    </w:p>
    <w:p w14:paraId="6852D6B4" w14:textId="77777777" w:rsidR="00852622" w:rsidRPr="00554B02" w:rsidRDefault="00852622" w:rsidP="00460C69">
      <w:r w:rsidRPr="00554B02">
        <w:t xml:space="preserve">In the preceding decades fertility rates declined sharply in the EU Member States after the post-war “baby boom” peak above </w:t>
      </w:r>
      <w:smartTag w:uri="urn:schemas-microsoft-com:office:smarttags" w:element="metricconverter">
        <w:smartTagPr>
          <w:attr w:name="ProductID" w:val="2.5 in"/>
        </w:smartTagPr>
        <w:r w:rsidRPr="00554B02">
          <w:t>2.5 in</w:t>
        </w:r>
      </w:smartTag>
      <w:r w:rsidRPr="00554B02">
        <w:t xml:space="preserve"> the second half of the 1960s, to below the natural replacement level of 2.1 (see Graph </w:t>
      </w:r>
      <w:r w:rsidRPr="00554B02">
        <w:fldChar w:fldCharType="begin"/>
      </w:r>
      <w:r w:rsidRPr="00554B02">
        <w:instrText xml:space="preserve"> QUOTE "I.1.1"</w:instrText>
      </w:r>
      <w:r w:rsidRPr="00554B02">
        <w:fldChar w:fldCharType="begin">
          <w:fldData xml:space="preserve">QwBSAE8AUwBTAFIARQBGAEUAUgBFAE4AQwBFACoARwBSAEEAUABIACoAOAAzAGEAZAA1AGIAMQAy
AC0AMQAxAGQANwAtADQAMQBjADkALQA5ADcANABkAC0AOAAzADkAMQBhAGUAMgAwADQAMQA3ADIA
</w:fldData>
        </w:fldChar>
      </w:r>
      <w:r w:rsidRPr="00554B02">
        <w:instrText xml:space="preserve"> ADDIN </w:instrText>
      </w:r>
      <w:r w:rsidRPr="00554B02">
        <w:fldChar w:fldCharType="end"/>
      </w:r>
      <w:r w:rsidRPr="00554B02">
        <w:instrText xml:space="preserve"> </w:instrText>
      </w:r>
      <w:r w:rsidRPr="00554B02">
        <w:fldChar w:fldCharType="separate"/>
      </w:r>
      <w:r w:rsidR="009F3ED8" w:rsidRPr="00554B02">
        <w:t>I.1.1</w:t>
      </w:r>
      <w:r w:rsidRPr="00554B02">
        <w:fldChar w:fldCharType="end"/>
      </w:r>
      <w:r w:rsidRPr="00554B02">
        <w:t xml:space="preserve">). </w:t>
      </w:r>
    </w:p>
    <w:tbl>
      <w:tblPr>
        <w:tblW w:w="0" w:type="auto"/>
        <w:tblLayout w:type="fixed"/>
        <w:tblCellMar>
          <w:left w:w="0" w:type="dxa"/>
          <w:right w:w="0" w:type="dxa"/>
        </w:tblCellMar>
        <w:tblLook w:val="0000" w:firstRow="0" w:lastRow="0" w:firstColumn="0" w:lastColumn="0" w:noHBand="0" w:noVBand="0"/>
      </w:tblPr>
      <w:tblGrid>
        <w:gridCol w:w="4110"/>
      </w:tblGrid>
      <w:tr w:rsidR="00852622" w:rsidRPr="00554B02" w14:paraId="22569784" w14:textId="77777777" w:rsidTr="00460C69">
        <w:trPr>
          <w:cantSplit/>
        </w:trPr>
        <w:tc>
          <w:tcPr>
            <w:tcW w:w="4110" w:type="dxa"/>
            <w:shd w:val="clear" w:color="auto" w:fill="auto"/>
          </w:tcPr>
          <w:p w14:paraId="4D03B57F" w14:textId="77777777" w:rsidR="00852622" w:rsidRPr="00554B02" w:rsidRDefault="00852622" w:rsidP="00460C69">
            <w:pPr>
              <w:pStyle w:val="GraphTitle"/>
              <w:rPr>
                <w:b/>
              </w:rPr>
            </w:pPr>
            <w:r w:rsidRPr="00554B02">
              <w:t>Graph I.1.1:</w:t>
            </w:r>
            <w:r w:rsidRPr="00554B02">
              <w:rPr>
                <w:b/>
              </w:rPr>
              <w:tab/>
              <w:t>Total average fertility rates in European Union and euro-area, 1960-2015</w:t>
            </w:r>
          </w:p>
        </w:tc>
      </w:tr>
      <w:tr w:rsidR="00852622" w:rsidRPr="00554B02" w14:paraId="549DCBE4" w14:textId="77777777" w:rsidTr="00460C69">
        <w:trPr>
          <w:cantSplit/>
        </w:trPr>
        <w:tc>
          <w:tcPr>
            <w:tcW w:w="4110" w:type="dxa"/>
            <w:shd w:val="clear" w:color="auto" w:fill="auto"/>
          </w:tcPr>
          <w:p w14:paraId="6EFF5647" w14:textId="77777777" w:rsidR="00852622" w:rsidRPr="00554B02" w:rsidRDefault="00852622" w:rsidP="00460C69">
            <w:pPr>
              <w:pStyle w:val="GraphShape"/>
              <w:rPr>
                <w:sz w:val="2"/>
              </w:rPr>
            </w:pPr>
            <w:r w:rsidRPr="00554B02">
              <w:fldChar w:fldCharType="begin"/>
            </w:r>
            <w:r w:rsidRPr="009F3ED8">
              <w:instrText xml:space="preserve"> TC "</w:instrText>
            </w:r>
            <w:bookmarkStart w:id="38" w:name="_Toc511664622"/>
            <w:r w:rsidRPr="009F3ED8">
              <w:instrText>I.1.1.</w:instrText>
            </w:r>
            <w:r w:rsidRPr="009F3ED8">
              <w:tab/>
              <w:instrText>Total average fertility rates in European Union and euro-area, 1960-2015</w:instrText>
            </w:r>
            <w:bookmarkEnd w:id="38"/>
            <w:r w:rsidRPr="009F3ED8">
              <w:instrText xml:space="preserve">" \fgraph \l 5 </w:instrText>
            </w:r>
            <w:r w:rsidRPr="00554B02">
              <w:fldChar w:fldCharType="end"/>
            </w:r>
            <w:r>
              <w:rPr>
                <w:noProof/>
                <w:sz w:val="2"/>
                <w:lang w:val="hr-HR" w:eastAsia="hr-HR"/>
              </w:rPr>
              <w:drawing>
                <wp:inline distT="0" distB="0" distL="0" distR="0" wp14:anchorId="6B4A7559" wp14:editId="2284D18B">
                  <wp:extent cx="2597595" cy="1554765"/>
                  <wp:effectExtent l="0" t="0" r="0" b="7620"/>
                  <wp:docPr id="67" name="Picture 67" descr="&lt;nbr&gt;&lt;GETTEXTFROMWORD&gt;&lt;/nbr&gt;&#10;&lt;title&gt;&lt;GETTEXTFROMWORD&gt;&lt;/title&gt;&#10;&lt;id&gt;83ad5b12-11d7-41c9-974d-8391ae204172&lt;/id&gt;&#10;&lt;srcType&gt;EXCEL&lt;/srcType&gt;&#10;&lt;srcPath&gt;U:\Budgetary projections 2018\Reports\2018 AR\Tables_and_graphs\Part I Chapter 1\&lt;/srcPath&gt;&#10;&lt;srcName&gt;Tables &amp; charts - CHAP1.xlsx&lt;/srcName&gt;&#10;&lt;type&gt;graph&lt;/type&gt;&#10; &lt;srcSheet&gt;Graph 1.1&lt;/srcSheet&gt;&#10; &lt;srcChartTitle&gt;Chart 3&lt;/srcChartTitl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3T17:28:4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97595" cy="1554765"/>
                          </a:xfrm>
                          <a:prstGeom prst="rect">
                            <a:avLst/>
                          </a:prstGeom>
                          <a:noFill/>
                          <a:ln>
                            <a:noFill/>
                          </a:ln>
                        </pic:spPr>
                      </pic:pic>
                    </a:graphicData>
                  </a:graphic>
                </wp:inline>
              </w:drawing>
            </w:r>
          </w:p>
        </w:tc>
      </w:tr>
      <w:tr w:rsidR="00852622" w:rsidRPr="00554B02" w14:paraId="420E71C4" w14:textId="77777777" w:rsidTr="00460C69">
        <w:trPr>
          <w:cantSplit/>
        </w:trPr>
        <w:tc>
          <w:tcPr>
            <w:tcW w:w="4110" w:type="dxa"/>
            <w:shd w:val="clear" w:color="auto" w:fill="auto"/>
            <w:tcMar>
              <w:bottom w:w="240" w:type="dxa"/>
            </w:tcMar>
          </w:tcPr>
          <w:p w14:paraId="44A3CB76" w14:textId="77777777" w:rsidR="00852622" w:rsidRDefault="00852622" w:rsidP="00460C69">
            <w:pPr>
              <w:pStyle w:val="GraphFootnote"/>
              <w:keepNext/>
            </w:pPr>
            <w:r>
              <w:t>Note: Simple average.</w:t>
            </w:r>
          </w:p>
          <w:p w14:paraId="5AC13B57" w14:textId="77777777" w:rsidR="00852622" w:rsidRPr="00554B02" w:rsidRDefault="00852622" w:rsidP="00460C69">
            <w:pPr>
              <w:pStyle w:val="GraphSource"/>
              <w:keepNext/>
            </w:pPr>
            <w:r w:rsidRPr="00554B02">
              <w:rPr>
                <w:b/>
                <w:i/>
              </w:rPr>
              <w:t>Source:</w:t>
            </w:r>
            <w:r w:rsidRPr="00554B02">
              <w:t xml:space="preserve"> Commission services based on Eurostat data.</w:t>
            </w:r>
          </w:p>
        </w:tc>
      </w:tr>
    </w:tbl>
    <w:p w14:paraId="3F2F3B07" w14:textId="77777777" w:rsidR="00852622" w:rsidRPr="00554B02" w:rsidRDefault="00852622" w:rsidP="00460C69">
      <w:r w:rsidRPr="00554B02">
        <w:t>Total fertility rates (TFR(</w:t>
      </w:r>
      <w:r w:rsidRPr="00554B02">
        <w:rPr>
          <w:rStyle w:val="Referencafusnote"/>
        </w:rPr>
        <w:footnoteReference w:id="16"/>
      </w:r>
      <w:r w:rsidRPr="00554B02">
        <w:t>)) have increased since 2000 on average in the EU as a whole, although this trend increase has reversed into a decline since 2010. Fertility rates have nevertheless increased between 2000 and 2015 in almost all Member States, with total fertility rates reaching above 1.8 in Ireland, France, Finland, Sweden and the UK. By contrast, fertility rates have decreased in Cyprus, Luxembourg, Malta, Poland and Portugal.</w:t>
      </w:r>
    </w:p>
    <w:p w14:paraId="11F858AF" w14:textId="77777777" w:rsidR="00852622" w:rsidRPr="00554B02" w:rsidRDefault="00852622" w:rsidP="00460C69">
      <w:pPr>
        <w:pStyle w:val="Heading"/>
      </w:pPr>
      <w:r w:rsidRPr="00554B02">
        <w:t>The 2015-based population projections</w:t>
      </w:r>
    </w:p>
    <w:p w14:paraId="7F6EDC94" w14:textId="77777777" w:rsidR="00852622" w:rsidRPr="00554B02" w:rsidRDefault="00852622" w:rsidP="00460C69">
      <w:r w:rsidRPr="00554B02">
        <w:t xml:space="preserve">The 2015-based population projections assume a process of convergence in the fertility rates across Member States to that of the forerunners over the long-term. The total fertility rate (TFR) is projected to rise from 1.58 in 2016 to 1.81 by 2070 </w:t>
      </w:r>
      <w:r w:rsidRPr="00554B02">
        <w:lastRenderedPageBreak/>
        <w:t>for the EU and in the euro-area, a similar increase is projected, from 1.56 in 2016 to 1.79 in 2070.</w:t>
      </w:r>
    </w:p>
    <w:p w14:paraId="5B112402" w14:textId="77777777" w:rsidR="00852622" w:rsidRPr="00554B02" w:rsidRDefault="00852622" w:rsidP="00460C69">
      <w:r w:rsidRPr="00554B02">
        <w:t xml:space="preserve">The fertility rate is projected to increase over the projection period in all Member States, with the exception of France where it is expected to decrease slightly. Consequently, fertility rates in all countries are expected to remain below the natural replacement rate of 2.1 in the period to 2070 (see Graph </w:t>
      </w:r>
      <w:r w:rsidRPr="00554B02">
        <w:fldChar w:fldCharType="begin"/>
      </w:r>
      <w:r w:rsidRPr="00554B02">
        <w:instrText xml:space="preserve"> QUOTE "I.1.2"</w:instrText>
      </w:r>
      <w:r w:rsidRPr="00554B02">
        <w:fldChar w:fldCharType="begin">
          <w:fldData xml:space="preserve">QwBSAE8AUwBTAFIARQBGAEUAUgBFAE4AQwBFACoARwBSAEEAUABIACoAZgBlAGYAOQBjADQANQBl
AC0ANAA3ADAAMwAtADQAOAAzADgALQA4ADQAOAA4AC0AYwAyADgANQAzADQAYwAwAGIAYgBmADYA
</w:fldData>
        </w:fldChar>
      </w:r>
      <w:r w:rsidRPr="00554B02">
        <w:instrText xml:space="preserve"> ADDIN </w:instrText>
      </w:r>
      <w:r w:rsidRPr="00554B02">
        <w:fldChar w:fldCharType="end"/>
      </w:r>
      <w:r w:rsidRPr="00554B02">
        <w:instrText xml:space="preserve"> </w:instrText>
      </w:r>
      <w:r w:rsidRPr="00554B02">
        <w:fldChar w:fldCharType="separate"/>
      </w:r>
      <w:r w:rsidR="009F3ED8" w:rsidRPr="00554B02">
        <w:t>I.1.2</w:t>
      </w:r>
      <w:r w:rsidRPr="00554B02">
        <w:fldChar w:fldCharType="end"/>
      </w:r>
      <w:r w:rsidRPr="00554B02">
        <w:t>)</w:t>
      </w:r>
    </w:p>
    <w:tbl>
      <w:tblPr>
        <w:tblW w:w="0" w:type="auto"/>
        <w:tblLayout w:type="fixed"/>
        <w:tblCellMar>
          <w:left w:w="0" w:type="dxa"/>
          <w:right w:w="0" w:type="dxa"/>
        </w:tblCellMar>
        <w:tblLook w:val="0000" w:firstRow="0" w:lastRow="0" w:firstColumn="0" w:lastColumn="0" w:noHBand="0" w:noVBand="0"/>
      </w:tblPr>
      <w:tblGrid>
        <w:gridCol w:w="4110"/>
      </w:tblGrid>
      <w:tr w:rsidR="00852622" w:rsidRPr="00554B02" w14:paraId="675455CF" w14:textId="77777777" w:rsidTr="00460C69">
        <w:trPr>
          <w:cantSplit/>
        </w:trPr>
        <w:tc>
          <w:tcPr>
            <w:tcW w:w="4110" w:type="dxa"/>
            <w:shd w:val="clear" w:color="auto" w:fill="auto"/>
          </w:tcPr>
          <w:p w14:paraId="3B9F3F83" w14:textId="77777777" w:rsidR="00852622" w:rsidRPr="00554B02" w:rsidRDefault="00852622" w:rsidP="00460C69">
            <w:pPr>
              <w:pStyle w:val="GraphTitle"/>
              <w:rPr>
                <w:b/>
              </w:rPr>
            </w:pPr>
            <w:r w:rsidRPr="00554B02">
              <w:t>Graph I.1.2:</w:t>
            </w:r>
            <w:r w:rsidRPr="00554B02">
              <w:rPr>
                <w:b/>
              </w:rPr>
              <w:tab/>
              <w:t>Projection of total fertility rates, 2016-2070 (number of births per woman)</w:t>
            </w:r>
          </w:p>
        </w:tc>
      </w:tr>
      <w:tr w:rsidR="00852622" w:rsidRPr="00554B02" w14:paraId="513A55D0" w14:textId="77777777" w:rsidTr="00460C69">
        <w:trPr>
          <w:cantSplit/>
        </w:trPr>
        <w:tc>
          <w:tcPr>
            <w:tcW w:w="4110" w:type="dxa"/>
            <w:shd w:val="clear" w:color="auto" w:fill="auto"/>
          </w:tcPr>
          <w:p w14:paraId="296CE282" w14:textId="77777777" w:rsidR="00852622" w:rsidRPr="00554B02" w:rsidRDefault="00852622" w:rsidP="00460C69">
            <w:pPr>
              <w:pStyle w:val="GraphShape"/>
              <w:rPr>
                <w:sz w:val="2"/>
              </w:rPr>
            </w:pPr>
            <w:r w:rsidRPr="00554B02">
              <w:fldChar w:fldCharType="begin"/>
            </w:r>
            <w:r w:rsidRPr="009F3ED8">
              <w:instrText xml:space="preserve"> TC "</w:instrText>
            </w:r>
            <w:bookmarkStart w:id="39" w:name="_Toc511664623"/>
            <w:r w:rsidRPr="009F3ED8">
              <w:instrText>I.1.2.</w:instrText>
            </w:r>
            <w:r w:rsidRPr="009F3ED8">
              <w:tab/>
              <w:instrText>Projection of total fertility rates, 2016-2070 (number of births per woman)</w:instrText>
            </w:r>
            <w:bookmarkEnd w:id="39"/>
            <w:r w:rsidRPr="009F3ED8">
              <w:instrText xml:space="preserve">" \fgraph \l 5 </w:instrText>
            </w:r>
            <w:r w:rsidRPr="00554B02">
              <w:fldChar w:fldCharType="end"/>
            </w:r>
            <w:r>
              <w:rPr>
                <w:noProof/>
                <w:sz w:val="2"/>
                <w:lang w:val="hr-HR" w:eastAsia="hr-HR"/>
              </w:rPr>
              <w:drawing>
                <wp:inline distT="0" distB="0" distL="0" distR="0" wp14:anchorId="5C677EDC" wp14:editId="097AB510">
                  <wp:extent cx="2597595" cy="1113255"/>
                  <wp:effectExtent l="0" t="0" r="0" b="0"/>
                  <wp:docPr id="68" name="Picture 68" descr="&lt;nbr&gt;&lt;GETTEXTFROMWORD&gt;&lt;/nbr&gt;&#10;&lt;title&gt;&lt;GETTEXTFROMWORD&gt;&lt;/title&gt;&#10;&lt;id&gt;fef9c45e-4703-4838-8488-c28534c0bbf6&lt;/id&gt;&#10;&lt;srcType&gt;EXCEL&lt;/srcType&gt;&#10;&lt;srcPath&gt;U:\Budgetary projections 2018\Reports\2018 AR\Tables_and_graphs\Part I Chapter 1\&lt;/srcPath&gt;&#10;&lt;srcName&gt;Tables &amp; charts - CHAP1.xlsx&lt;/srcName&gt;&#10;&lt;type&gt;graph&lt;/type&gt;&#10; &lt;srcSheet&gt;Graph 1.2&lt;/srcSheet&gt;&#10; &lt;srcChartTitle&gt;Chart 2&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7:28:4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97595" cy="1113255"/>
                          </a:xfrm>
                          <a:prstGeom prst="rect">
                            <a:avLst/>
                          </a:prstGeom>
                          <a:noFill/>
                          <a:ln>
                            <a:noFill/>
                          </a:ln>
                        </pic:spPr>
                      </pic:pic>
                    </a:graphicData>
                  </a:graphic>
                </wp:inline>
              </w:drawing>
            </w:r>
          </w:p>
        </w:tc>
      </w:tr>
      <w:tr w:rsidR="00852622" w:rsidRPr="00554B02" w14:paraId="48B2E911" w14:textId="77777777" w:rsidTr="00460C69">
        <w:trPr>
          <w:cantSplit/>
        </w:trPr>
        <w:tc>
          <w:tcPr>
            <w:tcW w:w="4110" w:type="dxa"/>
            <w:shd w:val="clear" w:color="auto" w:fill="auto"/>
            <w:tcMar>
              <w:bottom w:w="240" w:type="dxa"/>
            </w:tcMar>
          </w:tcPr>
          <w:p w14:paraId="45FAFC6E" w14:textId="77777777" w:rsidR="00852622" w:rsidRPr="00554B02" w:rsidRDefault="00852622" w:rsidP="00460C69">
            <w:pPr>
              <w:pStyle w:val="GraphSource"/>
              <w:keepNext/>
            </w:pPr>
            <w:r w:rsidRPr="00554B02">
              <w:rPr>
                <w:b/>
                <w:i/>
              </w:rPr>
              <w:t>Source:</w:t>
            </w:r>
            <w:r w:rsidRPr="00554B02">
              <w:t xml:space="preserve"> Eurostat, 2015-based population projections.</w:t>
            </w:r>
          </w:p>
        </w:tc>
      </w:tr>
    </w:tbl>
    <w:p w14:paraId="12A41A9A" w14:textId="77777777" w:rsidR="00852622" w:rsidRPr="00554B02" w:rsidRDefault="00852622" w:rsidP="00460C69">
      <w:pPr>
        <w:pStyle w:val="NumberedHeading2"/>
        <w:tabs>
          <w:tab w:val="left" w:pos="567"/>
        </w:tabs>
      </w:pPr>
      <w:r w:rsidRPr="00554B02">
        <w:t>1.1.2.</w:t>
      </w:r>
      <w:r w:rsidRPr="00554B02">
        <w:tab/>
        <w:t>Life expectancy</w:t>
      </w:r>
    </w:p>
    <w:p w14:paraId="3C9D4F3A" w14:textId="77777777" w:rsidR="00852622" w:rsidRPr="00554B02" w:rsidRDefault="00852622" w:rsidP="00460C69">
      <w:pPr>
        <w:keepNext/>
        <w:rPr>
          <w:b/>
          <w:i/>
        </w:rPr>
      </w:pPr>
      <w:r w:rsidRPr="00554B02">
        <w:rPr>
          <w:b/>
          <w:i/>
        </w:rPr>
        <w:t>For the EU as a whole, life expectancy at birth is expected to increase by 7.8 years for males and 6.6 years for females over the projection horizon, with the largest increases in Member States with the lowest life expectancies in 2016.</w:t>
      </w:r>
    </w:p>
    <w:p w14:paraId="79F53045" w14:textId="77777777" w:rsidR="00852622" w:rsidRPr="00554B02" w:rsidRDefault="00852622" w:rsidP="00460C69">
      <w:pPr>
        <w:pStyle w:val="Heading"/>
      </w:pPr>
      <w:r w:rsidRPr="00554B02">
        <w:t>Past trends</w:t>
      </w:r>
    </w:p>
    <w:p w14:paraId="4E49BCDA" w14:textId="77777777" w:rsidR="00852622" w:rsidRPr="00554B02" w:rsidRDefault="00852622" w:rsidP="00460C69">
      <w:r w:rsidRPr="00554B02">
        <w:t xml:space="preserve">Life expectancy has been increasing in most developed countries worldwide since 1960, with  life expectancy at birth in the European Union (see Graph </w:t>
      </w:r>
      <w:r w:rsidRPr="00554B02">
        <w:fldChar w:fldCharType="begin"/>
      </w:r>
      <w:r w:rsidRPr="00554B02">
        <w:instrText xml:space="preserve"> QUOTE "I.1.3"</w:instrText>
      </w:r>
      <w:r w:rsidRPr="00554B02">
        <w:fldChar w:fldCharType="begin">
          <w:fldData xml:space="preserve">QwBSAE8AUwBTAFIARQBGAEUAUgBFAE4AQwBFACoARwBSAEEAUABIACoAYQAxADQANQAyADgANAA5
AC0AOAAwAGIANgAtADQAZQBiAGIALQBhAGUANwAwAC0ANQA3ADgAMAAwADkANQAxADMAMQA0ADIA
</w:fldData>
        </w:fldChar>
      </w:r>
      <w:r w:rsidRPr="00554B02">
        <w:instrText xml:space="preserve"> ADDIN </w:instrText>
      </w:r>
      <w:r w:rsidRPr="00554B02">
        <w:fldChar w:fldCharType="end"/>
      </w:r>
      <w:r w:rsidRPr="00554B02">
        <w:instrText xml:space="preserve"> </w:instrText>
      </w:r>
      <w:r w:rsidRPr="00554B02">
        <w:fldChar w:fldCharType="separate"/>
      </w:r>
      <w:r w:rsidR="009F3ED8" w:rsidRPr="00554B02">
        <w:t>I.1.3</w:t>
      </w:r>
      <w:r w:rsidRPr="00554B02">
        <w:fldChar w:fldCharType="end"/>
      </w:r>
      <w:r w:rsidRPr="00554B02">
        <w:t xml:space="preserve">), on average rising around 2.2 years per decade for both genders. </w:t>
      </w:r>
    </w:p>
    <w:p w14:paraId="7DDEE5B6" w14:textId="77777777" w:rsidR="00852622" w:rsidRPr="00554B02" w:rsidRDefault="00852622" w:rsidP="00460C69">
      <w:r w:rsidRPr="00554B02">
        <w:t xml:space="preserve">For males, average life expectancy rose from 66.9 years in 1960 to 76.8 years in 2015 in the European Union and for females, life expectancy rose from 72.3 years to 82.6 years. </w:t>
      </w:r>
    </w:p>
    <w:p w14:paraId="6B1F743F" w14:textId="77777777" w:rsidR="00852622" w:rsidRPr="00554B02" w:rsidRDefault="00852622" w:rsidP="00460C69">
      <w:r w:rsidRPr="00554B02">
        <w:t>The difference between female and male life expectancies has diminished since 1990 in the EU due to faster improvements in life expectancy for males relative to females.</w:t>
      </w:r>
    </w:p>
    <w:p w14:paraId="30BB7BEA" w14:textId="77777777" w:rsidR="00852622" w:rsidRPr="00554B02" w:rsidRDefault="00852622" w:rsidP="00460C69"/>
    <w:tbl>
      <w:tblPr>
        <w:tblW w:w="0" w:type="auto"/>
        <w:tblLayout w:type="fixed"/>
        <w:tblCellMar>
          <w:left w:w="0" w:type="dxa"/>
          <w:right w:w="0" w:type="dxa"/>
        </w:tblCellMar>
        <w:tblLook w:val="0000" w:firstRow="0" w:lastRow="0" w:firstColumn="0" w:lastColumn="0" w:noHBand="0" w:noVBand="0"/>
      </w:tblPr>
      <w:tblGrid>
        <w:gridCol w:w="4110"/>
      </w:tblGrid>
      <w:tr w:rsidR="00852622" w:rsidRPr="00554B02" w14:paraId="08EF7B8B" w14:textId="77777777" w:rsidTr="00460C69">
        <w:trPr>
          <w:cantSplit/>
        </w:trPr>
        <w:tc>
          <w:tcPr>
            <w:tcW w:w="4110" w:type="dxa"/>
            <w:shd w:val="clear" w:color="auto" w:fill="auto"/>
          </w:tcPr>
          <w:p w14:paraId="238D908F" w14:textId="77777777" w:rsidR="00852622" w:rsidRPr="00554B02" w:rsidRDefault="00852622" w:rsidP="00460C69">
            <w:pPr>
              <w:pStyle w:val="GraphTitle"/>
              <w:rPr>
                <w:b/>
              </w:rPr>
            </w:pPr>
            <w:r w:rsidRPr="00554B02">
              <w:lastRenderedPageBreak/>
              <w:t>Graph I.1.3:</w:t>
            </w:r>
            <w:r w:rsidRPr="00554B02">
              <w:rPr>
                <w:b/>
              </w:rPr>
              <w:tab/>
              <w:t>Life expectancy at birth in the EU, 1960-2015 (in years)</w:t>
            </w:r>
          </w:p>
        </w:tc>
      </w:tr>
      <w:tr w:rsidR="00852622" w:rsidRPr="00554B02" w14:paraId="0906EBB3" w14:textId="77777777" w:rsidTr="00460C69">
        <w:trPr>
          <w:cantSplit/>
        </w:trPr>
        <w:tc>
          <w:tcPr>
            <w:tcW w:w="4110" w:type="dxa"/>
            <w:shd w:val="clear" w:color="auto" w:fill="auto"/>
          </w:tcPr>
          <w:p w14:paraId="666342CF" w14:textId="77777777" w:rsidR="00852622" w:rsidRPr="00554B02" w:rsidRDefault="00852622" w:rsidP="00460C69">
            <w:pPr>
              <w:pStyle w:val="GraphShape"/>
              <w:rPr>
                <w:sz w:val="2"/>
              </w:rPr>
            </w:pPr>
            <w:r w:rsidRPr="00554B02">
              <w:fldChar w:fldCharType="begin"/>
            </w:r>
            <w:r w:rsidRPr="009F3ED8">
              <w:instrText xml:space="preserve"> TC "</w:instrText>
            </w:r>
            <w:bookmarkStart w:id="40" w:name="_Toc511664624"/>
            <w:r w:rsidRPr="009F3ED8">
              <w:instrText>I.1.3.</w:instrText>
            </w:r>
            <w:r w:rsidRPr="009F3ED8">
              <w:tab/>
              <w:instrText>Life expectancy at birth in the EU, 1960-2015 (in years)</w:instrText>
            </w:r>
            <w:bookmarkEnd w:id="40"/>
            <w:r w:rsidRPr="009F3ED8">
              <w:instrText xml:space="preserve">" \fgraph \l 5 </w:instrText>
            </w:r>
            <w:r w:rsidRPr="00554B02">
              <w:fldChar w:fldCharType="end"/>
            </w:r>
            <w:r>
              <w:rPr>
                <w:noProof/>
                <w:sz w:val="2"/>
                <w:lang w:val="hr-HR" w:eastAsia="hr-HR"/>
              </w:rPr>
              <w:drawing>
                <wp:inline distT="0" distB="0" distL="0" distR="0" wp14:anchorId="4380D2F2" wp14:editId="4029673B">
                  <wp:extent cx="2597595" cy="1564245"/>
                  <wp:effectExtent l="0" t="0" r="0" b="0"/>
                  <wp:docPr id="70" name="Picture 70" descr="&lt;nbr&gt;&lt;GETTEXTFROMWORD&gt;&lt;/nbr&gt;&#10;&lt;title&gt;&lt;GETTEXTFROMWORD&gt;&lt;/title&gt;&#10;&lt;id&gt;a1452849-80b6-4ebb-ae70-578009513142&lt;/id&gt;&#10;&lt;srcType&gt;EXCEL&lt;/srcType&gt;&#10;&lt;srcPath&gt;U:\Budgetary projections 2018\Reports\2018 AR\Tables_and_graphs\Part I Chapter 1\&lt;/srcPath&gt;&#10;&lt;srcName&gt;Tables &amp; charts - CHAP1.xlsx&lt;/srcName&gt;&#10;&lt;type&gt;graph&lt;/type&gt;&#10; &lt;srcSheet&gt;Graph 1.3&lt;/srcSheet&gt;&#10; &lt;srcChartTitle&gt;Chart 2&lt;/srcChartTitl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3T17:28:4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97595" cy="1564245"/>
                          </a:xfrm>
                          <a:prstGeom prst="rect">
                            <a:avLst/>
                          </a:prstGeom>
                          <a:noFill/>
                          <a:ln>
                            <a:noFill/>
                          </a:ln>
                        </pic:spPr>
                      </pic:pic>
                    </a:graphicData>
                  </a:graphic>
                </wp:inline>
              </w:drawing>
            </w:r>
          </w:p>
        </w:tc>
      </w:tr>
      <w:tr w:rsidR="00852622" w:rsidRPr="00554B02" w14:paraId="6D574B48" w14:textId="77777777" w:rsidTr="00460C69">
        <w:trPr>
          <w:cantSplit/>
        </w:trPr>
        <w:tc>
          <w:tcPr>
            <w:tcW w:w="4110" w:type="dxa"/>
            <w:shd w:val="clear" w:color="auto" w:fill="auto"/>
            <w:tcMar>
              <w:bottom w:w="240" w:type="dxa"/>
            </w:tcMar>
          </w:tcPr>
          <w:p w14:paraId="698CE61A" w14:textId="77777777" w:rsidR="00852622" w:rsidRDefault="00852622" w:rsidP="00460C69">
            <w:pPr>
              <w:pStyle w:val="GraphFootnote"/>
              <w:keepNext/>
            </w:pPr>
            <w:r>
              <w:t>Note: Simple average</w:t>
            </w:r>
          </w:p>
          <w:p w14:paraId="5D645680" w14:textId="77777777" w:rsidR="00852622" w:rsidRPr="00554B02" w:rsidRDefault="00852622" w:rsidP="00460C69">
            <w:pPr>
              <w:pStyle w:val="GraphSource"/>
              <w:keepNext/>
            </w:pPr>
            <w:r w:rsidRPr="00554B02">
              <w:rPr>
                <w:b/>
                <w:i/>
              </w:rPr>
              <w:t>Source:</w:t>
            </w:r>
            <w:r w:rsidRPr="00554B02">
              <w:t xml:space="preserve"> Commission services based on Eurostat data. </w:t>
            </w:r>
          </w:p>
        </w:tc>
      </w:tr>
    </w:tbl>
    <w:p w14:paraId="48F000BE" w14:textId="77777777" w:rsidR="00852622" w:rsidRPr="00554B02" w:rsidRDefault="00852622" w:rsidP="00460C69">
      <w:r w:rsidRPr="00554B02">
        <w:t xml:space="preserve">Official projections generally assume that gains in life expectancy at birth will slow down compared with historical trends. This is because mortality rates at younger ages are already very low and future gains in life expectancy would require improvements in mortality rates at older ages (which statistically have a smaller impact on life expectancy at birth). On the other hand, the wide range of life expectancies across EU Member States, and also compared with other countries, points to considerable scope for future gains. In 2015, life expectancy at birth for females ranged from 78.2 in Bulgaria to 85.8 years in Spain, and for males from 69.2 in Lithuania to 80.4 in Sweden. </w:t>
      </w:r>
    </w:p>
    <w:p w14:paraId="3A594EF8" w14:textId="77777777" w:rsidR="00852622" w:rsidRPr="00554B02" w:rsidRDefault="00852622" w:rsidP="00460C69">
      <w:r w:rsidRPr="00554B02">
        <w:t xml:space="preserve">However, regarding trends over the very long term, there is no consensus among demographers, e.g. whether there is a natural biological limit to longevity, the impact of future medical breakthroughs, long-term impact of public health programmes and societal behaviour such as reduction of smoking rates or increased prevalence of obesity. Past population projections from official sources have, however, generally underestimated the gains in life expectancy at birth as it was difficult to imagine that the reduction of mortality would continue at the same pace in the long run. As a consequence, in certain cases the budgetary impact of ageing populations may have been different than originally projected.  </w:t>
      </w:r>
    </w:p>
    <w:p w14:paraId="0F3740AF" w14:textId="77777777" w:rsidR="00852622" w:rsidRPr="00554B02" w:rsidRDefault="00852622" w:rsidP="00460C69"/>
    <w:p w14:paraId="55B94314" w14:textId="77777777" w:rsidR="00852622" w:rsidRPr="00554B02" w:rsidRDefault="00852622" w:rsidP="00460C69">
      <w:pPr>
        <w:pStyle w:val="Heading"/>
      </w:pPr>
      <w:r w:rsidRPr="00554B02">
        <w:br w:type="page"/>
      </w:r>
      <w:r w:rsidRPr="00554B02">
        <w:lastRenderedPageBreak/>
        <w:t>The 2015-based population projections</w:t>
      </w:r>
    </w:p>
    <w:p w14:paraId="3F4F3760" w14:textId="77777777" w:rsidR="00852622" w:rsidRPr="00554B02" w:rsidRDefault="00852622" w:rsidP="00460C69">
      <w:pPr>
        <w:keepNext/>
      </w:pPr>
      <w:r w:rsidRPr="00554B02">
        <w:t xml:space="preserve">The 2015-based population projection shows large increases in life expectancy at birth being sustained during the projection period, albeit with a considerable degree of diversity across Member States reflecting the convergence assumption. </w:t>
      </w:r>
    </w:p>
    <w:p w14:paraId="5D0C20EF" w14:textId="77777777" w:rsidR="00852622" w:rsidRPr="00554B02" w:rsidRDefault="00852622" w:rsidP="00460C69">
      <w:r w:rsidRPr="00554B02">
        <w:t xml:space="preserve">In the EU, life expectancy at birth for males is expected to increase by 7.8 years over the projection period, from 78.3 in 2016 to 86.1 in 2070. For females, life expectancy at birth is projected to increase by 6.6 years for females, from 83.7 in 2013 to 90.3 in 2070, implying a convergence of life expectancy between males and females. </w:t>
      </w:r>
    </w:p>
    <w:p w14:paraId="35586078" w14:textId="77777777" w:rsidR="00852622" w:rsidRPr="00554B02" w:rsidRDefault="00852622" w:rsidP="00460C69">
      <w:r w:rsidRPr="00554B02">
        <w:t xml:space="preserve">The largest increases in life expectancies at birth, for both males and females, are projected to take place in the Member States with the lowest life expectancies in 2016. </w:t>
      </w:r>
    </w:p>
    <w:p w14:paraId="1A79A7CC" w14:textId="77777777" w:rsidR="00852622" w:rsidRPr="00554B02" w:rsidRDefault="00852622" w:rsidP="00460C69">
      <w:r w:rsidRPr="00554B02">
        <w:t xml:space="preserve">Life expectancies for males are the lowest in Bulgaria, Estonia, Latvia, Lithuania, Hungary and Romania, ranging between 69 and 73 years, and are projected to increase more than 11 years up to 2070, indicating catching-up vis-à-vis the rest of the EU (Graph </w:t>
      </w:r>
      <w:r w:rsidRPr="00554B02">
        <w:fldChar w:fldCharType="begin"/>
      </w:r>
      <w:r w:rsidRPr="00554B02">
        <w:instrText xml:space="preserve"> QUOTE "I.1.4"</w:instrText>
      </w:r>
      <w:r w:rsidRPr="00554B02">
        <w:fldChar w:fldCharType="begin">
          <w:fldData xml:space="preserve">QwBSAE8AUwBTAFIARQBGAEUAUgBFAE4AQwBFACoARwBSAEEAUABIACoAYQBjADcAYwA4ADMAYgBi
AC0AMAAyADUAMwAtADQAYQAzADYALQA4ADYANwBlAC0ANgBjAGMANQA3ADAAZgA4AGIAMgA1AGYA
</w:fldData>
        </w:fldChar>
      </w:r>
      <w:r w:rsidRPr="00554B02">
        <w:instrText xml:space="preserve"> ADDIN </w:instrText>
      </w:r>
      <w:r w:rsidRPr="00554B02">
        <w:fldChar w:fldCharType="end"/>
      </w:r>
      <w:r w:rsidRPr="00554B02">
        <w:instrText xml:space="preserve"> </w:instrText>
      </w:r>
      <w:r w:rsidRPr="00554B02">
        <w:fldChar w:fldCharType="separate"/>
      </w:r>
      <w:r w:rsidR="009F3ED8" w:rsidRPr="00554B02">
        <w:t>I.1.4</w:t>
      </w:r>
      <w:r w:rsidRPr="00554B02">
        <w:fldChar w:fldCharType="end"/>
      </w:r>
      <w:r w:rsidRPr="00554B02">
        <w:t xml:space="preserve">). </w:t>
      </w:r>
    </w:p>
    <w:tbl>
      <w:tblPr>
        <w:tblW w:w="0" w:type="auto"/>
        <w:tblLayout w:type="fixed"/>
        <w:tblCellMar>
          <w:left w:w="0" w:type="dxa"/>
          <w:right w:w="0" w:type="dxa"/>
        </w:tblCellMar>
        <w:tblLook w:val="0000" w:firstRow="0" w:lastRow="0" w:firstColumn="0" w:lastColumn="0" w:noHBand="0" w:noVBand="0"/>
      </w:tblPr>
      <w:tblGrid>
        <w:gridCol w:w="4110"/>
      </w:tblGrid>
      <w:tr w:rsidR="00852622" w:rsidRPr="00554B02" w14:paraId="1D18ABEE" w14:textId="77777777" w:rsidTr="00460C69">
        <w:trPr>
          <w:cantSplit/>
        </w:trPr>
        <w:tc>
          <w:tcPr>
            <w:tcW w:w="4110" w:type="dxa"/>
            <w:shd w:val="clear" w:color="auto" w:fill="auto"/>
          </w:tcPr>
          <w:p w14:paraId="48270C88" w14:textId="77777777" w:rsidR="00852622" w:rsidRPr="00554B02" w:rsidRDefault="00852622" w:rsidP="00460C69">
            <w:pPr>
              <w:pStyle w:val="GraphTitle"/>
              <w:rPr>
                <w:b/>
              </w:rPr>
            </w:pPr>
            <w:r w:rsidRPr="00554B02">
              <w:t>Graph I.1.4:</w:t>
            </w:r>
            <w:r w:rsidRPr="00554B02">
              <w:rPr>
                <w:b/>
              </w:rPr>
              <w:tab/>
              <w:t>Projection of life expectancy at birth, males (in years), 2016-2070</w:t>
            </w:r>
          </w:p>
        </w:tc>
      </w:tr>
      <w:tr w:rsidR="00852622" w:rsidRPr="00554B02" w14:paraId="4CB7FA29" w14:textId="77777777" w:rsidTr="00460C69">
        <w:trPr>
          <w:cantSplit/>
        </w:trPr>
        <w:tc>
          <w:tcPr>
            <w:tcW w:w="4110" w:type="dxa"/>
            <w:shd w:val="clear" w:color="auto" w:fill="auto"/>
          </w:tcPr>
          <w:p w14:paraId="568879DD" w14:textId="77777777" w:rsidR="00852622" w:rsidRPr="00554B02" w:rsidRDefault="00852622" w:rsidP="00460C69">
            <w:pPr>
              <w:pStyle w:val="GraphShape"/>
              <w:rPr>
                <w:sz w:val="2"/>
              </w:rPr>
            </w:pPr>
            <w:r w:rsidRPr="00554B02">
              <w:fldChar w:fldCharType="begin"/>
            </w:r>
            <w:r w:rsidRPr="009F3ED8">
              <w:instrText xml:space="preserve"> TC "</w:instrText>
            </w:r>
            <w:bookmarkStart w:id="41" w:name="_Toc511664625"/>
            <w:r w:rsidRPr="009F3ED8">
              <w:instrText>I.1.4.</w:instrText>
            </w:r>
            <w:r w:rsidRPr="009F3ED8">
              <w:tab/>
              <w:instrText>Projection of life expectancy at birth, males (in years), 2016-2070</w:instrText>
            </w:r>
            <w:bookmarkEnd w:id="41"/>
            <w:r w:rsidRPr="009F3ED8">
              <w:instrText xml:space="preserve">" \fgraph \l 5 </w:instrText>
            </w:r>
            <w:r w:rsidRPr="00554B02">
              <w:fldChar w:fldCharType="end"/>
            </w:r>
            <w:r>
              <w:rPr>
                <w:noProof/>
                <w:sz w:val="2"/>
                <w:lang w:val="hr-HR" w:eastAsia="hr-HR"/>
              </w:rPr>
              <w:drawing>
                <wp:inline distT="0" distB="0" distL="0" distR="0" wp14:anchorId="0F6A09B2" wp14:editId="72029B2C">
                  <wp:extent cx="2597595" cy="1113255"/>
                  <wp:effectExtent l="0" t="0" r="0" b="0"/>
                  <wp:docPr id="75" name="Picture 75" descr="&lt;nbr&gt;&lt;GETTEXTFROMWORD&gt;&lt;/nbr&gt;&#10;&lt;title&gt;&lt;GETTEXTFROMWORD&gt;&lt;/title&gt;&#10;&lt;id&gt;ac7c83bb-0253-4a36-867e-6cc570f8b25f&lt;/id&gt;&#10;&lt;srcType&gt;EXCEL&lt;/srcType&gt;&#10;&lt;srcPath&gt;U:\Budgetary projections 2018\Reports\2018 AR\Tables_and_graphs\Part I Chapter 1\&lt;/srcPath&gt;&#10;&lt;srcName&gt;Tables &amp; charts - CHAP1.xlsx&lt;/srcName&gt;&#10;&lt;type&gt;graph&lt;/type&gt;&#10; &lt;srcSheet&gt;Graph 1.4&lt;/srcSheet&gt;&#10; &lt;srcChartTitle&gt;Chart 2&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7:28:4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97595" cy="1113255"/>
                          </a:xfrm>
                          <a:prstGeom prst="rect">
                            <a:avLst/>
                          </a:prstGeom>
                          <a:noFill/>
                          <a:ln>
                            <a:noFill/>
                          </a:ln>
                        </pic:spPr>
                      </pic:pic>
                    </a:graphicData>
                  </a:graphic>
                </wp:inline>
              </w:drawing>
            </w:r>
          </w:p>
        </w:tc>
      </w:tr>
      <w:tr w:rsidR="00852622" w:rsidRPr="00554B02" w14:paraId="5B0A53F9" w14:textId="77777777" w:rsidTr="00460C69">
        <w:trPr>
          <w:cantSplit/>
        </w:trPr>
        <w:tc>
          <w:tcPr>
            <w:tcW w:w="4110" w:type="dxa"/>
            <w:shd w:val="clear" w:color="auto" w:fill="auto"/>
            <w:tcMar>
              <w:bottom w:w="240" w:type="dxa"/>
            </w:tcMar>
          </w:tcPr>
          <w:p w14:paraId="4904DFCB" w14:textId="77777777" w:rsidR="00852622" w:rsidRPr="00554B02" w:rsidRDefault="00852622" w:rsidP="00460C69">
            <w:pPr>
              <w:pStyle w:val="GraphSource"/>
              <w:keepNext/>
            </w:pPr>
            <w:r w:rsidRPr="00554B02">
              <w:rPr>
                <w:b/>
                <w:i/>
              </w:rPr>
              <w:t>Source:</w:t>
            </w:r>
            <w:r w:rsidRPr="00554B02">
              <w:t xml:space="preserve"> Eurostat, 2015-based population projections.</w:t>
            </w:r>
          </w:p>
        </w:tc>
      </w:tr>
    </w:tbl>
    <w:p w14:paraId="36446082" w14:textId="77777777" w:rsidR="00852622" w:rsidRPr="00554B02" w:rsidRDefault="00852622" w:rsidP="00460C69">
      <w:r w:rsidRPr="00554B02">
        <w:t xml:space="preserve">For females, the largest gains in life expectancy at birth of 8 years or more are projected in Bulgaria, Latvia, Lithuania, Hungary, Romania and Slovakia where female life expectancy in 2016 was below 81 years (Graph </w:t>
      </w:r>
      <w:r w:rsidRPr="00554B02">
        <w:fldChar w:fldCharType="begin"/>
      </w:r>
      <w:r w:rsidRPr="00554B02">
        <w:instrText xml:space="preserve"> QUOTE "I.1.5"</w:instrText>
      </w:r>
      <w:r w:rsidRPr="00554B02">
        <w:fldChar w:fldCharType="begin">
          <w:fldData xml:space="preserve">QwBSAE8AUwBTAFIARQBGAEUAUgBFAE4AQwBFACoARwBSAEEAUABIACoAOABhADQAYwAyADcAYQAz
AC0AZgA2ADQAMAAtADQAMwA0ADMALQBhADYAMQA4AC0ANABkAGUANQBlADkAMQBkAGUAZgBkAGYA
</w:fldData>
        </w:fldChar>
      </w:r>
      <w:r w:rsidRPr="00554B02">
        <w:instrText xml:space="preserve"> ADDIN </w:instrText>
      </w:r>
      <w:r w:rsidRPr="00554B02">
        <w:fldChar w:fldCharType="end"/>
      </w:r>
      <w:r w:rsidRPr="00554B02">
        <w:instrText xml:space="preserve"> </w:instrText>
      </w:r>
      <w:r w:rsidRPr="00554B02">
        <w:fldChar w:fldCharType="separate"/>
      </w:r>
      <w:r w:rsidR="009F3ED8" w:rsidRPr="00554B02">
        <w:t>I.1.5</w:t>
      </w:r>
      <w:r w:rsidRPr="00554B02">
        <w:fldChar w:fldCharType="end"/>
      </w:r>
      <w:r w:rsidRPr="00554B02">
        <w:t>).</w:t>
      </w:r>
    </w:p>
    <w:tbl>
      <w:tblPr>
        <w:tblW w:w="0" w:type="auto"/>
        <w:tblLayout w:type="fixed"/>
        <w:tblCellMar>
          <w:left w:w="0" w:type="dxa"/>
          <w:right w:w="0" w:type="dxa"/>
        </w:tblCellMar>
        <w:tblLook w:val="0000" w:firstRow="0" w:lastRow="0" w:firstColumn="0" w:lastColumn="0" w:noHBand="0" w:noVBand="0"/>
      </w:tblPr>
      <w:tblGrid>
        <w:gridCol w:w="4110"/>
      </w:tblGrid>
      <w:tr w:rsidR="00852622" w:rsidRPr="00554B02" w14:paraId="77077559" w14:textId="77777777" w:rsidTr="00460C69">
        <w:trPr>
          <w:cantSplit/>
        </w:trPr>
        <w:tc>
          <w:tcPr>
            <w:tcW w:w="4110" w:type="dxa"/>
            <w:shd w:val="clear" w:color="auto" w:fill="auto"/>
          </w:tcPr>
          <w:p w14:paraId="78372806" w14:textId="77777777" w:rsidR="00852622" w:rsidRPr="00554B02" w:rsidRDefault="00852622" w:rsidP="00460C69">
            <w:pPr>
              <w:pStyle w:val="GraphTitle"/>
              <w:rPr>
                <w:b/>
              </w:rPr>
            </w:pPr>
            <w:r w:rsidRPr="00554B02">
              <w:lastRenderedPageBreak/>
              <w:t>Graph I.1.5:</w:t>
            </w:r>
            <w:r w:rsidRPr="00554B02">
              <w:rPr>
                <w:b/>
              </w:rPr>
              <w:tab/>
              <w:t>Projection of life expectancy at birth, females (in years), 2016-2070</w:t>
            </w:r>
          </w:p>
        </w:tc>
      </w:tr>
      <w:tr w:rsidR="00852622" w:rsidRPr="00554B02" w14:paraId="1BDB09BA" w14:textId="77777777" w:rsidTr="00460C69">
        <w:trPr>
          <w:cantSplit/>
        </w:trPr>
        <w:tc>
          <w:tcPr>
            <w:tcW w:w="4110" w:type="dxa"/>
            <w:shd w:val="clear" w:color="auto" w:fill="auto"/>
          </w:tcPr>
          <w:p w14:paraId="742DCB3E" w14:textId="77777777" w:rsidR="00852622" w:rsidRPr="00554B02" w:rsidRDefault="00852622" w:rsidP="00460C69">
            <w:pPr>
              <w:pStyle w:val="GraphShape"/>
              <w:rPr>
                <w:sz w:val="2"/>
              </w:rPr>
            </w:pPr>
            <w:r w:rsidRPr="00554B02">
              <w:fldChar w:fldCharType="begin"/>
            </w:r>
            <w:r w:rsidRPr="009F3ED8">
              <w:instrText xml:space="preserve"> TC "</w:instrText>
            </w:r>
            <w:bookmarkStart w:id="42" w:name="_Toc511664626"/>
            <w:r w:rsidRPr="009F3ED8">
              <w:instrText>I.1.5.</w:instrText>
            </w:r>
            <w:r w:rsidRPr="009F3ED8">
              <w:tab/>
              <w:instrText>Projection of life expectancy at birth, females (in years), 2016-2070</w:instrText>
            </w:r>
            <w:bookmarkEnd w:id="42"/>
            <w:r w:rsidRPr="009F3ED8">
              <w:instrText xml:space="preserve">" \fgraph \l 5 </w:instrText>
            </w:r>
            <w:r w:rsidRPr="00554B02">
              <w:fldChar w:fldCharType="end"/>
            </w:r>
            <w:r>
              <w:rPr>
                <w:noProof/>
                <w:sz w:val="2"/>
                <w:lang w:val="hr-HR" w:eastAsia="hr-HR"/>
              </w:rPr>
              <w:drawing>
                <wp:inline distT="0" distB="0" distL="0" distR="0" wp14:anchorId="6907D8F3" wp14:editId="6D1AC6C1">
                  <wp:extent cx="2597595" cy="1113255"/>
                  <wp:effectExtent l="0" t="0" r="0" b="0"/>
                  <wp:docPr id="76" name="Picture 76" descr="&lt;nbr&gt;&lt;GETTEXTFROMWORD&gt;&lt;/nbr&gt;&#10;&lt;title&gt;&lt;GETTEXTFROMWORD&gt;&lt;/title&gt;&#10;&lt;id&gt;8a4c27a3-f640-4343-a618-4de5e91defdf&lt;/id&gt;&#10;&lt;srcType&gt;EXCEL&lt;/srcType&gt;&#10;&lt;srcPath&gt;U:\Budgetary projections 2018\Reports\2018 AR\Tables_and_graphs\Part I Chapter 1\&lt;/srcPath&gt;&#10;&lt;srcName&gt;Tables &amp; charts - CHAP1.xlsx&lt;/srcName&gt;&#10;&lt;type&gt;graph&lt;/type&gt;&#10; &lt;srcSheet&gt;Graph 1.5&lt;/srcSheet&gt;&#10; &lt;srcChartTitle&gt;Chart 2&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7:28:4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97595" cy="1113255"/>
                          </a:xfrm>
                          <a:prstGeom prst="rect">
                            <a:avLst/>
                          </a:prstGeom>
                          <a:noFill/>
                          <a:ln>
                            <a:noFill/>
                          </a:ln>
                        </pic:spPr>
                      </pic:pic>
                    </a:graphicData>
                  </a:graphic>
                </wp:inline>
              </w:drawing>
            </w:r>
          </w:p>
        </w:tc>
      </w:tr>
      <w:tr w:rsidR="00852622" w:rsidRPr="00554B02" w14:paraId="4EC661C8" w14:textId="77777777" w:rsidTr="00460C69">
        <w:trPr>
          <w:cantSplit/>
        </w:trPr>
        <w:tc>
          <w:tcPr>
            <w:tcW w:w="4110" w:type="dxa"/>
            <w:shd w:val="clear" w:color="auto" w:fill="auto"/>
            <w:tcMar>
              <w:bottom w:w="240" w:type="dxa"/>
            </w:tcMar>
          </w:tcPr>
          <w:p w14:paraId="3D10F651" w14:textId="77777777" w:rsidR="00852622" w:rsidRPr="00554B02" w:rsidRDefault="00852622" w:rsidP="00460C69">
            <w:pPr>
              <w:pStyle w:val="GraphSource"/>
              <w:keepNext/>
            </w:pPr>
            <w:r w:rsidRPr="00554B02">
              <w:rPr>
                <w:b/>
                <w:i/>
              </w:rPr>
              <w:t>Source:</w:t>
            </w:r>
            <w:r w:rsidRPr="00554B02">
              <w:t xml:space="preserve"> Eurostat, 2015-based population projections.</w:t>
            </w:r>
          </w:p>
        </w:tc>
      </w:tr>
    </w:tbl>
    <w:p w14:paraId="2BA22620" w14:textId="77777777" w:rsidR="00852622" w:rsidRPr="00554B02" w:rsidRDefault="00852622" w:rsidP="00460C69">
      <w:r w:rsidRPr="00554B02">
        <w:t xml:space="preserve">In the EU as a whole, life expectancy at age 65 is projected to increase by 5.3 years for males and by 5.1 years for females over the projection period 2016-2070 (see Graphs </w:t>
      </w:r>
      <w:r w:rsidRPr="00554B02">
        <w:fldChar w:fldCharType="begin"/>
      </w:r>
      <w:r w:rsidRPr="00554B02">
        <w:instrText xml:space="preserve"> QUOTE "I.1.6"</w:instrText>
      </w:r>
      <w:r w:rsidRPr="00554B02">
        <w:fldChar w:fldCharType="begin">
          <w:fldData xml:space="preserve">QwBSAE8AUwBTAFIARQBGAEUAUgBFAE4AQwBFACoARwBSAEEAUABIACoANQA1ADUAMwAwAGEAYwAy
AC0AYgBjAGMAMgAtADQAMABkADgALQA5ADkAYgAyAC0AMAAxAGIAMwBlADAAMQBlAGYANQBkAGQA
</w:fldData>
        </w:fldChar>
      </w:r>
      <w:r w:rsidRPr="00554B02">
        <w:instrText xml:space="preserve"> ADDIN </w:instrText>
      </w:r>
      <w:r w:rsidRPr="00554B02">
        <w:fldChar w:fldCharType="end"/>
      </w:r>
      <w:r w:rsidRPr="00554B02">
        <w:instrText xml:space="preserve"> </w:instrText>
      </w:r>
      <w:r w:rsidRPr="00554B02">
        <w:fldChar w:fldCharType="separate"/>
      </w:r>
      <w:r w:rsidR="009F3ED8" w:rsidRPr="00554B02">
        <w:t>I.1.6</w:t>
      </w:r>
      <w:r w:rsidRPr="00554B02">
        <w:fldChar w:fldCharType="end"/>
      </w:r>
      <w:r w:rsidRPr="00554B02">
        <w:t xml:space="preserve"> and </w:t>
      </w:r>
      <w:r w:rsidRPr="00554B02">
        <w:fldChar w:fldCharType="begin"/>
      </w:r>
      <w:r w:rsidRPr="00554B02">
        <w:instrText xml:space="preserve"> QUOTE "I.1.7"</w:instrText>
      </w:r>
      <w:r w:rsidRPr="00554B02">
        <w:fldChar w:fldCharType="begin">
          <w:fldData xml:space="preserve">QwBSAE8AUwBTAFIARQBGAEUAUgBFAE4AQwBFACoARwBSAEEAUABIACoANQA1ADIANQAwADYANwAw
AC0ANQA4ADgAOQAtADQAOQA0ADcALQBhADIAMgAwAC0AMgA3ADYAZQA0ADcAYwA1ADIAOQBjADUA
</w:fldData>
        </w:fldChar>
      </w:r>
      <w:r w:rsidRPr="00554B02">
        <w:instrText xml:space="preserve"> ADDIN </w:instrText>
      </w:r>
      <w:r w:rsidRPr="00554B02">
        <w:fldChar w:fldCharType="end"/>
      </w:r>
      <w:r w:rsidRPr="00554B02">
        <w:instrText xml:space="preserve"> </w:instrText>
      </w:r>
      <w:r w:rsidRPr="00554B02">
        <w:fldChar w:fldCharType="separate"/>
      </w:r>
      <w:r w:rsidR="009F3ED8" w:rsidRPr="00554B02">
        <w:t>I.1.7</w:t>
      </w:r>
      <w:r w:rsidRPr="00554B02">
        <w:fldChar w:fldCharType="end"/>
      </w:r>
      <w:r w:rsidRPr="00554B02">
        <w:t xml:space="preserve">). </w:t>
      </w:r>
    </w:p>
    <w:tbl>
      <w:tblPr>
        <w:tblW w:w="0" w:type="auto"/>
        <w:tblLayout w:type="fixed"/>
        <w:tblCellMar>
          <w:left w:w="0" w:type="dxa"/>
          <w:right w:w="0" w:type="dxa"/>
        </w:tblCellMar>
        <w:tblLook w:val="0000" w:firstRow="0" w:lastRow="0" w:firstColumn="0" w:lastColumn="0" w:noHBand="0" w:noVBand="0"/>
      </w:tblPr>
      <w:tblGrid>
        <w:gridCol w:w="4110"/>
      </w:tblGrid>
      <w:tr w:rsidR="00852622" w:rsidRPr="00554B02" w14:paraId="5F556591" w14:textId="77777777" w:rsidTr="00460C69">
        <w:trPr>
          <w:cantSplit/>
        </w:trPr>
        <w:tc>
          <w:tcPr>
            <w:tcW w:w="4110" w:type="dxa"/>
            <w:shd w:val="clear" w:color="auto" w:fill="auto"/>
          </w:tcPr>
          <w:p w14:paraId="069D65C2" w14:textId="77777777" w:rsidR="00852622" w:rsidRPr="00554B02" w:rsidRDefault="00852622" w:rsidP="00460C69">
            <w:pPr>
              <w:pStyle w:val="GraphTitle"/>
              <w:rPr>
                <w:b/>
              </w:rPr>
            </w:pPr>
            <w:r w:rsidRPr="00554B02">
              <w:t>Graph I.1.6:</w:t>
            </w:r>
            <w:r w:rsidRPr="00554B02">
              <w:rPr>
                <w:b/>
              </w:rPr>
              <w:tab/>
              <w:t>Projection of life expectancy at 65, females (in years), 2016-2070</w:t>
            </w:r>
          </w:p>
        </w:tc>
      </w:tr>
      <w:tr w:rsidR="00852622" w:rsidRPr="00554B02" w14:paraId="5CFD1FD1" w14:textId="77777777" w:rsidTr="00460C69">
        <w:trPr>
          <w:cantSplit/>
        </w:trPr>
        <w:tc>
          <w:tcPr>
            <w:tcW w:w="4110" w:type="dxa"/>
            <w:shd w:val="clear" w:color="auto" w:fill="auto"/>
          </w:tcPr>
          <w:p w14:paraId="6A265E50" w14:textId="77777777" w:rsidR="00852622" w:rsidRPr="00554B02" w:rsidRDefault="00852622" w:rsidP="00460C69">
            <w:pPr>
              <w:pStyle w:val="GraphShape"/>
              <w:rPr>
                <w:sz w:val="2"/>
              </w:rPr>
            </w:pPr>
            <w:r w:rsidRPr="00554B02">
              <w:fldChar w:fldCharType="begin"/>
            </w:r>
            <w:r w:rsidRPr="009F3ED8">
              <w:instrText xml:space="preserve"> TC "</w:instrText>
            </w:r>
            <w:bookmarkStart w:id="43" w:name="_Toc511664627"/>
            <w:r w:rsidRPr="009F3ED8">
              <w:instrText>I.1.6.</w:instrText>
            </w:r>
            <w:r w:rsidRPr="009F3ED8">
              <w:tab/>
              <w:instrText>Projection of life expectancy at 65, females (in years), 2016-2070</w:instrText>
            </w:r>
            <w:bookmarkEnd w:id="43"/>
            <w:r w:rsidRPr="009F3ED8">
              <w:instrText xml:space="preserve">" \fgraph \l 5 </w:instrText>
            </w:r>
            <w:r w:rsidRPr="00554B02">
              <w:fldChar w:fldCharType="end"/>
            </w:r>
            <w:r>
              <w:rPr>
                <w:noProof/>
                <w:sz w:val="2"/>
                <w:lang w:val="hr-HR" w:eastAsia="hr-HR"/>
              </w:rPr>
              <w:drawing>
                <wp:inline distT="0" distB="0" distL="0" distR="0" wp14:anchorId="3747CA35" wp14:editId="582522E7">
                  <wp:extent cx="2597595" cy="1113255"/>
                  <wp:effectExtent l="0" t="0" r="0" b="0"/>
                  <wp:docPr id="77" name="Picture 77" descr="&lt;nbr&gt;&lt;GETTEXTFROMWORD&gt;&lt;/nbr&gt;&#10;&lt;title&gt;&lt;GETTEXTFROMWORD&gt;&lt;/title&gt;&#10;&lt;id&gt;55530ac2-bcc2-40d8-99b2-01b3e01ef5dd&lt;/id&gt;&#10;&lt;srcType&gt;EXCEL&lt;/srcType&gt;&#10;&lt;srcPath&gt;U:\Budgetary projections 2018\Reports\2018 AR\Tables_and_graphs\Part I Chapter 1\&lt;/srcPath&gt;&#10;&lt;srcName&gt;Tables &amp; charts - CHAP1.xlsx&lt;/srcName&gt;&#10;&lt;type&gt;graph&lt;/type&gt;&#10; &lt;srcSheet&gt;Graph 1.7&lt;/srcSheet&gt;&#10; &lt;srcChartTitle&gt;Chart 2&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7:28:4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97595" cy="1113255"/>
                          </a:xfrm>
                          <a:prstGeom prst="rect">
                            <a:avLst/>
                          </a:prstGeom>
                          <a:noFill/>
                          <a:ln>
                            <a:noFill/>
                          </a:ln>
                        </pic:spPr>
                      </pic:pic>
                    </a:graphicData>
                  </a:graphic>
                </wp:inline>
              </w:drawing>
            </w:r>
          </w:p>
        </w:tc>
      </w:tr>
      <w:tr w:rsidR="00852622" w:rsidRPr="00554B02" w14:paraId="0EB36A4C" w14:textId="77777777" w:rsidTr="00460C69">
        <w:trPr>
          <w:cantSplit/>
        </w:trPr>
        <w:tc>
          <w:tcPr>
            <w:tcW w:w="4110" w:type="dxa"/>
            <w:shd w:val="clear" w:color="auto" w:fill="auto"/>
            <w:tcMar>
              <w:bottom w:w="240" w:type="dxa"/>
            </w:tcMar>
          </w:tcPr>
          <w:p w14:paraId="75BA7F52" w14:textId="77777777" w:rsidR="00852622" w:rsidRPr="00554B02" w:rsidRDefault="00852622" w:rsidP="00460C69">
            <w:pPr>
              <w:pStyle w:val="GraphSource"/>
              <w:keepNext/>
            </w:pPr>
            <w:r w:rsidRPr="00554B02">
              <w:rPr>
                <w:b/>
                <w:i/>
              </w:rPr>
              <w:t>Source:</w:t>
            </w:r>
            <w:r w:rsidRPr="00554B02">
              <w:t xml:space="preserve"> Eurostat, 2015-based population projections.</w:t>
            </w:r>
          </w:p>
        </w:tc>
      </w:tr>
    </w:tbl>
    <w:p w14:paraId="1401A2AE" w14:textId="77777777" w:rsidR="00852622" w:rsidRPr="00554B02" w:rsidRDefault="00852622" w:rsidP="00460C69">
      <w:r w:rsidRPr="00554B02">
        <w:t>In 2070, life expectancy at age 65 will reach 23.4 years for males and 26.6 for females and the projected difference (3.2 years) is smaller than the difference in life expectancy at birth (4.2 years). In 2070, the highest life expectancy at age 65 is expected in France for both males (24 years) and females (27.5 years), while the lowest is expected in Bulgaria for both males (21.5 years) and females (24.7 years).</w:t>
      </w:r>
    </w:p>
    <w:tbl>
      <w:tblPr>
        <w:tblW w:w="0" w:type="auto"/>
        <w:tblLayout w:type="fixed"/>
        <w:tblCellMar>
          <w:left w:w="0" w:type="dxa"/>
          <w:right w:w="0" w:type="dxa"/>
        </w:tblCellMar>
        <w:tblLook w:val="0000" w:firstRow="0" w:lastRow="0" w:firstColumn="0" w:lastColumn="0" w:noHBand="0" w:noVBand="0"/>
      </w:tblPr>
      <w:tblGrid>
        <w:gridCol w:w="4110"/>
      </w:tblGrid>
      <w:tr w:rsidR="00852622" w:rsidRPr="00554B02" w14:paraId="01B9EF28" w14:textId="77777777" w:rsidTr="00460C69">
        <w:trPr>
          <w:cantSplit/>
        </w:trPr>
        <w:tc>
          <w:tcPr>
            <w:tcW w:w="4110" w:type="dxa"/>
            <w:shd w:val="clear" w:color="auto" w:fill="auto"/>
          </w:tcPr>
          <w:p w14:paraId="1DCAA21D" w14:textId="77777777" w:rsidR="00852622" w:rsidRPr="00554B02" w:rsidRDefault="00852622" w:rsidP="00460C69">
            <w:pPr>
              <w:pStyle w:val="GraphTitle"/>
              <w:rPr>
                <w:b/>
              </w:rPr>
            </w:pPr>
            <w:r w:rsidRPr="00554B02">
              <w:t>Graph I.1.7:</w:t>
            </w:r>
            <w:r w:rsidRPr="00554B02">
              <w:rPr>
                <w:b/>
              </w:rPr>
              <w:tab/>
              <w:t>Projection of life expectancy at 65, males (in years), 2016-2070</w:t>
            </w:r>
          </w:p>
        </w:tc>
      </w:tr>
      <w:tr w:rsidR="00852622" w:rsidRPr="00554B02" w14:paraId="2865D2E5" w14:textId="77777777" w:rsidTr="00460C69">
        <w:trPr>
          <w:cantSplit/>
        </w:trPr>
        <w:tc>
          <w:tcPr>
            <w:tcW w:w="4110" w:type="dxa"/>
            <w:shd w:val="clear" w:color="auto" w:fill="auto"/>
          </w:tcPr>
          <w:p w14:paraId="551882FC" w14:textId="77777777" w:rsidR="00852622" w:rsidRPr="00554B02" w:rsidRDefault="00852622" w:rsidP="00460C69">
            <w:pPr>
              <w:pStyle w:val="GraphShape"/>
              <w:rPr>
                <w:sz w:val="2"/>
              </w:rPr>
            </w:pPr>
            <w:r w:rsidRPr="00554B02">
              <w:fldChar w:fldCharType="begin"/>
            </w:r>
            <w:r w:rsidRPr="009F3ED8">
              <w:instrText xml:space="preserve"> TC "</w:instrText>
            </w:r>
            <w:bookmarkStart w:id="44" w:name="_Toc511664628"/>
            <w:r w:rsidRPr="009F3ED8">
              <w:instrText>I.1.7.</w:instrText>
            </w:r>
            <w:r w:rsidRPr="009F3ED8">
              <w:tab/>
              <w:instrText>Projection of life expectancy at 65, males (in years), 2016-2070</w:instrText>
            </w:r>
            <w:bookmarkEnd w:id="44"/>
            <w:r w:rsidRPr="009F3ED8">
              <w:instrText xml:space="preserve">" \fgraph \l 5 </w:instrText>
            </w:r>
            <w:r w:rsidRPr="00554B02">
              <w:fldChar w:fldCharType="end"/>
            </w:r>
            <w:r>
              <w:rPr>
                <w:noProof/>
                <w:sz w:val="2"/>
                <w:lang w:val="hr-HR" w:eastAsia="hr-HR"/>
              </w:rPr>
              <w:drawing>
                <wp:inline distT="0" distB="0" distL="0" distR="0" wp14:anchorId="23B8D4FB" wp14:editId="04CF6B97">
                  <wp:extent cx="2597595" cy="1113255"/>
                  <wp:effectExtent l="0" t="0" r="0" b="0"/>
                  <wp:docPr id="78" name="Picture 78" descr="&lt;nbr&gt;&lt;GETTEXTFROMWORD&gt;&lt;/nbr&gt;&#10;&lt;title&gt;&lt;GETTEXTFROMWORD&gt;&lt;/title&gt;&#10;&lt;id&gt;55250670-5889-4947-a220-276e47c529c5&lt;/id&gt;&#10;&lt;srcType&gt;EXCEL&lt;/srcType&gt;&#10;&lt;srcPath&gt;U:\Budgetary projections 2018\Reports\2018 AR\Tables_and_graphs\Part I Chapter 1\&lt;/srcPath&gt;&#10;&lt;srcName&gt;Tables &amp; charts - CHAP1.xlsx&lt;/srcName&gt;&#10;&lt;type&gt;graph&lt;/type&gt;&#10; &lt;srcSheet&gt;Graph 1.6&lt;/srcSheet&gt;&#10; &lt;srcChartTitle&gt;Chart 2&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7:28:4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97595" cy="1113255"/>
                          </a:xfrm>
                          <a:prstGeom prst="rect">
                            <a:avLst/>
                          </a:prstGeom>
                          <a:noFill/>
                          <a:ln>
                            <a:noFill/>
                          </a:ln>
                        </pic:spPr>
                      </pic:pic>
                    </a:graphicData>
                  </a:graphic>
                </wp:inline>
              </w:drawing>
            </w:r>
          </w:p>
        </w:tc>
      </w:tr>
      <w:tr w:rsidR="00852622" w:rsidRPr="00554B02" w14:paraId="0A9D6777" w14:textId="77777777" w:rsidTr="00460C69">
        <w:trPr>
          <w:cantSplit/>
        </w:trPr>
        <w:tc>
          <w:tcPr>
            <w:tcW w:w="4110" w:type="dxa"/>
            <w:shd w:val="clear" w:color="auto" w:fill="auto"/>
            <w:tcMar>
              <w:bottom w:w="240" w:type="dxa"/>
            </w:tcMar>
          </w:tcPr>
          <w:p w14:paraId="65586166" w14:textId="77777777" w:rsidR="00852622" w:rsidRPr="00554B02" w:rsidRDefault="00852622" w:rsidP="00460C69">
            <w:pPr>
              <w:pStyle w:val="GraphSource"/>
              <w:keepNext/>
            </w:pPr>
            <w:r w:rsidRPr="00554B02">
              <w:rPr>
                <w:b/>
                <w:i/>
              </w:rPr>
              <w:t>Source:</w:t>
            </w:r>
            <w:r w:rsidRPr="00554B02">
              <w:t xml:space="preserve"> Eurostat, 2015-based population projections.</w:t>
            </w:r>
          </w:p>
        </w:tc>
      </w:tr>
    </w:tbl>
    <w:p w14:paraId="5396F8CD" w14:textId="77777777" w:rsidR="00852622" w:rsidRPr="00554B02" w:rsidRDefault="00852622" w:rsidP="00460C69"/>
    <w:p w14:paraId="61D3AFA1" w14:textId="77777777" w:rsidR="00852622" w:rsidRPr="00554B02" w:rsidRDefault="00852622" w:rsidP="00460C69"/>
    <w:p w14:paraId="1105A78E" w14:textId="77777777" w:rsidR="00852622" w:rsidRPr="00554B02" w:rsidRDefault="00852622" w:rsidP="00460C69">
      <w:pPr>
        <w:pStyle w:val="NumberedHeading2"/>
        <w:tabs>
          <w:tab w:val="left" w:pos="567"/>
        </w:tabs>
      </w:pPr>
      <w:r w:rsidRPr="00554B02">
        <w:lastRenderedPageBreak/>
        <w:t>1.1.3.</w:t>
      </w:r>
      <w:r w:rsidRPr="00554B02">
        <w:tab/>
        <w:t>Net migration flows</w:t>
      </w:r>
    </w:p>
    <w:p w14:paraId="20F9B3ED" w14:textId="77777777" w:rsidR="00852622" w:rsidRPr="00554B02" w:rsidRDefault="00852622" w:rsidP="00460C69">
      <w:pPr>
        <w:rPr>
          <w:b/>
          <w:i/>
        </w:rPr>
      </w:pPr>
      <w:r w:rsidRPr="00554B02">
        <w:rPr>
          <w:b/>
          <w:i/>
        </w:rPr>
        <w:t>Net migration projections typically are the most methodologically difficult, with high volatility across time and countries. Annual net migration inflows to the EU are projected to decrease from about 1.5 million people in 2016 to 821,000 people by 2070 or 0.2% of the total population.</w:t>
      </w:r>
    </w:p>
    <w:p w14:paraId="26784D90" w14:textId="77777777" w:rsidR="00852622" w:rsidRPr="00554B02" w:rsidRDefault="00852622" w:rsidP="00460C69">
      <w:pPr>
        <w:pStyle w:val="Heading"/>
      </w:pPr>
      <w:r w:rsidRPr="00554B02">
        <w:t>Past trends and driving forces</w:t>
      </w:r>
    </w:p>
    <w:tbl>
      <w:tblPr>
        <w:tblW w:w="0" w:type="auto"/>
        <w:tblLayout w:type="fixed"/>
        <w:tblCellMar>
          <w:left w:w="0" w:type="dxa"/>
          <w:right w:w="0" w:type="dxa"/>
        </w:tblCellMar>
        <w:tblLook w:val="0000" w:firstRow="0" w:lastRow="0" w:firstColumn="0" w:lastColumn="0" w:noHBand="0" w:noVBand="0"/>
      </w:tblPr>
      <w:tblGrid>
        <w:gridCol w:w="4110"/>
      </w:tblGrid>
      <w:tr w:rsidR="00852622" w:rsidRPr="00554B02" w14:paraId="061FEF6E" w14:textId="77777777" w:rsidTr="00460C69">
        <w:trPr>
          <w:cantSplit/>
        </w:trPr>
        <w:tc>
          <w:tcPr>
            <w:tcW w:w="4110" w:type="dxa"/>
            <w:shd w:val="clear" w:color="auto" w:fill="auto"/>
          </w:tcPr>
          <w:p w14:paraId="70444535" w14:textId="77777777" w:rsidR="00852622" w:rsidRPr="00554B02" w:rsidRDefault="00852622" w:rsidP="00460C69">
            <w:pPr>
              <w:pStyle w:val="GraphTitle"/>
              <w:rPr>
                <w:b/>
              </w:rPr>
            </w:pPr>
            <w:r w:rsidRPr="00554B02">
              <w:t>Graph I.1.8:</w:t>
            </w:r>
            <w:r w:rsidRPr="00554B02">
              <w:rPr>
                <w:b/>
              </w:rPr>
              <w:tab/>
              <w:t>Net migration flows, 1965-2015 (thousands)</w:t>
            </w:r>
          </w:p>
        </w:tc>
      </w:tr>
      <w:tr w:rsidR="00852622" w:rsidRPr="00554B02" w14:paraId="7B37AB60" w14:textId="77777777" w:rsidTr="00460C69">
        <w:trPr>
          <w:cantSplit/>
        </w:trPr>
        <w:tc>
          <w:tcPr>
            <w:tcW w:w="4110" w:type="dxa"/>
            <w:shd w:val="clear" w:color="auto" w:fill="auto"/>
          </w:tcPr>
          <w:p w14:paraId="1230F51A" w14:textId="77777777" w:rsidR="00852622" w:rsidRPr="00554B02" w:rsidRDefault="00852622" w:rsidP="00460C69">
            <w:pPr>
              <w:pStyle w:val="GraphShape"/>
              <w:rPr>
                <w:sz w:val="2"/>
              </w:rPr>
            </w:pPr>
            <w:r w:rsidRPr="00554B02">
              <w:fldChar w:fldCharType="begin"/>
            </w:r>
            <w:r w:rsidRPr="009F3ED8">
              <w:instrText xml:space="preserve"> TC "</w:instrText>
            </w:r>
            <w:bookmarkStart w:id="45" w:name="_Toc511664629"/>
            <w:r w:rsidRPr="009F3ED8">
              <w:instrText>I.1.8.</w:instrText>
            </w:r>
            <w:r w:rsidRPr="009F3ED8">
              <w:tab/>
              <w:instrText>Net migration flows, 1965-2015 (thousands)</w:instrText>
            </w:r>
            <w:bookmarkEnd w:id="45"/>
            <w:r w:rsidRPr="009F3ED8">
              <w:instrText xml:space="preserve">" \fgraph \l 5 </w:instrText>
            </w:r>
            <w:r w:rsidRPr="00554B02">
              <w:fldChar w:fldCharType="end"/>
            </w:r>
            <w:r>
              <w:rPr>
                <w:noProof/>
                <w:sz w:val="2"/>
                <w:lang w:val="hr-HR" w:eastAsia="hr-HR"/>
              </w:rPr>
              <w:drawing>
                <wp:inline distT="0" distB="0" distL="0" distR="0" wp14:anchorId="245F417F" wp14:editId="75605D1B">
                  <wp:extent cx="2597595" cy="1450482"/>
                  <wp:effectExtent l="0" t="0" r="0" b="0"/>
                  <wp:docPr id="16" name="Picture 16" descr="&lt;nbr&gt;&lt;GETTEXTFROMWORD&gt;&lt;/nbr&gt;&#10;&lt;title&gt;&lt;GETTEXTFROMWORD&gt;&lt;/title&gt;&#10;&lt;id&gt;43cf966c-dbd3-40db-ba91-579cd6728200&lt;/id&gt;&#10;&lt;srcType&gt;EXCEL&lt;/srcType&gt;&#10;&lt;srcPath&gt;U:\Budgetary projections 2018\Reports\2018 AR\Tables_and_graphs\Part I Chapter 1\&lt;/srcPath&gt;&#10;&lt;srcName&gt;Tables &amp; charts - CHAP1.xlsx&lt;/srcName&gt;&#10;&lt;type&gt;graph&lt;/type&gt;&#10; &lt;srcSheet&gt;Graph 1.8&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7:28:4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97595" cy="1450482"/>
                          </a:xfrm>
                          <a:prstGeom prst="rect">
                            <a:avLst/>
                          </a:prstGeom>
                          <a:noFill/>
                          <a:ln>
                            <a:noFill/>
                          </a:ln>
                        </pic:spPr>
                      </pic:pic>
                    </a:graphicData>
                  </a:graphic>
                </wp:inline>
              </w:drawing>
            </w:r>
          </w:p>
        </w:tc>
      </w:tr>
      <w:tr w:rsidR="00852622" w:rsidRPr="00554B02" w14:paraId="724A03C4" w14:textId="77777777" w:rsidTr="00460C69">
        <w:trPr>
          <w:cantSplit/>
        </w:trPr>
        <w:tc>
          <w:tcPr>
            <w:tcW w:w="4110" w:type="dxa"/>
            <w:shd w:val="clear" w:color="auto" w:fill="auto"/>
            <w:tcMar>
              <w:bottom w:w="240" w:type="dxa"/>
            </w:tcMar>
          </w:tcPr>
          <w:p w14:paraId="21B68647" w14:textId="77777777" w:rsidR="00852622" w:rsidRPr="00554B02" w:rsidRDefault="00852622" w:rsidP="00460C69">
            <w:pPr>
              <w:pStyle w:val="GraphSource"/>
              <w:keepNext/>
            </w:pPr>
            <w:r w:rsidRPr="00554B02">
              <w:rPr>
                <w:b/>
                <w:i/>
              </w:rPr>
              <w:t>Source:</w:t>
            </w:r>
            <w:r w:rsidRPr="00554B02">
              <w:t xml:space="preserve"> Eurostat, 2015-based population projections..</w:t>
            </w:r>
          </w:p>
        </w:tc>
      </w:tr>
    </w:tbl>
    <w:p w14:paraId="1C7F7C54" w14:textId="77777777" w:rsidR="00852622" w:rsidRPr="00554B02" w:rsidRDefault="00852622" w:rsidP="00460C69">
      <w:r w:rsidRPr="00554B02">
        <w:t>Net migration inflows (</w:t>
      </w:r>
      <w:r w:rsidRPr="00554B02">
        <w:rPr>
          <w:rStyle w:val="Referencafusnote"/>
        </w:rPr>
        <w:footnoteReference w:id="17"/>
      </w:r>
      <w:r w:rsidRPr="00554B02">
        <w:t xml:space="preserve">) to the EU and euro-area over the last fifty years have increased considerably, albeit with fluctuations (see Graph </w:t>
      </w:r>
      <w:r w:rsidRPr="00554B02">
        <w:fldChar w:fldCharType="begin"/>
      </w:r>
      <w:r w:rsidRPr="00554B02">
        <w:instrText xml:space="preserve"> QUOTE "I.1.8"</w:instrText>
      </w:r>
      <w:r w:rsidRPr="00554B02">
        <w:fldChar w:fldCharType="begin">
          <w:fldData xml:space="preserve">QwBSAE8AUwBTAFIARQBGAEUAUgBFAE4AQwBFACoARwBSAEEAUABIACoANAAzAGMAZgA5ADYANgBj
AC0AZABiAGQAMwAtADQAMABkAGIALQBiAGEAOQAxAC0ANQA3ADkAYwBkADYANwAyADgAMgAwADAA
</w:fldData>
        </w:fldChar>
      </w:r>
      <w:r w:rsidRPr="00554B02">
        <w:instrText xml:space="preserve"> ADDIN </w:instrText>
      </w:r>
      <w:r w:rsidRPr="00554B02">
        <w:fldChar w:fldCharType="end"/>
      </w:r>
      <w:r w:rsidRPr="00554B02">
        <w:instrText xml:space="preserve"> </w:instrText>
      </w:r>
      <w:r w:rsidRPr="00554B02">
        <w:fldChar w:fldCharType="separate"/>
      </w:r>
      <w:r w:rsidR="009F3ED8" w:rsidRPr="00554B02">
        <w:t>I.1.8</w:t>
      </w:r>
      <w:r w:rsidRPr="00554B02">
        <w:fldChar w:fldCharType="end"/>
      </w:r>
      <w:r w:rsidRPr="00554B02">
        <w:t xml:space="preserve">). From 1965 through the mid-1980s net migration was mostly positive with annual net inflows averaging around 78,000 over the period though certain years saw large net outflows. Since 1985, annual net migration into the EU has been consistently positive and has risen significantly (albeit with periods of volatility), averaging around 674,000 in 1990-99 and 1.27 million in 2000-09. </w:t>
      </w:r>
    </w:p>
    <w:p w14:paraId="61D15B62" w14:textId="77777777" w:rsidR="00852622" w:rsidRPr="00554B02" w:rsidRDefault="00852622" w:rsidP="00460C69">
      <w:r w:rsidRPr="00554B02">
        <w:t xml:space="preserve">Net migration inflows dropped to around 774,000 per year in the years 2009-12 following the global economic crisis, but subsequently increased to pre-crisis levels with annual net inflows averaging 1.58 million in years 2013-15, as the European economy recovered and as a consequence of instability in North Africa and the Middle East. </w:t>
      </w:r>
      <w:r w:rsidRPr="00554B02">
        <w:lastRenderedPageBreak/>
        <w:t>Net inflows for the EU peaked in 2015 (1.8 million).</w:t>
      </w:r>
    </w:p>
    <w:p w14:paraId="37ABB9A2" w14:textId="77777777" w:rsidR="00852622" w:rsidRPr="00554B02" w:rsidRDefault="00852622" w:rsidP="00460C69">
      <w:pPr>
        <w:pStyle w:val="Heading"/>
      </w:pPr>
      <w:r w:rsidRPr="00554B02">
        <w:t>The 2015-based population projections</w:t>
      </w:r>
      <w:r w:rsidRPr="00554B02">
        <w:tab/>
      </w:r>
    </w:p>
    <w:p w14:paraId="51FD5F6E" w14:textId="77777777" w:rsidR="00852622" w:rsidRPr="00554B02" w:rsidRDefault="00852622" w:rsidP="00460C69">
      <w:r w:rsidRPr="00554B02">
        <w:t xml:space="preserve">For the EU as a whole, annual net inflows are projected to decrease from about 1.5 million people in 2016 (0.3% of the population) to 805,000 people by 2070 (0.2% of the population), see Box </w:t>
      </w:r>
      <w:r w:rsidRPr="00554B02">
        <w:fldChar w:fldCharType="begin"/>
      </w:r>
      <w:r w:rsidRPr="00554B02">
        <w:instrText xml:space="preserve"> QUOTE "I.1.1"</w:instrText>
      </w:r>
      <w:r w:rsidRPr="00554B02">
        <w:fldChar w:fldCharType="begin">
          <w:fldData xml:space="preserve">QwBSAE8AUwBTAFIARQBGAEUAUgBFAE4AQwBFACoAQgBPAFgAKgAxADcAZABlADEAOQBmAGIALQAx
ADYAYgA2AC0ANAA4ADIAYQAtAGEANwAzAGYALQA4AGIANQA1ADMAZgAxADUAYwBiADYAOQA=
</w:fldData>
        </w:fldChar>
      </w:r>
      <w:r w:rsidRPr="00554B02">
        <w:instrText xml:space="preserve"> ADDIN </w:instrText>
      </w:r>
      <w:r w:rsidRPr="00554B02">
        <w:fldChar w:fldCharType="end"/>
      </w:r>
      <w:r w:rsidRPr="00554B02">
        <w:instrText xml:space="preserve"> </w:instrText>
      </w:r>
      <w:r w:rsidRPr="00554B02">
        <w:fldChar w:fldCharType="separate"/>
      </w:r>
      <w:r w:rsidR="009F3ED8" w:rsidRPr="00554B02">
        <w:t>I.1.1</w:t>
      </w:r>
      <w:r w:rsidRPr="00554B02">
        <w:fldChar w:fldCharType="end"/>
      </w:r>
      <w:r w:rsidRPr="00554B02">
        <w:t xml:space="preserve"> for the methodology used to project net migration. Cumulatively, net migration inflows during the period 2016-70 are forecast to equal 11.3% of the total EU population in 2070 and 12.8% of the total population of the euro-area (Table </w:t>
      </w:r>
      <w:r w:rsidRPr="00554B02">
        <w:fldChar w:fldCharType="begin"/>
      </w:r>
      <w:r w:rsidRPr="00554B02">
        <w:instrText xml:space="preserve"> QUOTE "I.1.1"</w:instrText>
      </w:r>
      <w:r w:rsidRPr="00554B02">
        <w:fldChar w:fldCharType="begin">
          <w:fldData xml:space="preserve">QwBSAE8AUwBTAFIARQBGAEUAUgBFAE4AQwBFACoAVABBAEIATABFACoAMAAwAGUAYwBjADcANwAx
AC0ANgAyAGUANQAtADQAZgBhADIALQBhADAAYQAxAC0AZgBkAGYAYQBkADIAMgBhAGYANwBiAGIA
</w:fldData>
        </w:fldChar>
      </w:r>
      <w:r w:rsidRPr="00554B02">
        <w:instrText xml:space="preserve"> ADDIN </w:instrText>
      </w:r>
      <w:r w:rsidRPr="00554B02">
        <w:fldChar w:fldCharType="end"/>
      </w:r>
      <w:r w:rsidRPr="00554B02">
        <w:instrText xml:space="preserve"> </w:instrText>
      </w:r>
      <w:r w:rsidRPr="00554B02">
        <w:fldChar w:fldCharType="separate"/>
      </w:r>
      <w:r w:rsidR="009F3ED8" w:rsidRPr="00554B02">
        <w:t>I.1.1</w:t>
      </w:r>
      <w:r w:rsidRPr="00554B02">
        <w:fldChar w:fldCharType="end"/>
      </w:r>
      <w:r w:rsidRPr="00554B02">
        <w:t>). The countries with the largest net migration inflows (in terms of resident population) are projected to be Luxembourg, Austria, Malta, Cyprus, Italy and Sweden. Cumulative net migration outflows are projected over this period for Bulgaria, Romania, Lithuania and Latvia.</w:t>
      </w:r>
    </w:p>
    <w:tbl>
      <w:tblPr>
        <w:tblW w:w="0" w:type="auto"/>
        <w:tblLayout w:type="fixed"/>
        <w:tblCellMar>
          <w:left w:w="0" w:type="dxa"/>
          <w:right w:w="0" w:type="dxa"/>
        </w:tblCellMar>
        <w:tblLook w:val="0000" w:firstRow="0" w:lastRow="0" w:firstColumn="0" w:lastColumn="0" w:noHBand="0" w:noVBand="0"/>
      </w:tblPr>
      <w:tblGrid>
        <w:gridCol w:w="4110"/>
      </w:tblGrid>
      <w:tr w:rsidR="00852622" w:rsidRPr="00554B02" w14:paraId="21D147A3" w14:textId="77777777" w:rsidTr="00460C69">
        <w:trPr>
          <w:cantSplit/>
          <w:trHeight w:val="20"/>
        </w:trPr>
        <w:tc>
          <w:tcPr>
            <w:tcW w:w="4110" w:type="dxa"/>
            <w:shd w:val="clear" w:color="auto" w:fill="auto"/>
          </w:tcPr>
          <w:p w14:paraId="0042E82A" w14:textId="77777777" w:rsidR="00852622" w:rsidRPr="00554B02" w:rsidRDefault="00852622" w:rsidP="00460C69">
            <w:pPr>
              <w:pStyle w:val="SlimCell"/>
              <w:keepNext/>
            </w:pPr>
          </w:p>
        </w:tc>
      </w:tr>
      <w:tr w:rsidR="00852622" w:rsidRPr="00554B02" w14:paraId="01EEE790" w14:textId="77777777" w:rsidTr="00460C69">
        <w:trPr>
          <w:cantSplit/>
        </w:trPr>
        <w:tc>
          <w:tcPr>
            <w:tcW w:w="4110" w:type="dxa"/>
            <w:shd w:val="clear" w:color="auto" w:fill="auto"/>
          </w:tcPr>
          <w:p w14:paraId="74B5EA6A" w14:textId="77777777" w:rsidR="00852622" w:rsidRPr="00554B02" w:rsidRDefault="00852622" w:rsidP="00460C69">
            <w:pPr>
              <w:pStyle w:val="TableTitle"/>
              <w:rPr>
                <w:b/>
              </w:rPr>
            </w:pPr>
            <w:r w:rsidRPr="00554B02">
              <w:t>Table I.1.1:</w:t>
            </w:r>
            <w:r w:rsidRPr="00554B02">
              <w:rPr>
                <w:b/>
              </w:rPr>
              <w:tab/>
              <w:t>Projection of net migration flows, 2016-70</w:t>
            </w:r>
          </w:p>
        </w:tc>
      </w:tr>
      <w:tr w:rsidR="00852622" w:rsidRPr="00554B02" w14:paraId="4981157D" w14:textId="77777777" w:rsidTr="00460C69">
        <w:trPr>
          <w:cantSplit/>
        </w:trPr>
        <w:tc>
          <w:tcPr>
            <w:tcW w:w="4110" w:type="dxa"/>
            <w:shd w:val="clear" w:color="auto" w:fill="auto"/>
          </w:tcPr>
          <w:p w14:paraId="453626F3" w14:textId="77777777" w:rsidR="00852622" w:rsidRPr="00554B02" w:rsidRDefault="00852622" w:rsidP="00460C69">
            <w:pPr>
              <w:pStyle w:val="TableShape"/>
              <w:rPr>
                <w:sz w:val="2"/>
              </w:rPr>
            </w:pPr>
            <w:r w:rsidRPr="00554B02">
              <w:fldChar w:fldCharType="begin"/>
            </w:r>
            <w:r w:rsidRPr="009F3ED8">
              <w:instrText xml:space="preserve"> TC "</w:instrText>
            </w:r>
            <w:bookmarkStart w:id="46" w:name="_Toc511664508"/>
            <w:r w:rsidRPr="009F3ED8">
              <w:instrText>I.1.1.</w:instrText>
            </w:r>
            <w:r w:rsidRPr="009F3ED8">
              <w:tab/>
              <w:instrText>Projection of net migration flows, 2016-70</w:instrText>
            </w:r>
            <w:bookmarkEnd w:id="46"/>
            <w:r w:rsidRPr="009F3ED8">
              <w:instrText xml:space="preserve">" \ftable \l 5 </w:instrText>
            </w:r>
            <w:r w:rsidRPr="00554B02">
              <w:fldChar w:fldCharType="end"/>
            </w:r>
            <w:r>
              <w:rPr>
                <w:noProof/>
                <w:sz w:val="2"/>
                <w:lang w:val="hr-HR" w:eastAsia="hr-HR"/>
              </w:rPr>
              <w:drawing>
                <wp:inline distT="0" distB="0" distL="0" distR="0" wp14:anchorId="0CE0C8F3" wp14:editId="2689DABC">
                  <wp:extent cx="2597595" cy="3137970"/>
                  <wp:effectExtent l="0" t="0" r="0" b="5715"/>
                  <wp:docPr id="79" name="Picture 79" descr="&lt;nbr&gt;&lt;GETTEXTFROMWORD&gt;&lt;/nbr&gt;&#10;&lt;title&gt;&lt;GETTEXTFROMWORD&gt;&lt;/title&gt;&#10;&lt;id&gt;00ecc771-62e5-4fa2-a0a1-fdfad22af7bb&lt;/id&gt;&#10;&lt;srcType&gt;EXCEL&lt;/srcType&gt;&#10;&lt;srcPath&gt;U:\Budgetary projections 2018\Reports\2018 AR\Tables_and_graphs\Part I Chapter 1\&lt;/srcPath&gt;&#10;&lt;srcName&gt;Tables &amp; charts - CHAP1.xlsx&lt;/srcName&gt;&#10;&lt;type&gt;table&lt;/type&gt;&#10; &lt;srcSheet&gt;Table1.1&lt;/srcSheet&gt;&#10; &lt;srcRange&gt;R2C2:R35C15&lt;/srcRang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3T17:28:4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97595" cy="3137970"/>
                          </a:xfrm>
                          <a:prstGeom prst="rect">
                            <a:avLst/>
                          </a:prstGeom>
                          <a:noFill/>
                          <a:ln>
                            <a:noFill/>
                          </a:ln>
                        </pic:spPr>
                      </pic:pic>
                    </a:graphicData>
                  </a:graphic>
                </wp:inline>
              </w:drawing>
            </w:r>
          </w:p>
        </w:tc>
      </w:tr>
      <w:tr w:rsidR="00852622" w:rsidRPr="00554B02" w14:paraId="456F1BD2" w14:textId="77777777" w:rsidTr="00460C69">
        <w:trPr>
          <w:cantSplit/>
        </w:trPr>
        <w:tc>
          <w:tcPr>
            <w:tcW w:w="4110" w:type="dxa"/>
            <w:shd w:val="clear" w:color="auto" w:fill="auto"/>
          </w:tcPr>
          <w:p w14:paraId="78224BC0" w14:textId="77777777" w:rsidR="00852622" w:rsidRDefault="00852622" w:rsidP="00460C69">
            <w:pPr>
              <w:pStyle w:val="TableFootnote"/>
            </w:pPr>
            <w:r>
              <w:t>Note: Cumulative net migration as % of population in 2070.</w:t>
            </w:r>
          </w:p>
          <w:p w14:paraId="56C101CE" w14:textId="77777777" w:rsidR="00852622" w:rsidRPr="00554B02" w:rsidRDefault="00852622" w:rsidP="00460C69">
            <w:pPr>
              <w:pStyle w:val="TableSource"/>
            </w:pPr>
            <w:r w:rsidRPr="00554B02">
              <w:rPr>
                <w:b/>
                <w:i/>
              </w:rPr>
              <w:t>Source:</w:t>
            </w:r>
            <w:r w:rsidRPr="00554B02">
              <w:t xml:space="preserve"> Eurostat, 2015-based population projections.</w:t>
            </w:r>
          </w:p>
        </w:tc>
      </w:tr>
      <w:tr w:rsidR="00852622" w:rsidRPr="00554B02" w14:paraId="3CAE35BE" w14:textId="77777777" w:rsidTr="00460C69">
        <w:trPr>
          <w:cantSplit/>
          <w:trHeight w:val="20"/>
        </w:trPr>
        <w:tc>
          <w:tcPr>
            <w:tcW w:w="4110" w:type="dxa"/>
            <w:shd w:val="clear" w:color="auto" w:fill="auto"/>
            <w:tcMar>
              <w:bottom w:w="240" w:type="dxa"/>
            </w:tcMar>
          </w:tcPr>
          <w:p w14:paraId="528B14EA" w14:textId="77777777" w:rsidR="00852622" w:rsidRPr="00554B02" w:rsidRDefault="00852622" w:rsidP="00460C69">
            <w:pPr>
              <w:pStyle w:val="SlimCell"/>
            </w:pPr>
          </w:p>
        </w:tc>
      </w:tr>
    </w:tbl>
    <w:p w14:paraId="0250809C" w14:textId="77777777" w:rsidR="00852622" w:rsidRPr="00554B02" w:rsidRDefault="00852622" w:rsidP="00460C69">
      <w:pPr>
        <w:pStyle w:val="MultipageDelimiter"/>
      </w:pPr>
    </w:p>
    <w:tbl>
      <w:tblPr>
        <w:tblpPr w:horzAnchor="margin" w:tblpYSpec="top"/>
        <w:tblOverlap w:val="never"/>
        <w:tblW w:w="0" w:type="auto"/>
        <w:tblBorders>
          <w:top w:val="single" w:sz="4" w:space="0" w:color="333399"/>
          <w:left w:val="single" w:sz="4" w:space="0" w:color="333399"/>
          <w:bottom w:val="single" w:sz="4" w:space="0" w:color="333399"/>
          <w:right w:val="single" w:sz="4" w:space="0" w:color="333399"/>
        </w:tblBorders>
        <w:shd w:val="clear" w:color="auto" w:fill="F7FCFF"/>
        <w:tblLayout w:type="fixed"/>
        <w:tblCellMar>
          <w:left w:w="0" w:type="dxa"/>
          <w:right w:w="0" w:type="dxa"/>
        </w:tblCellMar>
        <w:tblLook w:val="0000" w:firstRow="0" w:lastRow="0" w:firstColumn="0" w:lastColumn="0" w:noHBand="0" w:noVBand="0"/>
      </w:tblPr>
      <w:tblGrid>
        <w:gridCol w:w="8505"/>
      </w:tblGrid>
      <w:tr w:rsidR="00852622" w:rsidRPr="00554B02" w14:paraId="12758080" w14:textId="77777777" w:rsidTr="00460C69">
        <w:trPr>
          <w:cantSplit/>
          <w:trHeight w:val="20"/>
        </w:trPr>
        <w:tc>
          <w:tcPr>
            <w:tcW w:w="8505" w:type="dxa"/>
            <w:shd w:val="clear" w:color="auto" w:fill="F7FCFF"/>
          </w:tcPr>
          <w:p w14:paraId="65629831" w14:textId="77777777" w:rsidR="00852622" w:rsidRPr="00554B02" w:rsidRDefault="00852622" w:rsidP="00460C69">
            <w:pPr>
              <w:pStyle w:val="SlimCell"/>
              <w:keepNext/>
            </w:pPr>
            <w:r w:rsidRPr="00554B02">
              <w:lastRenderedPageBreak/>
              <w:fldChar w:fldCharType="begin"/>
            </w:r>
            <w:r w:rsidRPr="009F3ED8">
              <w:instrText xml:space="preserve"> TC "</w:instrText>
            </w:r>
            <w:bookmarkStart w:id="47" w:name="_Toc511664711"/>
            <w:r w:rsidRPr="009F3ED8">
              <w:instrText>I.1.1.</w:instrText>
            </w:r>
            <w:r w:rsidRPr="009F3ED8">
              <w:tab/>
              <w:instrText>Methodology for the migration assumptions in the 2015-based population projections</w:instrText>
            </w:r>
            <w:bookmarkEnd w:id="47"/>
            <w:r w:rsidRPr="009F3ED8">
              <w:instrText xml:space="preserve">" \fbox \l 5 </w:instrText>
            </w:r>
            <w:r w:rsidRPr="00554B02">
              <w:fldChar w:fldCharType="end"/>
            </w:r>
          </w:p>
        </w:tc>
      </w:tr>
      <w:tr w:rsidR="00852622" w:rsidRPr="00554B02" w14:paraId="6DB53396" w14:textId="77777777" w:rsidTr="00460C69">
        <w:trPr>
          <w:cantSplit/>
          <w:trHeight w:val="20"/>
        </w:trPr>
        <w:tc>
          <w:tcPr>
            <w:tcW w:w="8505" w:type="dxa"/>
            <w:shd w:val="clear" w:color="auto" w:fill="F7FCFF"/>
          </w:tcPr>
          <w:p w14:paraId="40CF59CF" w14:textId="77777777" w:rsidR="00852622" w:rsidRPr="00554B02" w:rsidRDefault="00852622" w:rsidP="00460C69">
            <w:pPr>
              <w:pStyle w:val="SlimCell"/>
              <w:keepNext/>
            </w:pPr>
          </w:p>
        </w:tc>
      </w:tr>
      <w:tr w:rsidR="00852622" w:rsidRPr="00554B02" w14:paraId="30554F62" w14:textId="77777777" w:rsidTr="00460C69">
        <w:trPr>
          <w:cantSplit/>
        </w:trPr>
        <w:tc>
          <w:tcPr>
            <w:tcW w:w="8505" w:type="dxa"/>
            <w:shd w:val="clear" w:color="auto" w:fill="F7FCFF"/>
          </w:tcPr>
          <w:p w14:paraId="5B88F614" w14:textId="77777777" w:rsidR="00852622" w:rsidRPr="00554B02" w:rsidRDefault="00852622" w:rsidP="00460C69">
            <w:pPr>
              <w:pStyle w:val="BoxShape"/>
              <w:rPr>
                <w:sz w:val="2"/>
              </w:rPr>
            </w:pPr>
            <w:r>
              <w:rPr>
                <w:noProof/>
                <w:sz w:val="2"/>
                <w:lang w:val="hr-HR" w:eastAsia="hr-HR"/>
              </w:rPr>
              <w:drawing>
                <wp:inline distT="0" distB="0" distL="0" distR="0" wp14:anchorId="11992A94" wp14:editId="3C031FCC">
                  <wp:extent cx="4950877" cy="7515225"/>
                  <wp:effectExtent l="0" t="0" r="2540" b="0"/>
                  <wp:docPr id="80" name="Picture 80" descr="&lt;nbr&gt;I.1.1&lt;/nbr&gt;&#10;&lt;title&gt;Methodology for the migration assumptions in the 2015-based population projections&lt;/title&gt;&#10;&lt;id&gt;17de19fb-16b6-482a-a73f-8b553f15cb69&lt;/id&gt;&#10;&lt;srcType&gt;WORD&lt;/srcType&gt;&#10;&lt;srcPath&gt;U:\Budgetary projections 2018\Reports\2018 AR UA&amp;PM\Tables and graphs\Part I Chapter 1\&lt;/srcPath&gt;&#10;&lt;srcName&gt;Box 1 Migration.doc&lt;/srcName&gt;&#10;&lt;type&gt;box&lt;/type&gt;&#10;&lt;pos&gt;top&lt;/pos&gt;&#10;&lt;numbering&gt;external&lt;/numbering&gt;&#10;&lt;manNumb&gt;no&lt;/manNumb&gt;&#10;&lt;multi&gt;yes&lt;/multi&gt;&#10; &lt;partThis&gt;1&lt;/partThis&gt;&#10; &lt;partTot&gt;2&lt;/partTot&gt;&#10;&lt;statAnn&gt;no&lt;/statAnn&gt;&#10;&lt;float&gt;no&lt;/float&gt;&#10;&lt;bottomShapePageNumber&gt;-1&lt;/bottomShapePageNumber&gt;&#10;&lt;version&gt;2&lt;/version&gt;&#10;&lt;scrFileTime&gt;2017-09-27T15:47:06&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50877" cy="7515225"/>
                          </a:xfrm>
                          <a:prstGeom prst="rect">
                            <a:avLst/>
                          </a:prstGeom>
                          <a:noFill/>
                          <a:ln>
                            <a:noFill/>
                          </a:ln>
                        </pic:spPr>
                      </pic:pic>
                    </a:graphicData>
                  </a:graphic>
                </wp:inline>
              </w:drawing>
            </w:r>
          </w:p>
        </w:tc>
      </w:tr>
      <w:tr w:rsidR="00852622" w:rsidRPr="00554B02" w14:paraId="67AEC4A5" w14:textId="77777777" w:rsidTr="00460C69">
        <w:trPr>
          <w:cantSplit/>
          <w:trHeight w:val="20"/>
        </w:trPr>
        <w:tc>
          <w:tcPr>
            <w:tcW w:w="8505" w:type="dxa"/>
            <w:shd w:val="clear" w:color="auto" w:fill="F7FCFF"/>
          </w:tcPr>
          <w:p w14:paraId="53D32E94" w14:textId="77777777" w:rsidR="00852622" w:rsidRPr="00554B02" w:rsidRDefault="00852622" w:rsidP="00460C69">
            <w:pPr>
              <w:pStyle w:val="SlimCell"/>
              <w:keepNext/>
            </w:pPr>
          </w:p>
        </w:tc>
      </w:tr>
      <w:tr w:rsidR="00852622" w:rsidRPr="00554B02" w14:paraId="3B82BC4C" w14:textId="77777777" w:rsidTr="00460C69">
        <w:trPr>
          <w:cantSplit/>
        </w:trPr>
        <w:tc>
          <w:tcPr>
            <w:tcW w:w="8505" w:type="dxa"/>
            <w:shd w:val="clear" w:color="auto" w:fill="F7FCFF"/>
            <w:vAlign w:val="bottom"/>
          </w:tcPr>
          <w:p w14:paraId="36BAE8D3" w14:textId="77777777" w:rsidR="00852622" w:rsidRPr="00554B02" w:rsidRDefault="00852622" w:rsidP="00460C69">
            <w:pPr>
              <w:pStyle w:val="BoxContinueBottom"/>
            </w:pPr>
            <w:r>
              <w:t>(Continued on the next page)</w:t>
            </w:r>
          </w:p>
        </w:tc>
      </w:tr>
    </w:tbl>
    <w:p w14:paraId="217E7AB1" w14:textId="77777777" w:rsidR="00852622" w:rsidRPr="00554B02" w:rsidRDefault="00852622" w:rsidP="00460C69">
      <w:pPr>
        <w:pStyle w:val="MultipageDelimiter"/>
      </w:pPr>
    </w:p>
    <w:tbl>
      <w:tblPr>
        <w:tblpPr w:horzAnchor="margin" w:tblpYSpec="top"/>
        <w:tblOverlap w:val="never"/>
        <w:tblW w:w="0" w:type="auto"/>
        <w:tblBorders>
          <w:top w:val="single" w:sz="4" w:space="0" w:color="333399"/>
          <w:left w:val="single" w:sz="4" w:space="0" w:color="333399"/>
          <w:bottom w:val="single" w:sz="4" w:space="0" w:color="333399"/>
          <w:right w:val="single" w:sz="4" w:space="0" w:color="333399"/>
        </w:tblBorders>
        <w:shd w:val="clear" w:color="auto" w:fill="F7FCFF"/>
        <w:tblLayout w:type="fixed"/>
        <w:tblCellMar>
          <w:left w:w="0" w:type="dxa"/>
          <w:right w:w="0" w:type="dxa"/>
        </w:tblCellMar>
        <w:tblLook w:val="0000" w:firstRow="0" w:lastRow="0" w:firstColumn="0" w:lastColumn="0" w:noHBand="0" w:noVBand="0"/>
      </w:tblPr>
      <w:tblGrid>
        <w:gridCol w:w="8505"/>
      </w:tblGrid>
      <w:tr w:rsidR="00852622" w:rsidRPr="00554B02" w14:paraId="7D45E2B4" w14:textId="77777777" w:rsidTr="00460C69">
        <w:trPr>
          <w:cantSplit/>
        </w:trPr>
        <w:tc>
          <w:tcPr>
            <w:tcW w:w="8505" w:type="dxa"/>
            <w:shd w:val="clear" w:color="auto" w:fill="F7FCFF"/>
          </w:tcPr>
          <w:p w14:paraId="0C358BEE" w14:textId="77777777" w:rsidR="00852622" w:rsidRPr="00554B02" w:rsidRDefault="00852622" w:rsidP="00460C69">
            <w:pPr>
              <w:pStyle w:val="BoxContinueTop"/>
            </w:pPr>
            <w:r>
              <w:lastRenderedPageBreak/>
              <w:t>Box (continued)</w:t>
            </w:r>
          </w:p>
        </w:tc>
      </w:tr>
      <w:tr w:rsidR="00852622" w:rsidRPr="00554B02" w14:paraId="780A0EF7" w14:textId="77777777" w:rsidTr="00460C69">
        <w:trPr>
          <w:cantSplit/>
          <w:trHeight w:val="20"/>
        </w:trPr>
        <w:tc>
          <w:tcPr>
            <w:tcW w:w="8505" w:type="dxa"/>
            <w:shd w:val="clear" w:color="auto" w:fill="F7FCFF"/>
          </w:tcPr>
          <w:p w14:paraId="7D170AE6" w14:textId="77777777" w:rsidR="00852622" w:rsidRPr="00554B02" w:rsidRDefault="00852622" w:rsidP="00460C69">
            <w:pPr>
              <w:pStyle w:val="SlimCell"/>
              <w:keepNext/>
            </w:pPr>
          </w:p>
        </w:tc>
      </w:tr>
      <w:tr w:rsidR="00852622" w:rsidRPr="00554B02" w14:paraId="04EC4FE3" w14:textId="77777777" w:rsidTr="00460C69">
        <w:trPr>
          <w:cantSplit/>
        </w:trPr>
        <w:tc>
          <w:tcPr>
            <w:tcW w:w="8505" w:type="dxa"/>
            <w:shd w:val="clear" w:color="auto" w:fill="F7FCFF"/>
          </w:tcPr>
          <w:p w14:paraId="34ED0BD9" w14:textId="77777777" w:rsidR="00852622" w:rsidRPr="00554B02" w:rsidRDefault="00852622" w:rsidP="00460C69">
            <w:pPr>
              <w:pStyle w:val="BoxShape"/>
              <w:rPr>
                <w:sz w:val="2"/>
              </w:rPr>
            </w:pPr>
            <w:r>
              <w:rPr>
                <w:noProof/>
                <w:sz w:val="2"/>
                <w:lang w:val="hr-HR" w:eastAsia="hr-HR"/>
              </w:rPr>
              <w:drawing>
                <wp:inline distT="0" distB="0" distL="0" distR="0" wp14:anchorId="5EE79925" wp14:editId="75EAF794">
                  <wp:extent cx="4963239" cy="7515226"/>
                  <wp:effectExtent l="0" t="0" r="8890" b="0"/>
                  <wp:docPr id="81" name="Picture 81" descr="&lt;nbr&gt;I.1.1&lt;/nbr&gt;&#10;&lt;title&gt;Methodology for the migration assumptions in the 2015-based population projections&lt;/title&gt;&#10;&lt;id&gt;17de19fb-16b6-482a-a73f-8b553f15cb69&lt;/id&gt;&#10;&lt;srcType&gt;WORD&lt;/srcType&gt;&#10;&lt;srcPath&gt;U:\Budgetary projections 2018\Reports\2018 AR UA&amp;PM\Tables and graphs\Part I Chapter 1\&lt;/srcPath&gt;&#10;&lt;srcName&gt;Box 1 Migration.doc&lt;/srcName&gt;&#10;&lt;type&gt;box&lt;/type&gt;&#10;&lt;pos&gt;top&lt;/pos&gt;&#10;&lt;numbering&gt;external&lt;/numbering&gt;&#10;&lt;manNumb&gt;no&lt;/manNumb&gt;&#10;&lt;multi&gt;yes&lt;/multi&gt;&#10; &lt;partThis&gt;2&lt;/partThis&gt;&#10; &lt;partTot&gt;2&lt;/partTot&gt;&#10;&lt;statAnn&gt;no&lt;/statAnn&gt;&#10;&lt;float&gt;no&lt;/float&gt;&#10;&lt;bottomShapePageNumber&gt;-1&lt;/bottomShapePageNumber&gt;&#10;&lt;version&gt;2&lt;/version&gt;&#10;&lt;scrFileTime&gt;2017-09-27T15:47:06&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63239" cy="7515226"/>
                          </a:xfrm>
                          <a:prstGeom prst="rect">
                            <a:avLst/>
                          </a:prstGeom>
                          <a:noFill/>
                          <a:ln>
                            <a:noFill/>
                          </a:ln>
                        </pic:spPr>
                      </pic:pic>
                    </a:graphicData>
                  </a:graphic>
                </wp:inline>
              </w:drawing>
            </w:r>
          </w:p>
        </w:tc>
      </w:tr>
      <w:tr w:rsidR="00852622" w:rsidRPr="00554B02" w14:paraId="3149F90A" w14:textId="77777777" w:rsidTr="00460C69">
        <w:trPr>
          <w:cantSplit/>
          <w:trHeight w:val="20"/>
        </w:trPr>
        <w:tc>
          <w:tcPr>
            <w:tcW w:w="8505" w:type="dxa"/>
            <w:shd w:val="clear" w:color="auto" w:fill="F7FCFF"/>
          </w:tcPr>
          <w:p w14:paraId="78C178F3" w14:textId="77777777" w:rsidR="00852622" w:rsidRPr="00554B02" w:rsidRDefault="00852622" w:rsidP="00460C69">
            <w:pPr>
              <w:pStyle w:val="SlimCell"/>
              <w:keepNext/>
            </w:pPr>
          </w:p>
        </w:tc>
      </w:tr>
      <w:tr w:rsidR="00852622" w:rsidRPr="00554B02" w14:paraId="26E51019" w14:textId="77777777" w:rsidTr="00460C69">
        <w:trPr>
          <w:cantSplit/>
          <w:trHeight w:val="20"/>
        </w:trPr>
        <w:tc>
          <w:tcPr>
            <w:tcW w:w="8505" w:type="dxa"/>
            <w:shd w:val="clear" w:color="auto" w:fill="F7FCFF"/>
            <w:vAlign w:val="bottom"/>
          </w:tcPr>
          <w:p w14:paraId="7DE3CAB9" w14:textId="77777777" w:rsidR="00852622" w:rsidRPr="00554B02" w:rsidRDefault="00852622" w:rsidP="00460C69">
            <w:pPr>
              <w:pStyle w:val="SlimCell"/>
            </w:pPr>
          </w:p>
        </w:tc>
      </w:tr>
    </w:tbl>
    <w:p w14:paraId="3CA75058" w14:textId="77777777" w:rsidR="00852622" w:rsidRPr="00554B02" w:rsidRDefault="00852622" w:rsidP="00460C69">
      <w:pPr>
        <w:pStyle w:val="SlimCell"/>
      </w:pPr>
      <w:r w:rsidRPr="00554B02">
        <w:t>Overall results of the 2015-based population projection</w:t>
      </w:r>
    </w:p>
    <w:p w14:paraId="79C221D2" w14:textId="77777777" w:rsidR="00852622" w:rsidRPr="00554B02" w:rsidRDefault="00852622" w:rsidP="00460C69">
      <w:pPr>
        <w:pStyle w:val="NumberedHeading2"/>
        <w:tabs>
          <w:tab w:val="left" w:pos="567"/>
        </w:tabs>
      </w:pPr>
      <w:r w:rsidRPr="00554B02">
        <w:lastRenderedPageBreak/>
        <w:t>1.1.4.</w:t>
      </w:r>
      <w:r w:rsidRPr="00554B02">
        <w:tab/>
        <w:t>Baseline population size</w:t>
      </w:r>
    </w:p>
    <w:p w14:paraId="27987E09" w14:textId="77777777" w:rsidR="00852622" w:rsidRPr="00554B02" w:rsidRDefault="00852622" w:rsidP="00460C69">
      <w:pPr>
        <w:rPr>
          <w:b/>
          <w:i/>
        </w:rPr>
      </w:pPr>
      <w:r w:rsidRPr="00554B02">
        <w:rPr>
          <w:b/>
          <w:i/>
        </w:rPr>
        <w:t>The total population in the EU is projected to increase from 511 million in 2016 to 520 million in 2070 but the working-age population will decrease significantly due to fertility, life expectancy and migration dynamics.</w:t>
      </w:r>
    </w:p>
    <w:tbl>
      <w:tblPr>
        <w:tblW w:w="0" w:type="auto"/>
        <w:tblLayout w:type="fixed"/>
        <w:tblCellMar>
          <w:left w:w="0" w:type="dxa"/>
          <w:right w:w="0" w:type="dxa"/>
        </w:tblCellMar>
        <w:tblLook w:val="0000" w:firstRow="0" w:lastRow="0" w:firstColumn="0" w:lastColumn="0" w:noHBand="0" w:noVBand="0"/>
      </w:tblPr>
      <w:tblGrid>
        <w:gridCol w:w="4110"/>
      </w:tblGrid>
      <w:tr w:rsidR="00852622" w:rsidRPr="00554B02" w14:paraId="35A6DA36" w14:textId="77777777" w:rsidTr="00460C69">
        <w:trPr>
          <w:cantSplit/>
          <w:trHeight w:val="20"/>
        </w:trPr>
        <w:tc>
          <w:tcPr>
            <w:tcW w:w="4110" w:type="dxa"/>
            <w:shd w:val="clear" w:color="auto" w:fill="auto"/>
          </w:tcPr>
          <w:p w14:paraId="2027E5C8" w14:textId="77777777" w:rsidR="00852622" w:rsidRPr="00554B02" w:rsidRDefault="00852622" w:rsidP="00460C69">
            <w:pPr>
              <w:pStyle w:val="SlimCell"/>
              <w:keepNext/>
            </w:pPr>
          </w:p>
        </w:tc>
      </w:tr>
      <w:tr w:rsidR="00852622" w:rsidRPr="00554B02" w14:paraId="00BE24D6" w14:textId="77777777" w:rsidTr="00460C69">
        <w:trPr>
          <w:cantSplit/>
        </w:trPr>
        <w:tc>
          <w:tcPr>
            <w:tcW w:w="4110" w:type="dxa"/>
            <w:shd w:val="clear" w:color="auto" w:fill="auto"/>
          </w:tcPr>
          <w:p w14:paraId="5D0E1811" w14:textId="77777777" w:rsidR="00852622" w:rsidRPr="00554B02" w:rsidRDefault="00852622" w:rsidP="00460C69">
            <w:pPr>
              <w:pStyle w:val="TableTitle"/>
              <w:rPr>
                <w:b/>
              </w:rPr>
            </w:pPr>
            <w:r w:rsidRPr="00554B02">
              <w:t>Table I.1.2:</w:t>
            </w:r>
            <w:r w:rsidRPr="00554B02">
              <w:rPr>
                <w:b/>
              </w:rPr>
              <w:tab/>
              <w:t>Total population projections, 2016-70</w:t>
            </w:r>
          </w:p>
        </w:tc>
      </w:tr>
      <w:tr w:rsidR="00852622" w:rsidRPr="00554B02" w14:paraId="7346B610" w14:textId="77777777" w:rsidTr="00460C69">
        <w:trPr>
          <w:cantSplit/>
        </w:trPr>
        <w:tc>
          <w:tcPr>
            <w:tcW w:w="4110" w:type="dxa"/>
            <w:shd w:val="clear" w:color="auto" w:fill="auto"/>
          </w:tcPr>
          <w:p w14:paraId="1997E55C" w14:textId="77777777" w:rsidR="00852622" w:rsidRPr="00554B02" w:rsidRDefault="00852622" w:rsidP="00460C69">
            <w:pPr>
              <w:pStyle w:val="TableShape"/>
              <w:rPr>
                <w:sz w:val="2"/>
              </w:rPr>
            </w:pPr>
            <w:r w:rsidRPr="00554B02">
              <w:fldChar w:fldCharType="begin"/>
            </w:r>
            <w:r w:rsidRPr="009F3ED8">
              <w:instrText xml:space="preserve"> TC "</w:instrText>
            </w:r>
            <w:bookmarkStart w:id="48" w:name="_Toc511664509"/>
            <w:r w:rsidRPr="009F3ED8">
              <w:instrText>I.1.2.</w:instrText>
            </w:r>
            <w:r w:rsidRPr="009F3ED8">
              <w:tab/>
              <w:instrText>Total population projections, 2016-70</w:instrText>
            </w:r>
            <w:bookmarkEnd w:id="48"/>
            <w:r w:rsidRPr="009F3ED8">
              <w:instrText xml:space="preserve">" \ftable \l 5 </w:instrText>
            </w:r>
            <w:r w:rsidRPr="00554B02">
              <w:fldChar w:fldCharType="end"/>
            </w:r>
            <w:r>
              <w:rPr>
                <w:noProof/>
                <w:sz w:val="2"/>
                <w:lang w:val="hr-HR" w:eastAsia="hr-HR"/>
              </w:rPr>
              <w:drawing>
                <wp:inline distT="0" distB="0" distL="0" distR="0" wp14:anchorId="5228F27C" wp14:editId="07EB537F">
                  <wp:extent cx="2597595" cy="3289655"/>
                  <wp:effectExtent l="0" t="0" r="0" b="6350"/>
                  <wp:docPr id="82" name="Picture 82" descr="&lt;nbr&gt;&lt;GETTEXTFROMWORD&gt;&lt;/nbr&gt;&#10;&lt;title&gt;&lt;GETTEXTFROMWORD&gt;&lt;/title&gt;&#10;&lt;id&gt;24f51382-7312-4816-aeae-8bbd6a9fc64e&lt;/id&gt;&#10;&lt;srcType&gt;EXCEL&lt;/srcType&gt;&#10;&lt;srcPath&gt;U:\Budgetary projections 2018\Reports\2018 AR\Tables_and_graphs\Part I Chapter 1\&lt;/srcPath&gt;&#10;&lt;srcName&gt;Tables &amp; charts - CHAP1.xlsx&lt;/srcName&gt;&#10;&lt;type&gt;table&lt;/type&gt;&#10; &lt;srcSheet&gt;Table1.2&lt;/srcSheet&gt;&#10; &lt;srcRange&gt;R2C2:R35C12&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7:28:4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97595" cy="3289655"/>
                          </a:xfrm>
                          <a:prstGeom prst="rect">
                            <a:avLst/>
                          </a:prstGeom>
                          <a:noFill/>
                          <a:ln>
                            <a:noFill/>
                          </a:ln>
                        </pic:spPr>
                      </pic:pic>
                    </a:graphicData>
                  </a:graphic>
                </wp:inline>
              </w:drawing>
            </w:r>
          </w:p>
        </w:tc>
      </w:tr>
      <w:tr w:rsidR="00852622" w:rsidRPr="00554B02" w14:paraId="390436CE" w14:textId="77777777" w:rsidTr="00460C69">
        <w:trPr>
          <w:cantSplit/>
        </w:trPr>
        <w:tc>
          <w:tcPr>
            <w:tcW w:w="4110" w:type="dxa"/>
            <w:shd w:val="clear" w:color="auto" w:fill="auto"/>
          </w:tcPr>
          <w:p w14:paraId="7AC37FA1" w14:textId="77777777" w:rsidR="00852622" w:rsidRPr="00554B02" w:rsidRDefault="00852622" w:rsidP="00460C69">
            <w:pPr>
              <w:pStyle w:val="TableSource"/>
            </w:pPr>
            <w:r w:rsidRPr="00554B02">
              <w:rPr>
                <w:b/>
                <w:i/>
              </w:rPr>
              <w:t>Source:</w:t>
            </w:r>
            <w:r w:rsidRPr="00554B02">
              <w:t xml:space="preserve"> Eurostat, 2015-based population projections. </w:t>
            </w:r>
          </w:p>
        </w:tc>
      </w:tr>
      <w:tr w:rsidR="00852622" w:rsidRPr="00554B02" w14:paraId="1EEA1A87" w14:textId="77777777" w:rsidTr="00460C69">
        <w:trPr>
          <w:cantSplit/>
          <w:trHeight w:val="20"/>
        </w:trPr>
        <w:tc>
          <w:tcPr>
            <w:tcW w:w="4110" w:type="dxa"/>
            <w:shd w:val="clear" w:color="auto" w:fill="auto"/>
            <w:tcMar>
              <w:bottom w:w="240" w:type="dxa"/>
            </w:tcMar>
          </w:tcPr>
          <w:p w14:paraId="71B7454A" w14:textId="77777777" w:rsidR="00852622" w:rsidRPr="00554B02" w:rsidRDefault="00852622" w:rsidP="00460C69">
            <w:pPr>
              <w:pStyle w:val="SlimCell"/>
            </w:pPr>
          </w:p>
        </w:tc>
      </w:tr>
    </w:tbl>
    <w:p w14:paraId="16085D3A" w14:textId="77777777" w:rsidR="00852622" w:rsidRPr="00554B02" w:rsidRDefault="00852622" w:rsidP="00460C69">
      <w:r w:rsidRPr="00554B02">
        <w:t xml:space="preserve">The overall size of the population is projected to be slightly larger by 2070 than in 2016, with a hump-shaped trajectory. The EU population is projected to increase from 510.9 million in 2016 to 528.5 million in 2040, remain stable until 2050 and decline thereafter to 520.3 million in 2070. </w:t>
      </w:r>
    </w:p>
    <w:p w14:paraId="59ED25AD" w14:textId="77777777" w:rsidR="00852622" w:rsidRPr="00554B02" w:rsidRDefault="00852622" w:rsidP="00460C69">
      <w:r w:rsidRPr="00554B02">
        <w:t xml:space="preserve">Moreover, while the total EU population is set to increase by 1.8% over the 2016-70 projection horizon, there are wide differences in trends across Member States (see Table </w:t>
      </w:r>
      <w:r w:rsidRPr="00554B02">
        <w:fldChar w:fldCharType="begin"/>
      </w:r>
      <w:r w:rsidRPr="00554B02">
        <w:instrText xml:space="preserve"> QUOTE "I.1.2"</w:instrText>
      </w:r>
      <w:r w:rsidRPr="00554B02">
        <w:fldChar w:fldCharType="begin">
          <w:fldData xml:space="preserve">QwBSAE8AUwBTAFIARQBGAEUAUgBFAE4AQwBFACoAVABBAEIATABFACoAMgA0AGYANQAxADMAOAAy
AC0ANwAzADEAMgAtADQAOAAxADYALQBhAGUAYQBlAC0AOABiAGIAZAA2AGEAOQBmAGMANgA0AGUA
</w:fldData>
        </w:fldChar>
      </w:r>
      <w:r w:rsidRPr="00554B02">
        <w:instrText xml:space="preserve"> ADDIN </w:instrText>
      </w:r>
      <w:r w:rsidRPr="00554B02">
        <w:fldChar w:fldCharType="end"/>
      </w:r>
      <w:r w:rsidRPr="00554B02">
        <w:instrText xml:space="preserve"> </w:instrText>
      </w:r>
      <w:r w:rsidRPr="00554B02">
        <w:fldChar w:fldCharType="separate"/>
      </w:r>
      <w:r w:rsidR="009F3ED8" w:rsidRPr="00554B02">
        <w:t>I.1.2</w:t>
      </w:r>
      <w:r w:rsidRPr="00554B02">
        <w:fldChar w:fldCharType="end"/>
      </w:r>
      <w:r w:rsidRPr="00554B02">
        <w:t xml:space="preserve">). </w:t>
      </w:r>
    </w:p>
    <w:p w14:paraId="79CB531B" w14:textId="77777777" w:rsidR="00852622" w:rsidRPr="00554B02" w:rsidRDefault="00852622" w:rsidP="00460C69">
      <w:r w:rsidRPr="00554B02">
        <w:t>Decreases of the total population are projected for half of the EU28 Member States, with the declines ranging from -3.9% (Germany) to -40.1% (Lithuania). The strongest population growth is projected in Luxembourg (+78.0%), Sweden (+39.9%), and Ireland (28.9%), while the lowest positive growth is projected for Finland (2.3%).</w:t>
      </w:r>
    </w:p>
    <w:p w14:paraId="08403D48" w14:textId="77777777" w:rsidR="00852622" w:rsidRPr="00554B02" w:rsidRDefault="00852622" w:rsidP="00460C69">
      <w:r w:rsidRPr="00554B02">
        <w:lastRenderedPageBreak/>
        <w:t>In 2016, the Member States with the largest population were Germany (82.5 million), France (66.8 million), the United Kingdom (65.6 million), Italy (60.8 million) and Spain (46.4 million). In 2070, the UK is projected to become the most populous country (81 million), followed by Germany (79.2 million), France (77 million), Italy (54.9 million) and Spain (49.9 million).</w:t>
      </w:r>
    </w:p>
    <w:p w14:paraId="237B9A0C" w14:textId="77777777" w:rsidR="00852622" w:rsidRPr="00554B02" w:rsidRDefault="00852622" w:rsidP="00460C69">
      <w:r w:rsidRPr="00554B02">
        <w:t xml:space="preserve">The population pyramids presented in Graph </w:t>
      </w:r>
      <w:r w:rsidRPr="00554B02">
        <w:fldChar w:fldCharType="begin"/>
      </w:r>
      <w:r w:rsidRPr="00554B02">
        <w:instrText xml:space="preserve"> QUOTE "I.1.9"</w:instrText>
      </w:r>
      <w:r w:rsidRPr="00554B02">
        <w:fldChar w:fldCharType="begin">
          <w:fldData xml:space="preserve">QwBSAE8AUwBTAFIARQBGAEUAUgBFAE4AQwBFACoAQwBMAFUAUwBUAEUAUgAgAE8ARgAgAEcAUgBB
AFAASABTACoAYwA5AGYANAAyADkAZABmAC0AOABjADUAZQAtADQAOABjAGEALQBhADAAZQBkAC0A
ZAAyADIAZgBkADQAYQBhADYAYgAxADQA
</w:fldData>
        </w:fldChar>
      </w:r>
      <w:r w:rsidRPr="00554B02">
        <w:instrText xml:space="preserve"> ADDIN </w:instrText>
      </w:r>
      <w:r w:rsidRPr="00554B02">
        <w:fldChar w:fldCharType="end"/>
      </w:r>
      <w:r w:rsidRPr="00554B02">
        <w:instrText xml:space="preserve"> </w:instrText>
      </w:r>
      <w:r w:rsidRPr="00554B02">
        <w:fldChar w:fldCharType="separate"/>
      </w:r>
      <w:r w:rsidR="009F3ED8" w:rsidRPr="00554B02">
        <w:t>I.1.9</w:t>
      </w:r>
      <w:r w:rsidRPr="00554B02">
        <w:fldChar w:fldCharType="end"/>
      </w:r>
      <w:r w:rsidRPr="00554B02">
        <w:t xml:space="preserve"> show that according to the baseline 2015-based population projections, the structure of the EU and euro-area populations is expected to age significantly. </w:t>
      </w:r>
    </w:p>
    <w:tbl>
      <w:tblPr>
        <w:tblW w:w="0" w:type="auto"/>
        <w:tblLayout w:type="fixed"/>
        <w:tblCellMar>
          <w:left w:w="0" w:type="dxa"/>
          <w:right w:w="0" w:type="dxa"/>
        </w:tblCellMar>
        <w:tblLook w:val="0000" w:firstRow="0" w:lastRow="0" w:firstColumn="0" w:lastColumn="0" w:noHBand="0" w:noVBand="0"/>
      </w:tblPr>
      <w:tblGrid>
        <w:gridCol w:w="4110"/>
      </w:tblGrid>
      <w:tr w:rsidR="00852622" w:rsidRPr="00554B02" w14:paraId="1A987E71" w14:textId="77777777" w:rsidTr="00460C69">
        <w:trPr>
          <w:cantSplit/>
        </w:trPr>
        <w:tc>
          <w:tcPr>
            <w:tcW w:w="4110" w:type="dxa"/>
            <w:shd w:val="clear" w:color="auto" w:fill="auto"/>
          </w:tcPr>
          <w:p w14:paraId="57D17C40" w14:textId="77777777" w:rsidR="00852622" w:rsidRPr="00554B02" w:rsidRDefault="00852622" w:rsidP="00460C69">
            <w:pPr>
              <w:pStyle w:val="GraphTitle"/>
              <w:rPr>
                <w:b/>
              </w:rPr>
            </w:pPr>
            <w:r w:rsidRPr="00554B02">
              <w:t>Graph I.1.9:</w:t>
            </w:r>
            <w:r w:rsidRPr="00554B02">
              <w:rPr>
                <w:b/>
              </w:rPr>
              <w:tab/>
              <w:t>Population by age group and gender, 2016-70 (thousands)</w:t>
            </w:r>
          </w:p>
        </w:tc>
      </w:tr>
      <w:tr w:rsidR="00852622" w:rsidRPr="00554B02" w14:paraId="540530F7" w14:textId="77777777" w:rsidTr="00460C69">
        <w:trPr>
          <w:cantSplit/>
        </w:trPr>
        <w:tc>
          <w:tcPr>
            <w:tcW w:w="4110" w:type="dxa"/>
            <w:shd w:val="clear" w:color="auto" w:fill="auto"/>
          </w:tcPr>
          <w:p w14:paraId="67376AB3" w14:textId="77777777" w:rsidR="00852622" w:rsidRPr="00554B02" w:rsidRDefault="00852622" w:rsidP="00460C69">
            <w:pPr>
              <w:pStyle w:val="GraphShape"/>
              <w:rPr>
                <w:sz w:val="2"/>
              </w:rPr>
            </w:pPr>
            <w:r w:rsidRPr="00554B02">
              <w:fldChar w:fldCharType="begin"/>
            </w:r>
            <w:r w:rsidRPr="009F3ED8">
              <w:instrText xml:space="preserve"> TC "</w:instrText>
            </w:r>
            <w:bookmarkStart w:id="49" w:name="_Toc511664630"/>
            <w:r w:rsidRPr="009F3ED8">
              <w:instrText>I.1.9.</w:instrText>
            </w:r>
            <w:r w:rsidRPr="009F3ED8">
              <w:tab/>
              <w:instrText>Population by age group and gender, 2016-70 (thousands)</w:instrText>
            </w:r>
            <w:bookmarkEnd w:id="49"/>
            <w:r w:rsidRPr="009F3ED8">
              <w:instrText xml:space="preserve">" \fgraph \l 5 </w:instrText>
            </w:r>
            <w:r w:rsidRPr="00554B02">
              <w:fldChar w:fldCharType="end"/>
            </w:r>
            <w:r>
              <w:rPr>
                <w:noProof/>
                <w:sz w:val="2"/>
                <w:lang w:val="hr-HR" w:eastAsia="hr-HR"/>
              </w:rPr>
              <w:drawing>
                <wp:inline distT="0" distB="0" distL="0" distR="0" wp14:anchorId="69EED772" wp14:editId="0ACC25FB">
                  <wp:extent cx="2597595" cy="4616893"/>
                  <wp:effectExtent l="0" t="0" r="0" b="0"/>
                  <wp:docPr id="83" name="Picture 83" descr="&lt;nbr&gt;&lt;GETTEXTFROMWORD&gt;&lt;/nbr&gt;&#10;&lt;title&gt;&lt;GETTEXTFROMWORD&gt;&lt;/title&gt;&#10;&lt;id&gt;c9f429df-8c5e-48ca-a0ed-d22fd4aa6b14&lt;/id&gt;&#10;&lt;srcType&gt;EXCEL&lt;/srcType&gt;&#10;&lt;srcPath&gt;U:\Budgetary projections 2018\Reports\2018 AR\Tables_and_graphs\Part I Chapter 1\&lt;/srcPath&gt;&#10;&lt;srcName&gt;Tables &amp; charts - CHAP1.xlsx&lt;/srcName&gt;&#10;&lt;type&gt;clusterofgraphs&lt;/type&gt;&#10; &lt;srcSheet&gt;Pyramid_final&lt;/srcSheet&gt;&#10; &lt;individualNumbers&gt;no&lt;/individualNumbers&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7:28:4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97595" cy="4616893"/>
                          </a:xfrm>
                          <a:prstGeom prst="rect">
                            <a:avLst/>
                          </a:prstGeom>
                          <a:noFill/>
                          <a:ln>
                            <a:noFill/>
                          </a:ln>
                        </pic:spPr>
                      </pic:pic>
                    </a:graphicData>
                  </a:graphic>
                </wp:inline>
              </w:drawing>
            </w:r>
          </w:p>
        </w:tc>
      </w:tr>
      <w:tr w:rsidR="00852622" w:rsidRPr="00554B02" w14:paraId="7ED5D41D" w14:textId="77777777" w:rsidTr="00460C69">
        <w:trPr>
          <w:cantSplit/>
        </w:trPr>
        <w:tc>
          <w:tcPr>
            <w:tcW w:w="4110" w:type="dxa"/>
            <w:shd w:val="clear" w:color="auto" w:fill="auto"/>
            <w:tcMar>
              <w:bottom w:w="240" w:type="dxa"/>
            </w:tcMar>
          </w:tcPr>
          <w:p w14:paraId="663448B2" w14:textId="77777777" w:rsidR="00852622" w:rsidRPr="00554B02" w:rsidRDefault="00852622" w:rsidP="00460C69">
            <w:pPr>
              <w:pStyle w:val="GraphSource"/>
              <w:keepNext/>
            </w:pPr>
            <w:r w:rsidRPr="00554B02">
              <w:rPr>
                <w:b/>
                <w:i/>
              </w:rPr>
              <w:t>Source:</w:t>
            </w:r>
            <w:r w:rsidRPr="00554B02">
              <w:t xml:space="preserve"> Eurostat, 2015-based population projection.</w:t>
            </w:r>
          </w:p>
        </w:tc>
      </w:tr>
    </w:tbl>
    <w:p w14:paraId="6C375B9C" w14:textId="77777777" w:rsidR="00852622" w:rsidRPr="00554B02" w:rsidRDefault="00852622" w:rsidP="00460C69">
      <w:r w:rsidRPr="00554B02">
        <w:t xml:space="preserve">For males, in all age cohorts between 0-64, the projected population in 2070 is lower than the population in 2016 in the EU. Conversely, in all </w:t>
      </w:r>
      <w:r w:rsidRPr="00554B02">
        <w:lastRenderedPageBreak/>
        <w:t xml:space="preserve">age cohorts of 65 years old and above, the projected population in 2070 is higher than in 2015.  For females in all age cohorts between 0-69 years old, the projected population in 2070 is lower than in 2016. Conversely, in the age cohorts above 69 years old, the projected population in 2070 will be higher than in 2016.  </w:t>
      </w:r>
    </w:p>
    <w:p w14:paraId="22C27246" w14:textId="77777777" w:rsidR="00852622" w:rsidRPr="00554B02" w:rsidRDefault="00852622" w:rsidP="00460C69">
      <w:r w:rsidRPr="00554B02">
        <w:t>Moreover, while in 2016 the largest cohort for both males and females is 45-49 years old, in 2070 the largest cohort will be 70-74 years old for women and 50-54 years old for men. Overall, the median age will rise from 41 years old in 2016 to 45 in 2070 for men and from 43 years old to 47 for women.</w:t>
      </w:r>
    </w:p>
    <w:p w14:paraId="18A6B1FC" w14:textId="77777777" w:rsidR="00852622" w:rsidRPr="00554B02" w:rsidRDefault="00852622" w:rsidP="00460C69">
      <w:r w:rsidRPr="00554B02">
        <w:t xml:space="preserve">Similar developments are anticipated for the euro-area. For males, in all age cohorts between 0-64, the projected population in 2070 is lower than in 2016 while the opposite is true for the cohorts 65 years old and above. For females, the age cohorts up to 69 years old are projected to have a smaller population in 2070 than in 2016, while the population in the cohorts 70 years old and above is </w:t>
      </w:r>
      <w:r w:rsidRPr="00554B02">
        <w:rPr>
          <w:u w:val="single"/>
        </w:rPr>
        <w:t>p</w:t>
      </w:r>
      <w:r w:rsidRPr="00554B02">
        <w:t>rojected to grow during this period.</w:t>
      </w:r>
    </w:p>
    <w:p w14:paraId="4E06E01F" w14:textId="77777777" w:rsidR="00852622" w:rsidRPr="00554B02" w:rsidRDefault="00852622" w:rsidP="00460C69">
      <w:r w:rsidRPr="00554B02">
        <w:t xml:space="preserve">The drivers of these trends are manifold: first, the </w:t>
      </w:r>
      <w:r w:rsidRPr="00554B02">
        <w:lastRenderedPageBreak/>
        <w:t xml:space="preserve">increasing share of the population in the higher age cohorts is due to the combination of the numerous cohorts born in the 1950's and 1960's and the continuing projected gains in life expectancy. </w:t>
      </w:r>
    </w:p>
    <w:p w14:paraId="78D0DB5A" w14:textId="77777777" w:rsidR="00852622" w:rsidRPr="00554B02" w:rsidRDefault="00852622" w:rsidP="00460C69">
      <w:r w:rsidRPr="00554B02">
        <w:t xml:space="preserve">Secondly, the size of the groups between the ages of 20-59 (the bulk of the working age population) shrinks significantly between 2016 and 2070 due to fertility rates below natural replacement level and shrinking cohorts of women in childbearing ages. Finally, net migration flows are not projected to offset the aforementioned trends. </w:t>
      </w:r>
    </w:p>
    <w:p w14:paraId="7F7C0094" w14:textId="77777777" w:rsidR="00852622" w:rsidRPr="00554B02" w:rsidRDefault="00852622" w:rsidP="00460C69">
      <w:r w:rsidRPr="00554B02">
        <w:t>The implications of this ageing process is that for the EU and the euro-area, the working age population (15-64 year olds) is projected to shrink during the projection period as a share of the total population (see Table</w:t>
      </w:r>
      <w:r w:rsidRPr="00554B02">
        <w:fldChar w:fldCharType="begin"/>
      </w:r>
      <w:r w:rsidRPr="00554B02">
        <w:instrText xml:space="preserve"> QUOTE "I.1.3"</w:instrText>
      </w:r>
      <w:r w:rsidRPr="00554B02">
        <w:fldChar w:fldCharType="begin">
          <w:fldData xml:space="preserve">QwBSAE8AUwBTAFIARQBGAEUAUgBFAE4AQwBFACoAVABBAEIATABFACoAMwBlADUANwAyADkAMQBj
AC0ANQA2ADEAZgAtADQANQAwADMALQA4ADcANABhAC0AMgA3AGMAYwA3ADIAYwAzAGUANwBiADgA
</w:fldData>
        </w:fldChar>
      </w:r>
      <w:r w:rsidRPr="00554B02">
        <w:instrText xml:space="preserve"> ADDIN </w:instrText>
      </w:r>
      <w:r w:rsidRPr="00554B02">
        <w:fldChar w:fldCharType="end"/>
      </w:r>
      <w:r w:rsidRPr="00554B02">
        <w:instrText xml:space="preserve"> </w:instrText>
      </w:r>
      <w:r w:rsidRPr="00554B02">
        <w:fldChar w:fldCharType="separate"/>
      </w:r>
      <w:r w:rsidR="009F3ED8" w:rsidRPr="00554B02">
        <w:t>I.1.3</w:t>
      </w:r>
      <w:r w:rsidRPr="00554B02">
        <w:fldChar w:fldCharType="end"/>
      </w:r>
      <w:r w:rsidRPr="00554B02">
        <w:t>).</w:t>
      </w:r>
    </w:p>
    <w:tbl>
      <w:tblPr>
        <w:tblpPr w:horzAnchor="margin" w:tblpYSpec="bottom"/>
        <w:tblOverlap w:val="never"/>
        <w:tblW w:w="0" w:type="auto"/>
        <w:tblLayout w:type="fixed"/>
        <w:tblCellMar>
          <w:left w:w="0" w:type="dxa"/>
          <w:right w:w="0" w:type="dxa"/>
        </w:tblCellMar>
        <w:tblLook w:val="0000" w:firstRow="0" w:lastRow="0" w:firstColumn="0" w:lastColumn="0" w:noHBand="0" w:noVBand="0"/>
      </w:tblPr>
      <w:tblGrid>
        <w:gridCol w:w="8505"/>
      </w:tblGrid>
      <w:tr w:rsidR="00852622" w:rsidRPr="00554B02" w14:paraId="56143D0B" w14:textId="77777777" w:rsidTr="00460C69">
        <w:trPr>
          <w:cantSplit/>
          <w:trHeight w:val="20"/>
        </w:trPr>
        <w:tc>
          <w:tcPr>
            <w:tcW w:w="8505" w:type="dxa"/>
            <w:shd w:val="clear" w:color="auto" w:fill="auto"/>
          </w:tcPr>
          <w:p w14:paraId="532F3BC1" w14:textId="77777777" w:rsidR="00852622" w:rsidRPr="00554B02" w:rsidRDefault="00852622" w:rsidP="00460C69">
            <w:pPr>
              <w:pStyle w:val="SlimCell"/>
              <w:keepNext/>
            </w:pPr>
          </w:p>
        </w:tc>
      </w:tr>
      <w:tr w:rsidR="00852622" w:rsidRPr="00554B02" w14:paraId="228AF0A5" w14:textId="77777777" w:rsidTr="00460C69">
        <w:trPr>
          <w:cantSplit/>
        </w:trPr>
        <w:tc>
          <w:tcPr>
            <w:tcW w:w="8505" w:type="dxa"/>
            <w:shd w:val="clear" w:color="auto" w:fill="auto"/>
          </w:tcPr>
          <w:p w14:paraId="6176B858" w14:textId="77777777" w:rsidR="00852622" w:rsidRPr="00554B02" w:rsidRDefault="00852622" w:rsidP="00460C69">
            <w:pPr>
              <w:pStyle w:val="TableTitle"/>
              <w:rPr>
                <w:b/>
              </w:rPr>
            </w:pPr>
            <w:r w:rsidRPr="00554B02">
              <w:t>Table I.1.3:</w:t>
            </w:r>
            <w:r w:rsidRPr="00554B02">
              <w:rPr>
                <w:b/>
              </w:rPr>
              <w:tab/>
              <w:t>Decomposition of the population by age-groups, 2016 and 2070</w:t>
            </w:r>
          </w:p>
        </w:tc>
      </w:tr>
      <w:tr w:rsidR="00852622" w:rsidRPr="00554B02" w14:paraId="4C7C91C1" w14:textId="77777777" w:rsidTr="00460C69">
        <w:trPr>
          <w:cantSplit/>
        </w:trPr>
        <w:tc>
          <w:tcPr>
            <w:tcW w:w="8505" w:type="dxa"/>
            <w:shd w:val="clear" w:color="auto" w:fill="auto"/>
          </w:tcPr>
          <w:p w14:paraId="473EBA44" w14:textId="77777777" w:rsidR="00852622" w:rsidRPr="00554B02" w:rsidRDefault="00852622" w:rsidP="00460C69">
            <w:pPr>
              <w:pStyle w:val="TableShape"/>
              <w:rPr>
                <w:sz w:val="2"/>
              </w:rPr>
            </w:pPr>
            <w:r w:rsidRPr="00554B02">
              <w:rPr>
                <w:noProof/>
                <w:sz w:val="2"/>
                <w:lang w:val="hr-HR" w:eastAsia="hr-HR"/>
              </w:rPr>
              <w:drawing>
                <wp:inline distT="0" distB="0" distL="0" distR="0" wp14:anchorId="54D9C16F" wp14:editId="40DEA274">
                  <wp:extent cx="5400929" cy="3504851"/>
                  <wp:effectExtent l="0" t="0" r="0" b="635"/>
                  <wp:docPr id="84" name="Picture 84" descr="&lt;nbr&gt;&lt;GETTEXTFROMWORD&gt;&lt;/nbr&gt;&#10;&lt;title&gt;&lt;GETTEXTFROMWORD&gt;&lt;/title&gt;&#10;&lt;id&gt;3e57291c-561f-4503-874a-27cc72c3e7b8&lt;/id&gt;&#10;&lt;srcType&gt;EXCEL&lt;/srcType&gt;&#10;&lt;srcPath&gt;U:\Budgetary projections 2018\Reports\2018 AR\Tables_and_graphs\Part I Chapter 1\&lt;/srcPath&gt;&#10;&lt;srcName&gt;Tables &amp; charts - CHAP1.xlsx&lt;/srcName&gt;&#10;&lt;type&gt;table&lt;/type&gt;&#10; &lt;srcSheet&gt;Table1.3&lt;/srcSheet&gt;&#10; &lt;srcRange&gt;R2C2:R35C10&lt;/srcRange&gt;&#10;&lt;pos&gt;bottom_maintext&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7:28:4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929" cy="3504851"/>
                          </a:xfrm>
                          <a:prstGeom prst="rect">
                            <a:avLst/>
                          </a:prstGeom>
                          <a:noFill/>
                          <a:ln>
                            <a:noFill/>
                          </a:ln>
                        </pic:spPr>
                      </pic:pic>
                    </a:graphicData>
                  </a:graphic>
                </wp:inline>
              </w:drawing>
            </w:r>
          </w:p>
        </w:tc>
      </w:tr>
      <w:tr w:rsidR="00852622" w:rsidRPr="00554B02" w14:paraId="5E5784C1" w14:textId="77777777" w:rsidTr="00460C69">
        <w:trPr>
          <w:cantSplit/>
        </w:trPr>
        <w:tc>
          <w:tcPr>
            <w:tcW w:w="8505" w:type="dxa"/>
            <w:shd w:val="clear" w:color="auto" w:fill="auto"/>
          </w:tcPr>
          <w:p w14:paraId="61F064CA" w14:textId="77777777" w:rsidR="00852622" w:rsidRPr="00554B02" w:rsidRDefault="00852622" w:rsidP="00460C69">
            <w:pPr>
              <w:pStyle w:val="TableSource"/>
            </w:pPr>
            <w:r w:rsidRPr="00554B02">
              <w:rPr>
                <w:b/>
                <w:i/>
              </w:rPr>
              <w:t>Source:</w:t>
            </w:r>
            <w:r w:rsidRPr="00554B02">
              <w:t xml:space="preserve"> Eurostat, 2015-based population projections.</w:t>
            </w:r>
          </w:p>
        </w:tc>
      </w:tr>
      <w:tr w:rsidR="00852622" w:rsidRPr="00554B02" w14:paraId="5972E40B" w14:textId="77777777" w:rsidTr="00460C69">
        <w:trPr>
          <w:cantSplit/>
          <w:trHeight w:val="20"/>
        </w:trPr>
        <w:tc>
          <w:tcPr>
            <w:tcW w:w="8505" w:type="dxa"/>
            <w:shd w:val="clear" w:color="auto" w:fill="auto"/>
          </w:tcPr>
          <w:p w14:paraId="5E8CC51D" w14:textId="77777777" w:rsidR="00852622" w:rsidRPr="00554B02" w:rsidRDefault="00852622" w:rsidP="00460C69">
            <w:pPr>
              <w:pStyle w:val="SlimCell"/>
            </w:pPr>
          </w:p>
        </w:tc>
      </w:tr>
    </w:tbl>
    <w:p w14:paraId="27A3532A" w14:textId="77777777" w:rsidR="00852622" w:rsidRPr="00554B02" w:rsidRDefault="00852622" w:rsidP="00460C69">
      <w:r w:rsidRPr="00554B02">
        <w:fldChar w:fldCharType="begin"/>
      </w:r>
      <w:r w:rsidRPr="009F3ED8">
        <w:instrText xml:space="preserve"> TC "</w:instrText>
      </w:r>
      <w:bookmarkStart w:id="50" w:name="_Toc511664510"/>
      <w:r w:rsidRPr="009F3ED8">
        <w:instrText>I.1.3.</w:instrText>
      </w:r>
      <w:r w:rsidRPr="009F3ED8">
        <w:tab/>
        <w:instrText>Decomposition of the population by age-groups, 2016 and 2070</w:instrText>
      </w:r>
      <w:bookmarkEnd w:id="50"/>
      <w:r w:rsidRPr="009F3ED8">
        <w:instrText xml:space="preserve">" \ftable \l 5 </w:instrText>
      </w:r>
      <w:r w:rsidRPr="00554B02">
        <w:fldChar w:fldCharType="end"/>
      </w:r>
      <w:r w:rsidRPr="00554B02">
        <w:t xml:space="preserve">The proportion of young people (aged 0-14) is projected to remain fairly constant by 2070 in the EU28, falling from 16% to 15%. Those aged 65 and over will become a much larger share, rising from 19% to 29% of the population, while the share of those aged 80 and over will increase from 5% to 13%, becoming almost as large as the young population in 2070. By contrast, those aged 15-64 </w:t>
      </w:r>
      <w:r w:rsidRPr="00554B02">
        <w:lastRenderedPageBreak/>
        <w:fldChar w:fldCharType="begin"/>
      </w:r>
      <w:r w:rsidRPr="009F3ED8">
        <w:instrText xml:space="preserve"> TC "</w:instrText>
      </w:r>
      <w:bookmarkStart w:id="51" w:name="_Toc511664511"/>
      <w:r w:rsidRPr="009F3ED8">
        <w:instrText>I.1.4.</w:instrText>
      </w:r>
      <w:r w:rsidRPr="009F3ED8">
        <w:tab/>
        <w:instrText>Demographic dependency ratios, 2016-2070 (%)</w:instrText>
      </w:r>
      <w:bookmarkEnd w:id="51"/>
      <w:r w:rsidRPr="009F3ED8">
        <w:instrText xml:space="preserve">" \ftable \l 5 </w:instrText>
      </w:r>
      <w:r w:rsidRPr="00554B02">
        <w:fldChar w:fldCharType="end"/>
      </w:r>
      <w:r w:rsidRPr="00554B02">
        <w:t>– namely the working-age population - will become a substantially smaller share of the total population, declining from 65% to 56%.</w:t>
      </w:r>
    </w:p>
    <w:p w14:paraId="3FBA2B94" w14:textId="77777777" w:rsidR="00852622" w:rsidRPr="00554B02" w:rsidRDefault="00852622" w:rsidP="00460C69">
      <w:r w:rsidRPr="00554B02">
        <w:t xml:space="preserve">As a result of these trends, the demographic dependency ratios are projected to rise significantly across the EU and euro-area over the projection horizon (see Table </w:t>
      </w:r>
      <w:r w:rsidRPr="00554B02">
        <w:fldChar w:fldCharType="begin"/>
      </w:r>
      <w:r w:rsidRPr="00554B02">
        <w:instrText xml:space="preserve"> QUOTE "I.1.4"</w:instrText>
      </w:r>
      <w:r w:rsidRPr="00554B02">
        <w:fldChar w:fldCharType="begin">
          <w:fldData xml:space="preserve">QwBSAE8AUwBTAFIARQBGAEUAUgBFAE4AQwBFACoAVABBAEIATABFACoANABjAGYAMQAxADgANwAz
AC0ANABjAGYANgAtADQANAA5ADYALQA4AGEAMgAxAC0AOQAwAGMAYwBlADkAZAA4AGQAZABiAGQA
</w:fldData>
        </w:fldChar>
      </w:r>
      <w:r w:rsidRPr="00554B02">
        <w:instrText xml:space="preserve"> ADDIN </w:instrText>
      </w:r>
      <w:r w:rsidRPr="00554B02">
        <w:fldChar w:fldCharType="end"/>
      </w:r>
      <w:r w:rsidRPr="00554B02">
        <w:instrText xml:space="preserve"> </w:instrText>
      </w:r>
      <w:r w:rsidRPr="00554B02">
        <w:fldChar w:fldCharType="separate"/>
      </w:r>
      <w:r w:rsidR="009F3ED8" w:rsidRPr="00554B02">
        <w:t>I.1.4</w:t>
      </w:r>
      <w:r w:rsidRPr="00554B02">
        <w:fldChar w:fldCharType="end"/>
      </w:r>
      <w:r w:rsidRPr="00554B02">
        <w:t xml:space="preserve">). </w:t>
      </w:r>
    </w:p>
    <w:p w14:paraId="6426A4E1" w14:textId="77777777" w:rsidR="00852622" w:rsidRPr="00554B02" w:rsidRDefault="00852622" w:rsidP="00460C69">
      <w:r w:rsidRPr="00554B02">
        <w:t xml:space="preserve">The old-age dependency ratio (people aged 65 and above relative to those aged 15-64) in the EU is projected to increase by 21.6 pps., from 29.6% in 2016 to 51.2% in 2070, over the projection period. This implies that the EU would go from having 3.3 working-age people for every person aged over 65 years to only two working-age persons. Most of this increase is being driven by the very old-age dependency ratio (people aged 85 and above relative to those aged 15-64) which is rising by 14 pps. (8.3% to 22.3%) over this horizon. </w:t>
      </w:r>
    </w:p>
    <w:p w14:paraId="39903CF5" w14:textId="77777777" w:rsidR="00852622" w:rsidRPr="00554B02" w:rsidRDefault="00852622" w:rsidP="00460C69">
      <w:r w:rsidRPr="00554B02">
        <w:t>The rise in the old-age dependency ratio is particularly acute in Cyprus, Poland, Portugal and Slovakia where it will exceed 35 pps. over the projection horizon. Conversely, the rise will be lowest in Belgium, Spain, France, Finland, Sweden, and the UK where it will be below 20 pps.</w:t>
      </w:r>
    </w:p>
    <w:p w14:paraId="6D7F4816" w14:textId="77777777" w:rsidR="00852622" w:rsidRPr="00554B02" w:rsidRDefault="00852622" w:rsidP="00460C69">
      <w:r w:rsidRPr="00554B02">
        <w:t xml:space="preserve">The increase in the total age-dependency ratio (people aged below 15 and aged 65 and above over the population aged 15-64) is projected to be 24.6 pps., leading the ratio to rise from 53.5% in 2016 to 78% in 2070. The rise in the total dependency ratio is noticeably different across individual EU Member States. A relatively small increase in the total age-dependency ratio (less than 20 pps.) is projected in Belgium, Ireland, France, Finland, Sweden and the UK between 2016-2070, while in Greece, Cyprus, Luxembourg, Malta, Austria, Poland, Portugal, Romania and Slovakia, an increase of 30 pps. or more is projected. </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852622" w:rsidRPr="00554B02" w14:paraId="015756D5" w14:textId="77777777" w:rsidTr="00460C69">
        <w:trPr>
          <w:cantSplit/>
          <w:trHeight w:val="20"/>
        </w:trPr>
        <w:tc>
          <w:tcPr>
            <w:tcW w:w="8505" w:type="dxa"/>
            <w:shd w:val="clear" w:color="auto" w:fill="auto"/>
          </w:tcPr>
          <w:p w14:paraId="46FD5FF7" w14:textId="77777777" w:rsidR="00852622" w:rsidRPr="00554B02" w:rsidRDefault="00852622" w:rsidP="00460C69">
            <w:pPr>
              <w:pStyle w:val="SlimCell"/>
              <w:keepNext/>
            </w:pPr>
          </w:p>
        </w:tc>
      </w:tr>
      <w:tr w:rsidR="00852622" w:rsidRPr="00554B02" w14:paraId="4CE763B9" w14:textId="77777777" w:rsidTr="00460C69">
        <w:trPr>
          <w:cantSplit/>
        </w:trPr>
        <w:tc>
          <w:tcPr>
            <w:tcW w:w="8505" w:type="dxa"/>
            <w:shd w:val="clear" w:color="auto" w:fill="auto"/>
          </w:tcPr>
          <w:p w14:paraId="0EAAE387" w14:textId="77777777" w:rsidR="00852622" w:rsidRPr="00554B02" w:rsidRDefault="00852622" w:rsidP="00460C69">
            <w:pPr>
              <w:pStyle w:val="TableTitle"/>
              <w:rPr>
                <w:b/>
              </w:rPr>
            </w:pPr>
            <w:r w:rsidRPr="00554B02">
              <w:t>Table I.1.4:</w:t>
            </w:r>
            <w:r w:rsidRPr="00554B02">
              <w:rPr>
                <w:b/>
              </w:rPr>
              <w:tab/>
              <w:t>Demographic dependency ratios, 2016-2070 (%)</w:t>
            </w:r>
          </w:p>
        </w:tc>
      </w:tr>
      <w:tr w:rsidR="00852622" w:rsidRPr="00554B02" w14:paraId="0FD0C20A" w14:textId="77777777" w:rsidTr="00460C69">
        <w:trPr>
          <w:cantSplit/>
        </w:trPr>
        <w:tc>
          <w:tcPr>
            <w:tcW w:w="8505" w:type="dxa"/>
            <w:shd w:val="clear" w:color="auto" w:fill="auto"/>
          </w:tcPr>
          <w:p w14:paraId="63E97F97" w14:textId="77777777" w:rsidR="00852622" w:rsidRPr="00554B02" w:rsidRDefault="00852622" w:rsidP="00460C69">
            <w:pPr>
              <w:pStyle w:val="TableShape"/>
              <w:rPr>
                <w:sz w:val="2"/>
              </w:rPr>
            </w:pPr>
            <w:r>
              <w:rPr>
                <w:noProof/>
                <w:sz w:val="2"/>
                <w:lang w:val="hr-HR" w:eastAsia="hr-HR"/>
              </w:rPr>
              <w:drawing>
                <wp:inline distT="0" distB="0" distL="0" distR="0" wp14:anchorId="380B21E5" wp14:editId="1E201B4C">
                  <wp:extent cx="5400929" cy="3934010"/>
                  <wp:effectExtent l="0" t="0" r="9525" b="9525"/>
                  <wp:docPr id="85" name="Picture 85" descr="&lt;nbr&gt;&lt;GETTEXTFROMWORD&gt;&lt;/nbr&gt;&#10;&lt;title&gt;&lt;GETTEXTFROMWORD&gt;&lt;/title&gt;&#10;&lt;id&gt;4cf11873-4cf6-4496-8a21-90cce9d8ddbd&lt;/id&gt;&#10;&lt;srcType&gt;EXCEL&lt;/srcType&gt;&#10;&lt;srcPath&gt;U:\Budgetary projections 2018\Reports\2018 AR\Tables_and_graphs\Part I Chapter 1\&lt;/srcPath&gt;&#10;&lt;srcName&gt;Tables &amp; charts - CHAP1.xlsx&lt;/srcName&gt;&#10;&lt;type&gt;table&lt;/type&gt;&#10; &lt;srcSheet&gt;Table 1.4&lt;/srcSheet&gt;&#10; &lt;srcRange&gt;R2C2:R35C23&lt;/srcRange&gt;&#10;&lt;pos&gt;top&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7:28:4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929" cy="3934010"/>
                          </a:xfrm>
                          <a:prstGeom prst="rect">
                            <a:avLst/>
                          </a:prstGeom>
                          <a:noFill/>
                          <a:ln>
                            <a:noFill/>
                          </a:ln>
                        </pic:spPr>
                      </pic:pic>
                    </a:graphicData>
                  </a:graphic>
                </wp:inline>
              </w:drawing>
            </w:r>
          </w:p>
        </w:tc>
      </w:tr>
      <w:tr w:rsidR="00852622" w:rsidRPr="00554B02" w14:paraId="5241649A" w14:textId="77777777" w:rsidTr="00460C69">
        <w:trPr>
          <w:cantSplit/>
        </w:trPr>
        <w:tc>
          <w:tcPr>
            <w:tcW w:w="8505" w:type="dxa"/>
            <w:shd w:val="clear" w:color="auto" w:fill="auto"/>
          </w:tcPr>
          <w:p w14:paraId="56B0A89D" w14:textId="77777777" w:rsidR="00852622" w:rsidRPr="00554B02" w:rsidRDefault="00852622" w:rsidP="00460C69">
            <w:pPr>
              <w:pStyle w:val="TableSource"/>
            </w:pPr>
            <w:r w:rsidRPr="00554B02">
              <w:rPr>
                <w:b/>
                <w:i/>
              </w:rPr>
              <w:t>Source:</w:t>
            </w:r>
            <w:r w:rsidRPr="00554B02">
              <w:t xml:space="preserve"> Commission services, Eurostat 2015-based population projections.</w:t>
            </w:r>
          </w:p>
        </w:tc>
      </w:tr>
      <w:tr w:rsidR="00852622" w:rsidRPr="00554B02" w14:paraId="470FB0FB" w14:textId="77777777" w:rsidTr="00460C69">
        <w:trPr>
          <w:cantSplit/>
          <w:trHeight w:val="20"/>
        </w:trPr>
        <w:tc>
          <w:tcPr>
            <w:tcW w:w="8505" w:type="dxa"/>
            <w:shd w:val="clear" w:color="auto" w:fill="auto"/>
          </w:tcPr>
          <w:p w14:paraId="31BD526B" w14:textId="77777777" w:rsidR="00852622" w:rsidRPr="00554B02" w:rsidRDefault="00852622" w:rsidP="00460C69">
            <w:pPr>
              <w:pStyle w:val="SlimCell"/>
            </w:pPr>
          </w:p>
        </w:tc>
      </w:tr>
    </w:tbl>
    <w:p w14:paraId="40056C6B" w14:textId="77777777" w:rsidR="00852622" w:rsidRPr="00554B02" w:rsidRDefault="00852622" w:rsidP="00460C69">
      <w:pPr>
        <w:pStyle w:val="NumberedHeading2"/>
        <w:tabs>
          <w:tab w:val="left" w:pos="567"/>
        </w:tabs>
      </w:pPr>
      <w:r w:rsidRPr="00554B02">
        <w:br w:type="column"/>
      </w:r>
      <w:r w:rsidRPr="00554B02">
        <w:lastRenderedPageBreak/>
        <w:t>1.1.5.</w:t>
      </w:r>
      <w:r w:rsidRPr="00554B02">
        <w:tab/>
        <w:t>Comparison with the 2015 Ageing Report</w:t>
      </w:r>
    </w:p>
    <w:p w14:paraId="2B1D198B" w14:textId="77777777" w:rsidR="00852622" w:rsidRPr="00554B02" w:rsidRDefault="00852622" w:rsidP="00460C69">
      <w:pPr>
        <w:rPr>
          <w:b/>
          <w:i/>
        </w:rPr>
      </w:pPr>
      <w:r w:rsidRPr="00554B02">
        <w:rPr>
          <w:b/>
          <w:i/>
        </w:rPr>
        <w:t>By 2060, the total EU population is projected to be about 1.6 million larger than in the 2015 Ageing Report, due to a large increase in the population above 65 years old that offsets the reduction in the working-age population. The population in the euro-area is projected to be 5.3 million higher, with higher estimates for all population groups, but in particular for that above 65 years of age.</w:t>
      </w:r>
    </w:p>
    <w:p w14:paraId="1669A6B7" w14:textId="77777777" w:rsidR="00852622" w:rsidRPr="00554B02" w:rsidRDefault="00852622" w:rsidP="00460C69">
      <w:r w:rsidRPr="00554B02">
        <w:t xml:space="preserve">The differences in the demographic assumptions of the 2018 Ageing Report projection exercise (based on Eurostat's 2015-based population projections) compared with those underpinning the 2015 Ageing Report projection exercise (based on Eurostat's EUROPOP2013 projection) are summarized in Table </w:t>
      </w:r>
      <w:r w:rsidRPr="00554B02">
        <w:fldChar w:fldCharType="begin"/>
      </w:r>
      <w:r w:rsidRPr="00554B02">
        <w:instrText xml:space="preserve"> QUOTE "I.1.6"</w:instrText>
      </w:r>
      <w:r w:rsidRPr="00554B02">
        <w:fldChar w:fldCharType="begin">
          <w:fldData xml:space="preserve">QwBSAE8AUwBTAFIARQBGAEUAUgBFAE4AQwBFACoAVABBAEIATABFACoAYQBhAGUAYgA5ADcANAAx
AC0AMgAxAGMAMwAtADQANQAxAGEALQA4ADAANgA2AC0AOQBiAGEAOABlAGYAZgAxADYANgA1ADEA
</w:fldData>
        </w:fldChar>
      </w:r>
      <w:r w:rsidRPr="00554B02">
        <w:instrText xml:space="preserve"> ADDIN </w:instrText>
      </w:r>
      <w:r w:rsidRPr="00554B02">
        <w:fldChar w:fldCharType="end"/>
      </w:r>
      <w:r w:rsidRPr="00554B02">
        <w:instrText xml:space="preserve"> </w:instrText>
      </w:r>
      <w:r w:rsidRPr="00554B02">
        <w:fldChar w:fldCharType="separate"/>
      </w:r>
      <w:r w:rsidR="009F3ED8" w:rsidRPr="00554B02">
        <w:t>I.1.6</w:t>
      </w:r>
      <w:r w:rsidRPr="00554B02">
        <w:fldChar w:fldCharType="end"/>
      </w:r>
      <w:r w:rsidRPr="00554B02">
        <w:t>.</w:t>
      </w:r>
    </w:p>
    <w:p w14:paraId="6E2D7D50" w14:textId="77777777" w:rsidR="00852622" w:rsidRPr="00554B02" w:rsidRDefault="00852622" w:rsidP="00460C69">
      <w:r w:rsidRPr="00554B02">
        <w:t xml:space="preserve">Total fertility rates in 2060 for the EU and euro-area are marginally higher (around 0.03 and 0.05 respectively) in the 2018 projection exercise. This is especially true in Spain and Slovakia whose fertility rates are projected to be at least 0.25 higher in 2060 than in the 2015 projection exercise. Conversely, the total fertility rate is projected to be lower in 2060 in Belgium, Denmark, Estonia, Ireland, Croatia, Italy, Cyprus, Luxembourg, Malta, Netherlands, Finland and the UK. </w:t>
      </w:r>
    </w:p>
    <w:p w14:paraId="622D672A" w14:textId="77777777" w:rsidR="00852622" w:rsidRPr="00554B02" w:rsidRDefault="00852622" w:rsidP="00460C69">
      <w:r w:rsidRPr="00554B02">
        <w:t xml:space="preserve">In the EU and euro-area, life expectancy at birth is expected to be very marginally higher in the 2018 projection exercise than in the previous projection for males and females both in 2016 and 2060. For both males and females in the EU, life expectancy at birth is 0.2 higher in 2016 and in 2060. </w:t>
      </w:r>
    </w:p>
    <w:p w14:paraId="02DB8EE7" w14:textId="77777777" w:rsidR="00852622" w:rsidRPr="00554B02" w:rsidRDefault="00852622" w:rsidP="00460C69">
      <w:r w:rsidRPr="00554B02">
        <w:t xml:space="preserve">The largest increases in 2016 (of 0.5 years or more) for males occur in Belgium, Czech Republic, Estonia, Spain, Italy, Cyprus, Malta and Slovenia, and for females in Spain, Cyprus, Luxembourg and Malta. By 2060, only males in Cyprus and females in Malta are projected to have significantly higher life expectancy at birth (0.5 years or more) in the 2018 projection than in the 2015 projection.  </w:t>
      </w:r>
    </w:p>
    <w:p w14:paraId="3C05E2D3" w14:textId="77777777" w:rsidR="00852622" w:rsidRPr="00554B02" w:rsidRDefault="00852622" w:rsidP="00460C69">
      <w:r w:rsidRPr="00554B02">
        <w:t xml:space="preserve">Cumulative net migration inflows between 2016-2060 are projected to be slightly lower in the EU and euro-area (-0.6 pps. and -0.3 pps. respectively) </w:t>
      </w:r>
      <w:r w:rsidRPr="00554B02">
        <w:lastRenderedPageBreak/>
        <w:t>than in the 2015 exercise. The largest downward revisions were projected for Italy, Belgium, Romania, the Czech Republic and Luxembourg (of more than 5.5 pps.) (</w:t>
      </w:r>
      <w:r w:rsidRPr="00554B02">
        <w:rPr>
          <w:rStyle w:val="Referencafusnote"/>
        </w:rPr>
        <w:footnoteReference w:id="18"/>
      </w:r>
      <w:r w:rsidRPr="00554B02">
        <w:t>). However, for thirteen Member States, net migration inflows are forecast to be higher than in the 2015 exercise, namely Denmark, Germany, Estonia, Ireland, Greece, Latvia, Lithuania, Malta, Netherlands, Austria, Portugal, Slovakia and Sweden.</w:t>
      </w:r>
    </w:p>
    <w:p w14:paraId="48DB8741" w14:textId="77777777" w:rsidR="00852622" w:rsidRPr="00554B02" w:rsidRDefault="00852622" w:rsidP="00460C69">
      <w:r w:rsidRPr="00554B02">
        <w:t xml:space="preserve">These differences in demographic assumptions are driving long-term differences in total population and old-age dependency ratios between the two projection exercises (see Table </w:t>
      </w:r>
      <w:r w:rsidRPr="00554B02">
        <w:fldChar w:fldCharType="begin"/>
      </w:r>
      <w:r w:rsidRPr="00554B02">
        <w:instrText xml:space="preserve"> QUOTE "I.1.5"</w:instrText>
      </w:r>
      <w:r w:rsidRPr="00554B02">
        <w:fldChar w:fldCharType="begin">
          <w:fldData xml:space="preserve">QwBSAE8AUwBTAFIARQBGAEUAUgBFAE4AQwBFACoAVABBAEIATABFACoAZgBjADUAYwAyADIANQA3
AC0AZgA1AGUANgAtADQANwBiADcALQBhADgAMAAwAC0ANAA4ADAANQBkADYAZgAzAGEAOAAxADQA
</w:fldData>
        </w:fldChar>
      </w:r>
      <w:r w:rsidRPr="00554B02">
        <w:instrText xml:space="preserve"> ADDIN </w:instrText>
      </w:r>
      <w:r w:rsidRPr="00554B02">
        <w:fldChar w:fldCharType="end"/>
      </w:r>
      <w:r w:rsidRPr="00554B02">
        <w:instrText xml:space="preserve"> </w:instrText>
      </w:r>
      <w:r w:rsidRPr="00554B02">
        <w:fldChar w:fldCharType="separate"/>
      </w:r>
      <w:r w:rsidR="009F3ED8" w:rsidRPr="00554B02">
        <w:t>I.1.5</w:t>
      </w:r>
      <w:r w:rsidRPr="00554B02">
        <w:fldChar w:fldCharType="end"/>
      </w:r>
      <w:r w:rsidRPr="00554B02">
        <w:t>).</w:t>
      </w:r>
    </w:p>
    <w:tbl>
      <w:tblPr>
        <w:tblW w:w="0" w:type="auto"/>
        <w:tblLayout w:type="fixed"/>
        <w:tblCellMar>
          <w:left w:w="0" w:type="dxa"/>
          <w:right w:w="0" w:type="dxa"/>
        </w:tblCellMar>
        <w:tblLook w:val="0000" w:firstRow="0" w:lastRow="0" w:firstColumn="0" w:lastColumn="0" w:noHBand="0" w:noVBand="0"/>
      </w:tblPr>
      <w:tblGrid>
        <w:gridCol w:w="4110"/>
      </w:tblGrid>
      <w:tr w:rsidR="00852622" w:rsidRPr="00554B02" w14:paraId="4D940480" w14:textId="77777777" w:rsidTr="00460C69">
        <w:trPr>
          <w:cantSplit/>
          <w:trHeight w:val="20"/>
        </w:trPr>
        <w:tc>
          <w:tcPr>
            <w:tcW w:w="4110" w:type="dxa"/>
            <w:shd w:val="clear" w:color="auto" w:fill="auto"/>
          </w:tcPr>
          <w:p w14:paraId="28E0A7D9" w14:textId="77777777" w:rsidR="00852622" w:rsidRPr="00554B02" w:rsidRDefault="00852622" w:rsidP="00460C69">
            <w:pPr>
              <w:pStyle w:val="SlimCell"/>
              <w:keepNext/>
            </w:pPr>
          </w:p>
        </w:tc>
      </w:tr>
      <w:tr w:rsidR="00852622" w:rsidRPr="00554B02" w14:paraId="648D9677" w14:textId="77777777" w:rsidTr="00460C69">
        <w:trPr>
          <w:cantSplit/>
        </w:trPr>
        <w:tc>
          <w:tcPr>
            <w:tcW w:w="4110" w:type="dxa"/>
            <w:shd w:val="clear" w:color="auto" w:fill="auto"/>
          </w:tcPr>
          <w:p w14:paraId="427D8614" w14:textId="77777777" w:rsidR="00852622" w:rsidRPr="00554B02" w:rsidRDefault="00852622" w:rsidP="00460C69">
            <w:pPr>
              <w:pStyle w:val="TableTitle"/>
              <w:rPr>
                <w:b/>
              </w:rPr>
            </w:pPr>
            <w:r w:rsidRPr="00554B02">
              <w:t>Table I.1.5:</w:t>
            </w:r>
            <w:r w:rsidRPr="00554B02">
              <w:rPr>
                <w:b/>
              </w:rPr>
              <w:tab/>
              <w:t>Comparison of population and dependency ratio projections used in 2018 and 2015 Cost of Ageing projection exercises, 2016 - 2060</w:t>
            </w:r>
          </w:p>
        </w:tc>
      </w:tr>
      <w:tr w:rsidR="00852622" w:rsidRPr="00554B02" w14:paraId="683A5BA8" w14:textId="77777777" w:rsidTr="00460C69">
        <w:trPr>
          <w:cantSplit/>
        </w:trPr>
        <w:tc>
          <w:tcPr>
            <w:tcW w:w="4110" w:type="dxa"/>
            <w:shd w:val="clear" w:color="auto" w:fill="auto"/>
          </w:tcPr>
          <w:p w14:paraId="26D22DF8" w14:textId="77777777" w:rsidR="00852622" w:rsidRPr="00554B02" w:rsidRDefault="00852622" w:rsidP="00460C69">
            <w:pPr>
              <w:pStyle w:val="TableShape"/>
              <w:rPr>
                <w:sz w:val="2"/>
              </w:rPr>
            </w:pPr>
            <w:r w:rsidRPr="00554B02">
              <w:fldChar w:fldCharType="begin"/>
            </w:r>
            <w:r w:rsidRPr="009F3ED8">
              <w:instrText xml:space="preserve"> TC "</w:instrText>
            </w:r>
            <w:bookmarkStart w:id="52" w:name="_Toc511664512"/>
            <w:r w:rsidRPr="009F3ED8">
              <w:instrText>I.1.5.</w:instrText>
            </w:r>
            <w:r w:rsidRPr="009F3ED8">
              <w:tab/>
              <w:instrText>Comparison of population and dependency ratio projections used in 2018 and 2015 Cost of Ageing projection exercises, 2016 - 2060</w:instrText>
            </w:r>
            <w:bookmarkEnd w:id="52"/>
            <w:r w:rsidRPr="009F3ED8">
              <w:instrText xml:space="preserve">" \ftable \l 5 </w:instrText>
            </w:r>
            <w:r w:rsidRPr="00554B02">
              <w:fldChar w:fldCharType="end"/>
            </w:r>
            <w:r>
              <w:rPr>
                <w:noProof/>
                <w:sz w:val="2"/>
                <w:lang w:val="hr-HR" w:eastAsia="hr-HR"/>
              </w:rPr>
              <w:drawing>
                <wp:inline distT="0" distB="0" distL="0" distR="0" wp14:anchorId="50C3E290" wp14:editId="05D791BF">
                  <wp:extent cx="2597595" cy="3668866"/>
                  <wp:effectExtent l="0" t="0" r="0" b="8255"/>
                  <wp:docPr id="86" name="Picture 86" descr="&lt;nbr&gt;&lt;GETTEXTFROMWORD&gt;&lt;/nbr&gt;&#10;&lt;title&gt;&lt;GETTEXTFROMWORD&gt;&lt;/title&gt;&#10;&lt;id&gt;fc5c2257-f5e6-47b7-a800-4805d6f3a814&lt;/id&gt;&#10;&lt;srcType&gt;EXCEL&lt;/srcType&gt;&#10;&lt;srcPath&gt;U:\Budgetary projections 2018\Reports\2018 AR\Tables_and_graphs\Part I Chapter 1\&lt;/srcPath&gt;&#10;&lt;srcName&gt;Tables &amp; charts - CHAP1.xlsx&lt;/srcName&gt;&#10;&lt;type&gt;table&lt;/type&gt;&#10; &lt;srcSheet&gt;Table 1.6&lt;/srcSheet&gt;&#10; &lt;srcRange&gt;R2C2:R37C22&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7:28:4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97595" cy="3668866"/>
                          </a:xfrm>
                          <a:prstGeom prst="rect">
                            <a:avLst/>
                          </a:prstGeom>
                          <a:noFill/>
                          <a:ln>
                            <a:noFill/>
                          </a:ln>
                        </pic:spPr>
                      </pic:pic>
                    </a:graphicData>
                  </a:graphic>
                </wp:inline>
              </w:drawing>
            </w:r>
          </w:p>
        </w:tc>
      </w:tr>
      <w:tr w:rsidR="00852622" w:rsidRPr="00554B02" w14:paraId="70E7EF62" w14:textId="77777777" w:rsidTr="00460C69">
        <w:trPr>
          <w:cantSplit/>
        </w:trPr>
        <w:tc>
          <w:tcPr>
            <w:tcW w:w="4110" w:type="dxa"/>
            <w:shd w:val="clear" w:color="auto" w:fill="auto"/>
          </w:tcPr>
          <w:p w14:paraId="21DB30B2" w14:textId="77777777" w:rsidR="00852622" w:rsidRPr="00554B02" w:rsidRDefault="00852622" w:rsidP="00460C69">
            <w:pPr>
              <w:pStyle w:val="TableSource"/>
            </w:pPr>
            <w:r w:rsidRPr="00554B02">
              <w:rPr>
                <w:b/>
                <w:i/>
              </w:rPr>
              <w:t>Source:</w:t>
            </w:r>
            <w:r w:rsidRPr="00554B02">
              <w:t xml:space="preserve"> Commission services, Eurostat, 2015-based population projections, EUROPOP2013.</w:t>
            </w:r>
          </w:p>
        </w:tc>
      </w:tr>
      <w:tr w:rsidR="00852622" w:rsidRPr="00554B02" w14:paraId="4010099F" w14:textId="77777777" w:rsidTr="00460C69">
        <w:trPr>
          <w:cantSplit/>
          <w:trHeight w:val="20"/>
        </w:trPr>
        <w:tc>
          <w:tcPr>
            <w:tcW w:w="4110" w:type="dxa"/>
            <w:shd w:val="clear" w:color="auto" w:fill="auto"/>
            <w:tcMar>
              <w:bottom w:w="240" w:type="dxa"/>
            </w:tcMar>
          </w:tcPr>
          <w:p w14:paraId="0CD770D3" w14:textId="77777777" w:rsidR="00852622" w:rsidRPr="00554B02" w:rsidRDefault="00852622" w:rsidP="00460C69">
            <w:pPr>
              <w:pStyle w:val="SlimCell"/>
            </w:pPr>
          </w:p>
        </w:tc>
      </w:tr>
    </w:tbl>
    <w:p w14:paraId="424DF0BA" w14:textId="77777777" w:rsidR="00852622" w:rsidRPr="00554B02" w:rsidRDefault="00852622" w:rsidP="00460C69"/>
    <w:p w14:paraId="4318F2DA" w14:textId="77777777" w:rsidR="00852622" w:rsidRPr="00554B02" w:rsidRDefault="00852622" w:rsidP="00460C69">
      <w:r w:rsidRPr="00554B02">
        <w:lastRenderedPageBreak/>
        <w:fldChar w:fldCharType="begin"/>
      </w:r>
      <w:r w:rsidRPr="009F3ED8">
        <w:instrText xml:space="preserve"> TC "</w:instrText>
      </w:r>
      <w:bookmarkStart w:id="53" w:name="_Toc511664513"/>
      <w:r w:rsidRPr="009F3ED8">
        <w:instrText>I.1.6.</w:instrText>
      </w:r>
      <w:r w:rsidRPr="009F3ED8">
        <w:tab/>
        <w:instrText>Comparison of demographic assumptions used in 2018 and 2015 Cost of Ageing projection exercises, 2016-60</w:instrText>
      </w:r>
      <w:bookmarkEnd w:id="53"/>
      <w:r w:rsidRPr="009F3ED8">
        <w:instrText xml:space="preserve">" \ftable \l 5 </w:instrText>
      </w:r>
      <w:r w:rsidRPr="00554B02">
        <w:fldChar w:fldCharType="end"/>
      </w:r>
    </w:p>
    <w:p w14:paraId="2F296286" w14:textId="77777777" w:rsidR="00852622" w:rsidRPr="00554B02" w:rsidRDefault="00852622" w:rsidP="00460C69"/>
    <w:tbl>
      <w:tblPr>
        <w:tblpPr w:horzAnchor="margin" w:tblpYSpec="top"/>
        <w:tblOverlap w:val="never"/>
        <w:tblW w:w="0" w:type="auto"/>
        <w:tblLayout w:type="fixed"/>
        <w:tblCellMar>
          <w:left w:w="0" w:type="dxa"/>
          <w:right w:w="0" w:type="dxa"/>
        </w:tblCellMar>
        <w:tblLook w:val="0000" w:firstRow="0" w:lastRow="0" w:firstColumn="0" w:lastColumn="0" w:noHBand="0" w:noVBand="0"/>
      </w:tblPr>
      <w:tblGrid>
        <w:gridCol w:w="20"/>
        <w:gridCol w:w="273"/>
        <w:gridCol w:w="7424"/>
        <w:gridCol w:w="717"/>
        <w:gridCol w:w="71"/>
      </w:tblGrid>
      <w:tr w:rsidR="00852622" w:rsidRPr="00554B02" w14:paraId="7FE04222" w14:textId="77777777" w:rsidTr="00460C69">
        <w:trPr>
          <w:cantSplit/>
          <w:trHeight w:val="12047"/>
        </w:trPr>
        <w:tc>
          <w:tcPr>
            <w:tcW w:w="6" w:type="dxa"/>
            <w:shd w:val="clear" w:color="auto" w:fill="auto"/>
            <w:textDirection w:val="btLr"/>
          </w:tcPr>
          <w:p w14:paraId="61B57389" w14:textId="77777777" w:rsidR="00852622" w:rsidRPr="00554B02" w:rsidRDefault="00852622" w:rsidP="00460C69">
            <w:pPr>
              <w:pStyle w:val="SlimCell"/>
            </w:pPr>
          </w:p>
        </w:tc>
        <w:tc>
          <w:tcPr>
            <w:tcW w:w="273" w:type="dxa"/>
            <w:shd w:val="clear" w:color="auto" w:fill="auto"/>
            <w:textDirection w:val="btLr"/>
          </w:tcPr>
          <w:p w14:paraId="091E4C34" w14:textId="77777777" w:rsidR="00852622" w:rsidRPr="00554B02" w:rsidRDefault="00852622" w:rsidP="00460C69">
            <w:pPr>
              <w:pStyle w:val="TableTitle"/>
              <w:rPr>
                <w:b/>
              </w:rPr>
            </w:pPr>
            <w:r w:rsidRPr="00554B02">
              <w:t>Table I.1.6:</w:t>
            </w:r>
            <w:r w:rsidRPr="00554B02">
              <w:rPr>
                <w:b/>
              </w:rPr>
              <w:tab/>
              <w:t>Comparison of demographic assumptions used in 2018 and 2015 Cost of Ageing projection exercises, 2016-60</w:t>
            </w:r>
          </w:p>
        </w:tc>
        <w:tc>
          <w:tcPr>
            <w:tcW w:w="7424" w:type="dxa"/>
            <w:shd w:val="clear" w:color="auto" w:fill="auto"/>
            <w:textDirection w:val="btLr"/>
          </w:tcPr>
          <w:p w14:paraId="6A5E1CE9" w14:textId="77777777" w:rsidR="00852622" w:rsidRPr="00554B02" w:rsidRDefault="00852622" w:rsidP="00460C69">
            <w:pPr>
              <w:pStyle w:val="TableShape"/>
              <w:jc w:val="right"/>
              <w:rPr>
                <w:sz w:val="2"/>
              </w:rPr>
            </w:pPr>
            <w:r>
              <w:rPr>
                <w:noProof/>
                <w:sz w:val="2"/>
                <w:lang w:val="hr-HR" w:eastAsia="hr-HR"/>
              </w:rPr>
              <w:drawing>
                <wp:inline distT="0" distB="0" distL="0" distR="0" wp14:anchorId="39FF0149" wp14:editId="06E13081">
                  <wp:extent cx="7614073" cy="4702810"/>
                  <wp:effectExtent l="7620" t="0" r="0" b="0"/>
                  <wp:docPr id="87" name="Picture 87" descr="&lt;nbr&gt;&lt;GETTEXTFROMWORD&gt;&lt;/nbr&gt;&#10;&lt;title&gt;&lt;GETTEXTFROMWORD&gt;&lt;/title&gt;&#10;&lt;id&gt;aaeb9741-21c3-451a-8066-9ba8eff16651&lt;/id&gt;&#10;&lt;srcType&gt;EXCEL&lt;/srcType&gt;&#10;&lt;srcPath&gt;U:\Budgetary projections 2018\Reports\2018 AR\Tables_and_graphs\Part I Chapter 1\&lt;/srcPath&gt;&#10;&lt;srcName&gt;Tables &amp; charts - CHAP1.xlsx&lt;/srcName&gt;&#10;&lt;type&gt;table&lt;/type&gt;&#10; &lt;srcSheet&gt;Table1.5&lt;/srcSheet&gt;&#10; &lt;srcRange&gt;R2C2:R37C28&lt;/srcRange&gt;&#10;&lt;pos&gt;landscape&lt;/pos&gt;&#10;&lt;numbering&gt;internal&lt;/numbering&gt;&#10;&lt;manNumb&gt;no&lt;/manNumb&gt;&#10; &lt;insFtn&gt;yes&lt;/insFtn&gt;&#10; &lt;insSrc&gt;yes&lt;/insSrc&gt;&#10; &lt;ftnText&gt;&lt;GETTEXTFROMWORD&gt;&lt;/ftnText&gt;&#10; &lt;shpSrc&gt;&lt;GETTEXTFROMWORD&gt;&lt;/shpSrc&gt;&#10;&lt;multi&gt;no&lt;/multi&gt;&#10;&lt;statAnn&gt;no&lt;/statAnn&gt;&#10;&lt;float&gt;yes&lt;/float&gt;&#10;&lt;bottomShapePageNumber&gt;-1&lt;/bottomShapePageNumber&gt;&#10;&lt;version&gt;2&lt;/version&gt;&#10;&lt;scrFileTime&gt;2018-04-13T17:28:4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16200000">
                            <a:off x="0" y="0"/>
                            <a:ext cx="7614073" cy="4702810"/>
                          </a:xfrm>
                          <a:prstGeom prst="rect">
                            <a:avLst/>
                          </a:prstGeom>
                          <a:noFill/>
                          <a:ln>
                            <a:noFill/>
                          </a:ln>
                        </pic:spPr>
                      </pic:pic>
                    </a:graphicData>
                  </a:graphic>
                </wp:inline>
              </w:drawing>
            </w:r>
          </w:p>
        </w:tc>
        <w:tc>
          <w:tcPr>
            <w:tcW w:w="717" w:type="dxa"/>
            <w:shd w:val="clear" w:color="auto" w:fill="auto"/>
            <w:textDirection w:val="btLr"/>
          </w:tcPr>
          <w:p w14:paraId="3788156D" w14:textId="77777777" w:rsidR="00852622" w:rsidRDefault="00852622" w:rsidP="00460C69">
            <w:pPr>
              <w:pStyle w:val="TableFootnote"/>
            </w:pPr>
            <w:r>
              <w:t>(1) Cumulated net migration as % of total population in 2016.</w:t>
            </w:r>
            <w:r>
              <w:br/>
              <w:t>(2) Cumulated difference as % of total pop in 2016.</w:t>
            </w:r>
          </w:p>
          <w:p w14:paraId="7AAAB6F5" w14:textId="77777777" w:rsidR="00852622" w:rsidRPr="00554B02" w:rsidRDefault="00852622" w:rsidP="00460C69">
            <w:pPr>
              <w:pStyle w:val="TableSource"/>
            </w:pPr>
            <w:r w:rsidRPr="00554B02">
              <w:rPr>
                <w:b/>
                <w:i/>
              </w:rPr>
              <w:t>Source:</w:t>
            </w:r>
            <w:r w:rsidRPr="00554B02">
              <w:t xml:space="preserve"> Commission services, Eurostat, 2015-based population projections, EUROPOP2013.</w:t>
            </w:r>
          </w:p>
        </w:tc>
        <w:tc>
          <w:tcPr>
            <w:tcW w:w="71" w:type="dxa"/>
            <w:shd w:val="clear" w:color="auto" w:fill="auto"/>
            <w:textDirection w:val="btLr"/>
          </w:tcPr>
          <w:p w14:paraId="0239D656" w14:textId="77777777" w:rsidR="00852622" w:rsidRPr="00554B02" w:rsidRDefault="00852622" w:rsidP="00460C69">
            <w:pPr>
              <w:pStyle w:val="SlimCell"/>
            </w:pPr>
          </w:p>
        </w:tc>
      </w:tr>
    </w:tbl>
    <w:p w14:paraId="59560897" w14:textId="77777777" w:rsidR="00852622" w:rsidRPr="00554B02" w:rsidRDefault="00852622" w:rsidP="00460C69">
      <w:r w:rsidRPr="00554B02">
        <w:lastRenderedPageBreak/>
        <w:fldChar w:fldCharType="begin"/>
      </w:r>
      <w:r w:rsidRPr="009F3ED8">
        <w:instrText xml:space="preserve"> TC "</w:instrText>
      </w:r>
      <w:bookmarkStart w:id="54" w:name="_Toc511664631"/>
      <w:r w:rsidRPr="009F3ED8">
        <w:instrText>I.1.10.</w:instrText>
      </w:r>
      <w:r w:rsidRPr="009F3ED8">
        <w:tab/>
        <w:instrText>Population of main geographic areas and selected countries as percentage of the world population</w:instrText>
      </w:r>
      <w:bookmarkEnd w:id="54"/>
      <w:r w:rsidRPr="009F3ED8">
        <w:instrText xml:space="preserve">" \fgraph \l 5 </w:instrText>
      </w:r>
      <w:r w:rsidRPr="00554B02">
        <w:fldChar w:fldCharType="end"/>
      </w:r>
      <w:r w:rsidRPr="00554B02">
        <w:t xml:space="preserve">For the EU as a whole and the euro-area, the total population projections in the 2018 exercise are slightly higher than in the 2015 equivalent. The population of the EU is projected in the 2018 exercise to be 1.3 million inhabitants larger in 2016 than in the 2015 exercise and 1.6 million inhabitants larger in 2060, which represents an increase of 0.3% vis-à-vis the 2015 projection for total population in 2060. The euro area population is projected to be 1.6 million inhabitants higher in 2016 and 5.3 million higher in 2060 in the 2018 projection exercise, equivalent to a 1.5% larger population in 2060 vis-à-vis the 2015 projection.  </w:t>
      </w:r>
    </w:p>
    <w:p w14:paraId="54946B89" w14:textId="77777777" w:rsidR="00852622" w:rsidRPr="00554B02" w:rsidRDefault="00852622" w:rsidP="00460C69">
      <w:r w:rsidRPr="00554B02">
        <w:t>The variation across EU Member States however is quite broad, with fifteen countries in the 2018 projection exercise now forecast to have lower total populations in 2060 than in the 2015 projection exercise, and thirteen to have higher populations. The most extreme case of the former Belgium, Italy, Cyprus, Luxembourg, Romania and Finland that in the 2018 projection exercise have total populations in 2060 that are around 10% lower than the populations projected in the 2015 exercise. By contrast, Germany, Estonia, Ireland, Malta, the Netherlands and Slovakia have total populations in 2060 in the latest projection exercise that are around 10% higher than the equivalent 2015 projection.</w:t>
      </w:r>
    </w:p>
    <w:p w14:paraId="5CEE4913" w14:textId="77777777" w:rsidR="00852622" w:rsidRPr="00554B02" w:rsidRDefault="00852622" w:rsidP="00460C69">
      <w:r w:rsidRPr="00554B02">
        <w:t xml:space="preserve">The old-age dependency ratio by 2060 is slightly higher in the 2018 projection for both the EU and the euro-area (1.5% and 1.2% respectively) despite starting off slightly lower in 2016. This implies that the ageing process is assumed to be more pronounced in the 2018 projection exercise. This is also the case for almost all Member States, that have higher old-age dependency ratios in 2060 in the latest projections exercises, in particular Lithuania (+18.3%), Latvia (14.9%) and Luxembourg (9.1%). Only three Member States are now forecast to have lower old-age dependency ratios in 2060 than they were in the 2015 projection exercise: Slovakia (-6.7%), Germany (-4.1%) and the Netherlands (-3.4%). </w:t>
      </w:r>
    </w:p>
    <w:p w14:paraId="3C7643BB" w14:textId="77777777" w:rsidR="00852622" w:rsidRPr="00554B02" w:rsidRDefault="00852622" w:rsidP="00460C69">
      <w:pPr>
        <w:pStyle w:val="NumberedHeading2"/>
        <w:tabs>
          <w:tab w:val="left" w:pos="567"/>
        </w:tabs>
      </w:pPr>
      <w:bookmarkStart w:id="55" w:name="_Toc228871842"/>
      <w:bookmarkStart w:id="56" w:name="_Toc318296319"/>
      <w:bookmarkStart w:id="57" w:name="_Toc318297485"/>
      <w:r w:rsidRPr="00554B02">
        <w:t>1.1.6.</w:t>
      </w:r>
      <w:r w:rsidRPr="00554B02">
        <w:tab/>
        <w:t>Population ageing globally</w:t>
      </w:r>
      <w:bookmarkEnd w:id="55"/>
      <w:bookmarkEnd w:id="56"/>
      <w:bookmarkEnd w:id="57"/>
    </w:p>
    <w:p w14:paraId="20113101" w14:textId="77777777" w:rsidR="00852622" w:rsidRPr="00554B02" w:rsidRDefault="00852622" w:rsidP="00460C69">
      <w:pPr>
        <w:rPr>
          <w:b/>
          <w:i/>
        </w:rPr>
      </w:pPr>
      <w:r w:rsidRPr="00554B02">
        <w:rPr>
          <w:b/>
          <w:i/>
        </w:rPr>
        <w:t xml:space="preserve">The EU's share of the total world population is forecast to shrink from 6.9% in 2015 to 4.5% in 2070 and its old-age dependency ratio will be second highest globally among large economies. </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852622" w:rsidRPr="00554B02" w14:paraId="4954E2C1" w14:textId="77777777" w:rsidTr="00460C69">
        <w:trPr>
          <w:cantSplit/>
        </w:trPr>
        <w:tc>
          <w:tcPr>
            <w:tcW w:w="8505" w:type="dxa"/>
            <w:shd w:val="clear" w:color="auto" w:fill="auto"/>
          </w:tcPr>
          <w:p w14:paraId="4E91C58F" w14:textId="77777777" w:rsidR="00852622" w:rsidRPr="00554B02" w:rsidRDefault="00852622" w:rsidP="00460C69">
            <w:pPr>
              <w:pStyle w:val="GraphTitle"/>
              <w:rPr>
                <w:b/>
              </w:rPr>
            </w:pPr>
            <w:r w:rsidRPr="00554B02">
              <w:t>Graph I.1.10:</w:t>
            </w:r>
            <w:r w:rsidRPr="00554B02">
              <w:rPr>
                <w:b/>
              </w:rPr>
              <w:tab/>
              <w:t>Population of main geographic areas and selected countries as percentage of the world population</w:t>
            </w:r>
          </w:p>
        </w:tc>
      </w:tr>
      <w:tr w:rsidR="00852622" w:rsidRPr="00554B02" w14:paraId="08CAE8F0" w14:textId="77777777" w:rsidTr="00460C69">
        <w:trPr>
          <w:cantSplit/>
        </w:trPr>
        <w:tc>
          <w:tcPr>
            <w:tcW w:w="8505" w:type="dxa"/>
            <w:shd w:val="clear" w:color="auto" w:fill="auto"/>
          </w:tcPr>
          <w:p w14:paraId="588BDDDA" w14:textId="77777777" w:rsidR="00852622" w:rsidRPr="00554B02" w:rsidRDefault="00852622" w:rsidP="00460C69">
            <w:pPr>
              <w:pStyle w:val="GraphShape"/>
              <w:rPr>
                <w:sz w:val="2"/>
              </w:rPr>
            </w:pPr>
            <w:r>
              <w:rPr>
                <w:noProof/>
                <w:sz w:val="2"/>
                <w:lang w:val="hr-HR" w:eastAsia="hr-HR"/>
              </w:rPr>
              <w:drawing>
                <wp:inline distT="0" distB="0" distL="0" distR="0" wp14:anchorId="080E7652" wp14:editId="2DDDD6C5">
                  <wp:extent cx="5400929" cy="2533769"/>
                  <wp:effectExtent l="0" t="0" r="9525" b="0"/>
                  <wp:docPr id="8" name="Picture 8" descr="&lt;nbr&gt;&lt;GETTEXTFROMWORD&gt;&lt;/nbr&gt;&#10;&lt;title&gt;&lt;GETTEXTFROMWORD&gt;&lt;/title&gt;&#10;&lt;id&gt;d0a6df4d-76f4-4113-bd1a-e69b0ab2a06c&lt;/id&gt;&#10;&lt;srcType&gt;EXCEL&lt;/srcType&gt;&#10;&lt;srcPath&gt;U:\Budgetary projections 2018\Reports\2018 AR\Tables_and_graphs\Part I Chapter 1\&lt;/srcPath&gt;&#10;&lt;srcName&gt;Tables &amp; charts - CHAP1.xlsx&lt;/srcName&gt;&#10;&lt;type&gt;graph&lt;/type&gt;&#10; &lt;srcSheet&gt;Graph 1.18&lt;/srcSheet&gt;&#10; &lt;srcChartTitle&gt;Chart 1&lt;/srcChartTitle&gt;&#10;&lt;pos&gt;top&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7:28:4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929" cy="2533769"/>
                          </a:xfrm>
                          <a:prstGeom prst="rect">
                            <a:avLst/>
                          </a:prstGeom>
                          <a:noFill/>
                          <a:ln>
                            <a:noFill/>
                          </a:ln>
                        </pic:spPr>
                      </pic:pic>
                    </a:graphicData>
                  </a:graphic>
                </wp:inline>
              </w:drawing>
            </w:r>
          </w:p>
        </w:tc>
      </w:tr>
      <w:tr w:rsidR="00852622" w:rsidRPr="00554B02" w14:paraId="01A275B1" w14:textId="77777777" w:rsidTr="00460C69">
        <w:trPr>
          <w:cantSplit/>
        </w:trPr>
        <w:tc>
          <w:tcPr>
            <w:tcW w:w="8505" w:type="dxa"/>
            <w:shd w:val="clear" w:color="auto" w:fill="auto"/>
          </w:tcPr>
          <w:p w14:paraId="6B56F283" w14:textId="77777777" w:rsidR="00852622" w:rsidRPr="00554B02" w:rsidRDefault="00852622" w:rsidP="00460C69">
            <w:pPr>
              <w:pStyle w:val="GraphSource"/>
              <w:keepNext/>
            </w:pPr>
            <w:r w:rsidRPr="00554B02">
              <w:rPr>
                <w:b/>
                <w:i/>
              </w:rPr>
              <w:t>Source:</w:t>
            </w:r>
            <w:r w:rsidRPr="00554B02">
              <w:t xml:space="preserve"> UN World Population Prospects: The 2017 Revision.</w:t>
            </w:r>
          </w:p>
        </w:tc>
      </w:tr>
    </w:tbl>
    <w:p w14:paraId="5089C292" w14:textId="77777777" w:rsidR="00852622" w:rsidRPr="00554B02" w:rsidRDefault="00852622" w:rsidP="00460C69">
      <w:r w:rsidRPr="00554B02">
        <w:t xml:space="preserve">Population ageing is a global phenomenon with trends similar to those in EU present also in other parts of the world, though to varying degrees (see Graph </w:t>
      </w:r>
      <w:r w:rsidRPr="00554B02">
        <w:fldChar w:fldCharType="begin"/>
      </w:r>
      <w:r w:rsidRPr="00554B02">
        <w:instrText xml:space="preserve"> QUOTE "I.1.10"</w:instrText>
      </w:r>
      <w:r w:rsidRPr="00554B02">
        <w:fldChar w:fldCharType="begin">
          <w:fldData xml:space="preserve">QwBSAE8AUwBTAFIARQBGAEUAUgBFAE4AQwBFACoARwBSAEEAUABIACoAZAAwAGEANgBkAGYANABk
AC0ANwA2AGYANAAtADQAMQAxADMALQBiAGQAMQBhAC0AZQA2ADkAYgAwAGEAYgAyAGEAMAA2AGMA
</w:fldData>
        </w:fldChar>
      </w:r>
      <w:r w:rsidRPr="00554B02">
        <w:instrText xml:space="preserve"> ADDIN </w:instrText>
      </w:r>
      <w:r w:rsidRPr="00554B02">
        <w:fldChar w:fldCharType="end"/>
      </w:r>
      <w:r w:rsidRPr="00554B02">
        <w:instrText xml:space="preserve"> </w:instrText>
      </w:r>
      <w:r w:rsidRPr="00554B02">
        <w:fldChar w:fldCharType="separate"/>
      </w:r>
      <w:r w:rsidR="009F3ED8" w:rsidRPr="00554B02">
        <w:t>I.1.10</w:t>
      </w:r>
      <w:r w:rsidRPr="00554B02">
        <w:fldChar w:fldCharType="end"/>
      </w:r>
      <w:r w:rsidRPr="00554B02">
        <w:t>), as shown by the UN population statistics and projections (</w:t>
      </w:r>
      <w:r w:rsidRPr="00554B02">
        <w:rPr>
          <w:rStyle w:val="Referencafusnote"/>
        </w:rPr>
        <w:footnoteReference w:id="19"/>
      </w:r>
      <w:r w:rsidRPr="00554B02">
        <w:t xml:space="preserve">). These data show that the world population share of EU Member States declined from 13.5% in 1960 to 6.9% in 2015. The shares of Japan, China, Russia and the US also </w:t>
      </w:r>
      <w:r w:rsidRPr="00554B02">
        <w:lastRenderedPageBreak/>
        <w:t>declined over this period, in contrast with rising shares of Africa, Asia and Latin America.</w:t>
      </w:r>
    </w:p>
    <w:p w14:paraId="4FFA2884" w14:textId="77777777" w:rsidR="00852622" w:rsidRPr="00554B02" w:rsidRDefault="00852622" w:rsidP="00460C69">
      <w:r w:rsidRPr="00554B02">
        <w:t xml:space="preserve">Through 2070, continued declines are projected for the EU, Japan and China, and to a less extent for Northern America. The share of the EU is projected to drop to 4.5% by 2070, despite the projected net migration inflows. In Asia, a slight decline is expected though it is projected to still account for 49% of the world population in 2070. The decline is particularly evident for China, whose world population share is projected to fall from 18.9% to 11.4% between 2015 and 2070. </w:t>
      </w:r>
    </w:p>
    <w:p w14:paraId="4AF12E36" w14:textId="77777777" w:rsidR="00852622" w:rsidRPr="00554B02" w:rsidRDefault="00852622" w:rsidP="00460C69">
      <w:r w:rsidRPr="00554B02">
        <w:t>The world population shares of Northern America and the US (4.8% and 4.3%, respectively in 2015) will also decline but much more slowly, reaching 4.4% and 4.0% respectively by 2070. By contrast, the share of Africa is forecast to continue to rise steadily, reaching 32.1% in 2070. The other regions of the world will roughly keep their share in the growing world population.</w:t>
      </w:r>
    </w:p>
    <w:p w14:paraId="2186BACA" w14:textId="77777777" w:rsidR="00852622" w:rsidRPr="00554B02" w:rsidRDefault="00852622" w:rsidP="00460C69">
      <w:r w:rsidRPr="00554B02">
        <w:t xml:space="preserve">Looking at the age structure in the UN projections, it can be seen that Europe is currently the oldest continent with the highest old-age dependency ratio, and will remain so in 2070 (see Table </w:t>
      </w:r>
      <w:r w:rsidRPr="00554B02">
        <w:fldChar w:fldCharType="begin"/>
      </w:r>
      <w:r w:rsidRPr="00554B02">
        <w:instrText xml:space="preserve"> QUOTE "I.1.7"</w:instrText>
      </w:r>
      <w:r w:rsidRPr="00554B02">
        <w:fldChar w:fldCharType="begin">
          <w:fldData xml:space="preserve">QwBSAE8AUwBTAFIARQBGAEUAUgBFAE4AQwBFACoAVABBAEIATABFACoAYQAyADIAYwA1AGEAYgA2
AC0ANQBlAGUAMQAtADQANQA1ADQALQA4ADQAOQBkAC0ANQBkADMAYwA0AGUAYwAwADkAZQAyADgA
</w:fldData>
        </w:fldChar>
      </w:r>
      <w:r w:rsidRPr="00554B02">
        <w:instrText xml:space="preserve"> ADDIN </w:instrText>
      </w:r>
      <w:r w:rsidRPr="00554B02">
        <w:fldChar w:fldCharType="end"/>
      </w:r>
      <w:r w:rsidRPr="00554B02">
        <w:instrText xml:space="preserve"> </w:instrText>
      </w:r>
      <w:r w:rsidRPr="00554B02">
        <w:fldChar w:fldCharType="separate"/>
      </w:r>
      <w:r w:rsidR="009F3ED8" w:rsidRPr="00554B02">
        <w:t>I.1.7</w:t>
      </w:r>
      <w:r w:rsidRPr="00554B02">
        <w:fldChar w:fldCharType="end"/>
      </w:r>
      <w:r w:rsidRPr="00554B02">
        <w:t xml:space="preserve">). </w:t>
      </w:r>
    </w:p>
    <w:p w14:paraId="48B8A3CF" w14:textId="77777777" w:rsidR="00852622" w:rsidRPr="00554B02" w:rsidRDefault="00852622" w:rsidP="00460C69">
      <w:r w:rsidRPr="00554B02">
        <w:t>Other continents are however also projected to experience a dramatic ageing of their populations, with old-age dependency ratios rising by at least 15 pps. between 2015-2070 bar Africa. Latin America is projected to experience the highest rise in dependency ratio during this period (33.6 pps.), followed by Asia (25.4 pps.) and Europe (23 pps.).</w:t>
      </w:r>
    </w:p>
    <w:p w14:paraId="6E712087" w14:textId="77777777" w:rsidR="00852622" w:rsidRPr="00554B02" w:rsidRDefault="00852622" w:rsidP="00460C69">
      <w:r w:rsidRPr="00554B02">
        <w:lastRenderedPageBreak/>
        <w:t xml:space="preserve">Demographic change is projected to be pronounced in particular in China, and Japan, where the old age dependency ratio is projected to rise by 40 pps. and 27 pps. respectively, with the EU and euro area just behind (25 pps. and 25.3 pps. respectively). </w:t>
      </w:r>
    </w:p>
    <w:p w14:paraId="04F9BD34" w14:textId="77777777" w:rsidR="00852622" w:rsidRPr="00554B02" w:rsidRDefault="00852622" w:rsidP="00460C69">
      <w:r w:rsidRPr="00554B02">
        <w:t xml:space="preserve">The result of these projections of significant demographic change is that by 2070 Japan, the EU/euro-area and China will have the highest old-age dependency ratios among large economies, all of them exceeding the 50% benchmark (that implies two working-age adults for one elderly person). </w:t>
      </w:r>
    </w:p>
    <w:p w14:paraId="7BDC2591" w14:textId="77777777" w:rsidR="00852622" w:rsidRPr="00554B02" w:rsidRDefault="00852622" w:rsidP="00460C69">
      <w:r w:rsidRPr="00554B02">
        <w:t xml:space="preserve">This benchmark will not be surpassed in the United States and India, where the old-age dependency ratios are projected to rise to 43.1% and 31% respectively. Japan is also projected to have the highest increase of the very old-age dependency ratio in 2070 (23.3%), followed by China (19.8%), the euro-area (16.2%) and the EU (15.9%).  </w:t>
      </w:r>
    </w:p>
    <w:tbl>
      <w:tblPr>
        <w:tblpPr w:horzAnchor="margin" w:tblpYSpec="bottom"/>
        <w:tblOverlap w:val="never"/>
        <w:tblW w:w="0" w:type="auto"/>
        <w:tblLayout w:type="fixed"/>
        <w:tblCellMar>
          <w:left w:w="0" w:type="dxa"/>
          <w:right w:w="0" w:type="dxa"/>
        </w:tblCellMar>
        <w:tblLook w:val="0000" w:firstRow="0" w:lastRow="0" w:firstColumn="0" w:lastColumn="0" w:noHBand="0" w:noVBand="0"/>
      </w:tblPr>
      <w:tblGrid>
        <w:gridCol w:w="8505"/>
      </w:tblGrid>
      <w:tr w:rsidR="00852622" w:rsidRPr="00554B02" w14:paraId="7D47EE73" w14:textId="77777777" w:rsidTr="00460C69">
        <w:trPr>
          <w:cantSplit/>
          <w:trHeight w:val="20"/>
        </w:trPr>
        <w:tc>
          <w:tcPr>
            <w:tcW w:w="8505" w:type="dxa"/>
            <w:shd w:val="clear" w:color="auto" w:fill="auto"/>
          </w:tcPr>
          <w:p w14:paraId="479A15ED" w14:textId="77777777" w:rsidR="00852622" w:rsidRPr="00554B02" w:rsidRDefault="00852622" w:rsidP="00460C69">
            <w:pPr>
              <w:pStyle w:val="SlimCell"/>
              <w:keepNext/>
            </w:pPr>
          </w:p>
        </w:tc>
      </w:tr>
      <w:tr w:rsidR="00852622" w:rsidRPr="00554B02" w14:paraId="7B1FE783" w14:textId="77777777" w:rsidTr="00460C69">
        <w:trPr>
          <w:cantSplit/>
        </w:trPr>
        <w:tc>
          <w:tcPr>
            <w:tcW w:w="8505" w:type="dxa"/>
            <w:shd w:val="clear" w:color="auto" w:fill="auto"/>
          </w:tcPr>
          <w:p w14:paraId="4B93AB50" w14:textId="77777777" w:rsidR="00852622" w:rsidRPr="00554B02" w:rsidRDefault="00852622" w:rsidP="00460C69">
            <w:pPr>
              <w:pStyle w:val="TableTitle"/>
              <w:rPr>
                <w:b/>
              </w:rPr>
            </w:pPr>
            <w:r w:rsidRPr="00554B02">
              <w:t>Table I.1.7:</w:t>
            </w:r>
            <w:r w:rsidRPr="00554B02">
              <w:rPr>
                <w:b/>
              </w:rPr>
              <w:tab/>
              <w:t>Old-age dependency ratio (65+/(15-64)</w:t>
            </w:r>
          </w:p>
        </w:tc>
      </w:tr>
      <w:tr w:rsidR="00852622" w:rsidRPr="00554B02" w14:paraId="6001BF63" w14:textId="77777777" w:rsidTr="00460C69">
        <w:trPr>
          <w:cantSplit/>
        </w:trPr>
        <w:tc>
          <w:tcPr>
            <w:tcW w:w="8505" w:type="dxa"/>
            <w:shd w:val="clear" w:color="auto" w:fill="auto"/>
          </w:tcPr>
          <w:p w14:paraId="1201896C" w14:textId="77777777" w:rsidR="00852622" w:rsidRPr="00554B02" w:rsidRDefault="00852622" w:rsidP="00460C69">
            <w:pPr>
              <w:pStyle w:val="TableShape"/>
              <w:rPr>
                <w:sz w:val="2"/>
              </w:rPr>
            </w:pPr>
            <w:r>
              <w:rPr>
                <w:noProof/>
                <w:sz w:val="2"/>
                <w:lang w:val="hr-HR" w:eastAsia="hr-HR"/>
              </w:rPr>
              <w:drawing>
                <wp:inline distT="0" distB="0" distL="0" distR="0" wp14:anchorId="32851923" wp14:editId="372217D3">
                  <wp:extent cx="5400929" cy="2127928"/>
                  <wp:effectExtent l="0" t="0" r="9525" b="5715"/>
                  <wp:docPr id="88" name="Picture 88" descr="&lt;nbr&gt;&lt;GETTEXTFROMWORD&gt;&lt;/nbr&gt;&#10;&lt;title&gt;&lt;GETTEXTFROMWORD&gt;&lt;/title&gt;&#10;&lt;id&gt;a22c5ab6-5ee1-4554-849d-5d3c4ec09e28&lt;/id&gt;&#10;&lt;srcType&gt;EXCEL&lt;/srcType&gt;&#10;&lt;srcPath&gt;U:\Budgetary projections 2018\Reports\2018 AR\Tables_and_graphs\Part I Chapter 1\&lt;/srcPath&gt;&#10;&lt;srcName&gt;Tables &amp; charts - CHAP1.xlsx&lt;/srcName&gt;&#10;&lt;type&gt;table&lt;/type&gt;&#10; &lt;srcSheet&gt;Table 1.8&lt;/srcSheet&gt;&#10; &lt;srcRange&gt;R2C2:R17C32&lt;/srcRange&gt;&#10;&lt;pos&gt;bottom_maintext&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7:28:4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0929" cy="2127928"/>
                          </a:xfrm>
                          <a:prstGeom prst="rect">
                            <a:avLst/>
                          </a:prstGeom>
                          <a:noFill/>
                          <a:ln>
                            <a:noFill/>
                          </a:ln>
                        </pic:spPr>
                      </pic:pic>
                    </a:graphicData>
                  </a:graphic>
                </wp:inline>
              </w:drawing>
            </w:r>
            <w:r w:rsidRPr="00554B02">
              <w:fldChar w:fldCharType="begin"/>
            </w:r>
            <w:r w:rsidRPr="009F3ED8">
              <w:instrText xml:space="preserve"> TC "</w:instrText>
            </w:r>
            <w:bookmarkStart w:id="58" w:name="_Toc511664514"/>
            <w:r w:rsidRPr="009F3ED8">
              <w:instrText>I.1.7.</w:instrText>
            </w:r>
            <w:r w:rsidRPr="009F3ED8">
              <w:tab/>
              <w:instrText>Old-age dependency ratio (65+/(15-64)</w:instrText>
            </w:r>
            <w:bookmarkEnd w:id="58"/>
            <w:r w:rsidRPr="009F3ED8">
              <w:instrText xml:space="preserve">" \ftable \l 5 </w:instrText>
            </w:r>
            <w:r w:rsidRPr="00554B02">
              <w:fldChar w:fldCharType="end"/>
            </w:r>
          </w:p>
        </w:tc>
      </w:tr>
      <w:tr w:rsidR="00852622" w:rsidRPr="00554B02" w14:paraId="3DA74E39" w14:textId="77777777" w:rsidTr="00460C69">
        <w:trPr>
          <w:cantSplit/>
        </w:trPr>
        <w:tc>
          <w:tcPr>
            <w:tcW w:w="8505" w:type="dxa"/>
            <w:shd w:val="clear" w:color="auto" w:fill="auto"/>
          </w:tcPr>
          <w:p w14:paraId="3E1819EC" w14:textId="77777777" w:rsidR="00852622" w:rsidRPr="00554B02" w:rsidRDefault="00852622" w:rsidP="00460C69">
            <w:pPr>
              <w:pStyle w:val="TableSource"/>
            </w:pPr>
            <w:r w:rsidRPr="00554B02">
              <w:rPr>
                <w:b/>
                <w:i/>
              </w:rPr>
              <w:t>Source:</w:t>
            </w:r>
            <w:r w:rsidRPr="00554B02">
              <w:t xml:space="preserve"> UN Population Prospects (2017 UN revision)</w:t>
            </w:r>
          </w:p>
        </w:tc>
      </w:tr>
      <w:tr w:rsidR="00852622" w:rsidRPr="00554B02" w14:paraId="3C724CE3" w14:textId="77777777" w:rsidTr="00460C69">
        <w:trPr>
          <w:cantSplit/>
          <w:trHeight w:val="20"/>
        </w:trPr>
        <w:tc>
          <w:tcPr>
            <w:tcW w:w="8505" w:type="dxa"/>
            <w:shd w:val="clear" w:color="auto" w:fill="auto"/>
          </w:tcPr>
          <w:p w14:paraId="5670B23A" w14:textId="77777777" w:rsidR="00852622" w:rsidRPr="00554B02" w:rsidRDefault="00852622" w:rsidP="00460C69">
            <w:pPr>
              <w:pStyle w:val="SlimCell"/>
            </w:pPr>
          </w:p>
        </w:tc>
      </w:tr>
      <w:bookmarkEnd w:id="35"/>
    </w:tbl>
    <w:p w14:paraId="07FC76F0" w14:textId="77777777" w:rsidR="00852622" w:rsidRPr="00852622" w:rsidRDefault="00852622" w:rsidP="00460C69">
      <w:pPr>
        <w:sectPr w:rsidR="00852622" w:rsidRPr="00852622" w:rsidSect="00852622">
          <w:headerReference w:type="even" r:id="rId66"/>
          <w:headerReference w:type="default" r:id="rId67"/>
          <w:footerReference w:type="even" r:id="rId68"/>
          <w:footerReference w:type="default" r:id="rId69"/>
          <w:headerReference w:type="first" r:id="rId70"/>
          <w:footerReference w:type="first" r:id="rId71"/>
          <w:endnotePr>
            <w:numFmt w:val="decimal"/>
            <w:numRestart w:val="eachSect"/>
          </w:endnotePr>
          <w:pgSz w:w="11907" w:h="16839"/>
          <w:pgMar w:top="2693" w:right="1701" w:bottom="1417" w:left="1701" w:header="709" w:footer="1191" w:gutter="0"/>
          <w:cols w:num="2" w:space="283"/>
          <w:titlePg/>
          <w:docGrid w:linePitch="360"/>
        </w:sectPr>
      </w:pPr>
    </w:p>
    <w:bookmarkStart w:id="59" w:name="GUIDBD20D9E2E7AE48778CD51586EF61C558"/>
    <w:p w14:paraId="7B6B79D3" w14:textId="77777777" w:rsidR="00D641C9" w:rsidRPr="009F3ED8" w:rsidRDefault="00D641C9" w:rsidP="00460C69">
      <w:pPr>
        <w:pStyle w:val="EPKitTCFrame"/>
      </w:pPr>
      <w:r w:rsidRPr="009F3ED8">
        <w:lastRenderedPageBreak/>
        <w:fldChar w:fldCharType="begin"/>
      </w:r>
      <w:r w:rsidRPr="009F3ED8">
        <w:rPr>
          <w:vanish w:val="0"/>
        </w:rPr>
        <w:instrText xml:space="preserve"> TC "</w:instrText>
      </w:r>
      <w:bookmarkStart w:id="60" w:name="_Toc511664414"/>
      <w:r w:rsidRPr="009F3ED8">
        <w:rPr>
          <w:vanish w:val="0"/>
        </w:rPr>
        <w:instrText>2.</w:instrText>
      </w:r>
      <w:r w:rsidRPr="009F3ED8">
        <w:rPr>
          <w:vanish w:val="0"/>
        </w:rPr>
        <w:tab/>
        <w:instrText>Macroeconomic assumptions</w:instrText>
      </w:r>
      <w:bookmarkEnd w:id="60"/>
      <w:r w:rsidRPr="009F3ED8">
        <w:rPr>
          <w:vanish w:val="0"/>
        </w:rPr>
        <w:instrText xml:space="preserve">" \f \l 2 </w:instrText>
      </w:r>
      <w:r w:rsidRPr="009F3ED8">
        <w:fldChar w:fldCharType="end"/>
      </w:r>
    </w:p>
    <w:p w14:paraId="652D8D09" w14:textId="77777777" w:rsidR="00D641C9" w:rsidRPr="007018A7" w:rsidRDefault="00D641C9" w:rsidP="00460C69">
      <w:pPr>
        <w:pStyle w:val="NumberedHeading1"/>
        <w:tabs>
          <w:tab w:val="left" w:pos="567"/>
        </w:tabs>
      </w:pPr>
      <w:bookmarkStart w:id="61" w:name="_Toc511664415"/>
      <w:r w:rsidRPr="007018A7">
        <w:t>2.1.</w:t>
      </w:r>
      <w:r w:rsidRPr="007018A7">
        <w:tab/>
        <w:t>Background</w:t>
      </w:r>
      <w:bookmarkEnd w:id="61"/>
      <w:r w:rsidRPr="007018A7">
        <w:t xml:space="preserve"> </w:t>
      </w:r>
    </w:p>
    <w:p w14:paraId="1F887600" w14:textId="77777777" w:rsidR="00D641C9" w:rsidRPr="007018A7" w:rsidRDefault="00D641C9" w:rsidP="00460C69">
      <w:r w:rsidRPr="007018A7">
        <w:t>A production function framework is used to project GDP growth over the long-term (</w:t>
      </w:r>
      <w:r w:rsidRPr="007018A7">
        <w:rPr>
          <w:rStyle w:val="Referencafusnote"/>
        </w:rPr>
        <w:footnoteReference w:id="20"/>
      </w:r>
      <w:r w:rsidRPr="007018A7">
        <w:t xml:space="preserve">). In this framework, potential GDP growth is driven by long-term developments in labour input and labour productivity. </w:t>
      </w:r>
    </w:p>
    <w:p w14:paraId="5123AEC6" w14:textId="77777777" w:rsidR="00D641C9" w:rsidRPr="007018A7" w:rsidRDefault="00D641C9" w:rsidP="00460C69">
      <w:r w:rsidRPr="007018A7">
        <w:t>Participation rates are projected using a cohort simulation model (CSM) (</w:t>
      </w:r>
      <w:r w:rsidRPr="007018A7">
        <w:rPr>
          <w:rStyle w:val="Referencafusnote"/>
        </w:rPr>
        <w:footnoteReference w:id="21"/>
      </w:r>
      <w:r w:rsidRPr="007018A7">
        <w:t>). Labour input projections are based on Eurostat's latest population projections. Labour productivity projections are based on assumptions regarding the long-run developments of its underlying determinants, namely labour-augmenting total factor productivity and the capital stock per worker (also referred to as capital deepening). The long-run projection is based on the central assumption of convergence toward the same value of labour productivity at the end of the projection horizon for all Member States (</w:t>
      </w:r>
      <w:r w:rsidRPr="007018A7">
        <w:rPr>
          <w:rStyle w:val="Referencafusnote"/>
        </w:rPr>
        <w:footnoteReference w:id="22"/>
      </w:r>
      <w:r w:rsidRPr="007018A7">
        <w:t>).</w:t>
      </w:r>
    </w:p>
    <w:p w14:paraId="60F4B46D" w14:textId="77777777" w:rsidR="00D641C9" w:rsidRPr="007018A7" w:rsidRDefault="00D641C9" w:rsidP="00460C69">
      <w:r w:rsidRPr="007018A7">
        <w:t>All assumptions were approved by the EPC, including the T+10 methodology developed by the EPC's Output Gap Working Group (OGWG), and are used in their work by other Council committees (</w:t>
      </w:r>
      <w:r w:rsidRPr="007018A7">
        <w:rPr>
          <w:rStyle w:val="Referencafusnote"/>
        </w:rPr>
        <w:footnoteReference w:id="23"/>
      </w:r>
      <w:r w:rsidRPr="007018A7">
        <w:t>) . </w:t>
      </w:r>
    </w:p>
    <w:p w14:paraId="26BA92EA" w14:textId="77777777" w:rsidR="00D641C9" w:rsidRPr="007018A7" w:rsidRDefault="00D641C9" w:rsidP="00460C69">
      <w:r w:rsidRPr="007018A7">
        <w:t>The remainder of this section describes the main labour force and labour productivity assumptions that underpin the long-term GDP projections in this report (</w:t>
      </w:r>
      <w:r w:rsidRPr="007018A7">
        <w:rPr>
          <w:rStyle w:val="Referencafusnote"/>
        </w:rPr>
        <w:footnoteReference w:id="24"/>
      </w:r>
      <w:r w:rsidRPr="007018A7">
        <w:t xml:space="preserve">). </w:t>
      </w:r>
    </w:p>
    <w:p w14:paraId="5EA2E243" w14:textId="77777777" w:rsidR="00D641C9" w:rsidRPr="007018A7" w:rsidRDefault="00D641C9" w:rsidP="00460C69">
      <w:pPr>
        <w:pStyle w:val="NumberedHeading1"/>
        <w:tabs>
          <w:tab w:val="left" w:pos="567"/>
        </w:tabs>
      </w:pPr>
      <w:bookmarkStart w:id="62" w:name="_Toc511664416"/>
      <w:r w:rsidRPr="007018A7">
        <w:lastRenderedPageBreak/>
        <w:t>2.2.</w:t>
      </w:r>
      <w:r w:rsidRPr="007018A7">
        <w:tab/>
        <w:t>Labour force projections</w:t>
      </w:r>
      <w:bookmarkEnd w:id="62"/>
    </w:p>
    <w:p w14:paraId="29CF1A94" w14:textId="77777777" w:rsidR="00D641C9" w:rsidRPr="007018A7" w:rsidRDefault="00D641C9" w:rsidP="00460C69">
      <w:pPr>
        <w:pStyle w:val="NumberedHeading2"/>
        <w:tabs>
          <w:tab w:val="left" w:pos="567"/>
        </w:tabs>
      </w:pPr>
      <w:r w:rsidRPr="007018A7">
        <w:t>2.2.1.</w:t>
      </w:r>
      <w:r w:rsidRPr="007018A7">
        <w:tab/>
        <w:t>Introduction</w:t>
      </w:r>
    </w:p>
    <w:p w14:paraId="093B6B5F" w14:textId="77777777" w:rsidR="00D641C9" w:rsidRPr="007018A7" w:rsidRDefault="00D641C9" w:rsidP="00460C69">
      <w:r w:rsidRPr="007018A7">
        <w:t>Notwithstanding large cross-country labour force variability in the EU, some stylised facts are assumed in the projection exercise, summarised as follows:</w:t>
      </w:r>
    </w:p>
    <w:p w14:paraId="4792D98D" w14:textId="77777777" w:rsidR="00D641C9" w:rsidRPr="007018A7" w:rsidRDefault="00D641C9" w:rsidP="00D641C9">
      <w:pPr>
        <w:pStyle w:val="Grafikeoznake"/>
        <w:numPr>
          <w:ilvl w:val="0"/>
          <w:numId w:val="1"/>
        </w:numPr>
      </w:pPr>
      <w:r w:rsidRPr="007018A7">
        <w:t>participation rates of prime-age males (aged 25 to 54) remain the highest of all groups, although they are showing signs of marginal decline. The participation rates of males aged 55 to 64 years, which had recorded a steady decline in the past twenty five years, are showing clear signs of a reversal in most countries since the turn of the century, mostly due to pension reforms, raising the statutory retirement age or the state pension age. As a result, participation rates of cohorts older than 65 years are beginning to increase in several countries;</w:t>
      </w:r>
    </w:p>
    <w:p w14:paraId="67B0DF58" w14:textId="77777777" w:rsidR="00D641C9" w:rsidRPr="007018A7" w:rsidRDefault="00D641C9" w:rsidP="00D641C9">
      <w:pPr>
        <w:pStyle w:val="Grafikeoznake"/>
        <w:numPr>
          <w:ilvl w:val="0"/>
          <w:numId w:val="1"/>
        </w:numPr>
      </w:pPr>
      <w:r w:rsidRPr="007018A7">
        <w:t>female participation rates have steadily increased over the past twenty five years, largely reflecting societal trends and pension reforms;</w:t>
      </w:r>
    </w:p>
    <w:p w14:paraId="07752D1B" w14:textId="77777777" w:rsidR="00D641C9" w:rsidRPr="007018A7" w:rsidRDefault="00D641C9" w:rsidP="00D641C9">
      <w:pPr>
        <w:pStyle w:val="Grafikeoznake"/>
        <w:numPr>
          <w:ilvl w:val="0"/>
          <w:numId w:val="1"/>
        </w:numPr>
      </w:pPr>
      <w:r w:rsidRPr="007018A7">
        <w:t>participation rates of young people (aged 15 to 24 years) have declined, mostly due to a longer education periods, but also to unfavourable cyclical developments.</w:t>
      </w:r>
    </w:p>
    <w:p w14:paraId="35501B22" w14:textId="77777777" w:rsidR="00D641C9" w:rsidRPr="007018A7" w:rsidRDefault="00D641C9" w:rsidP="00460C69">
      <w:r w:rsidRPr="007018A7">
        <w:t>Given these trends, the main drivers of the projected change in the total participation rate and by extension the labour force in the EU will be changes in the labour force attachment of prime age women, older workers (especially women) and, to a lesser extent, young people.</w:t>
      </w:r>
    </w:p>
    <w:p w14:paraId="5D2DB547" w14:textId="77777777" w:rsidR="00D641C9" w:rsidRPr="007018A7" w:rsidRDefault="00D641C9" w:rsidP="00460C69">
      <w:pPr>
        <w:pStyle w:val="NumberedHeading2"/>
        <w:tabs>
          <w:tab w:val="left" w:pos="567"/>
        </w:tabs>
      </w:pPr>
      <w:r w:rsidRPr="007018A7">
        <w:t>2.2.2.</w:t>
      </w:r>
      <w:r w:rsidRPr="007018A7">
        <w:tab/>
        <w:t>The impact of legislated pension reforms</w:t>
      </w:r>
    </w:p>
    <w:p w14:paraId="3D903B09" w14:textId="77777777" w:rsidR="00D641C9" w:rsidRPr="007018A7" w:rsidRDefault="00D641C9" w:rsidP="00460C69">
      <w:pPr>
        <w:rPr>
          <w:b/>
          <w:i/>
        </w:rPr>
      </w:pPr>
      <w:r w:rsidRPr="007018A7">
        <w:rPr>
          <w:b/>
          <w:i/>
        </w:rPr>
        <w:t>As a result of pension reforms, an average increase of 2.3 years in the effective retirement age for men and of 2.9 years for women is expected, the later also influenced by cohort effects.</w:t>
      </w:r>
    </w:p>
    <w:p w14:paraId="6135A4BB" w14:textId="77777777" w:rsidR="00D641C9" w:rsidRPr="007018A7" w:rsidRDefault="00D641C9" w:rsidP="00460C69">
      <w:r w:rsidRPr="007018A7">
        <w:t xml:space="preserve">Participation rates are projected using a cohort simulation model (CSM). A strong point of the CSM is its ability to take into account the expected effects on the participation rate of older workers of </w:t>
      </w:r>
      <w:r w:rsidRPr="007018A7">
        <w:lastRenderedPageBreak/>
        <w:fldChar w:fldCharType="begin"/>
      </w:r>
      <w:r w:rsidRPr="009F3ED8">
        <w:instrText xml:space="preserve"> TC "</w:instrText>
      </w:r>
      <w:bookmarkStart w:id="63" w:name="_Toc511664632"/>
      <w:r w:rsidRPr="009F3ED8">
        <w:instrText>I.2.1.</w:instrText>
      </w:r>
      <w:r w:rsidRPr="009F3ED8">
        <w:tab/>
        <w:instrText>Impact of pension reforms on participation rates of persons aged 55-64 in 2070 (percentage points)</w:instrText>
      </w:r>
      <w:bookmarkEnd w:id="63"/>
      <w:r w:rsidRPr="009F3ED8">
        <w:instrText xml:space="preserve">" \fgraph \l 5 </w:instrText>
      </w:r>
      <w:r w:rsidRPr="007018A7">
        <w:fldChar w:fldCharType="end"/>
      </w:r>
      <w:r w:rsidRPr="007018A7">
        <w:t>legislated pension reforms, including measures to be phased in gradually (</w:t>
      </w:r>
      <w:r w:rsidRPr="007018A7">
        <w:rPr>
          <w:rStyle w:val="Referencafusnote"/>
        </w:rPr>
        <w:footnoteReference w:id="25"/>
      </w:r>
      <w:r w:rsidRPr="007018A7">
        <w:t xml:space="preserve">). </w:t>
      </w:r>
    </w:p>
    <w:p w14:paraId="61FD7951" w14:textId="77777777" w:rsidR="00D641C9" w:rsidRPr="007018A7" w:rsidRDefault="00D641C9" w:rsidP="00460C69">
      <w:r w:rsidRPr="007018A7">
        <w:t xml:space="preserve">Although the age profiles of the probability of retirement vary across countries reflecting the heterogeneity of pension systems, a common feature is that the distribution of retirement decisions is markedly skewed towards the earliest possible retirement age. In fact, a typical distribution of the retirement age tends to have spikes/modes at both the minimum age for early retirement and the normal (statutory) retirement ages. </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D641C9" w:rsidRPr="007018A7" w14:paraId="03623D3F" w14:textId="77777777" w:rsidTr="00460C69">
        <w:trPr>
          <w:cantSplit/>
        </w:trPr>
        <w:tc>
          <w:tcPr>
            <w:tcW w:w="8505" w:type="dxa"/>
            <w:shd w:val="clear" w:color="auto" w:fill="auto"/>
          </w:tcPr>
          <w:p w14:paraId="5423FB08" w14:textId="77777777" w:rsidR="00D641C9" w:rsidRPr="007018A7" w:rsidRDefault="00D641C9" w:rsidP="00460C69">
            <w:pPr>
              <w:pStyle w:val="GraphTitle"/>
              <w:rPr>
                <w:b/>
              </w:rPr>
            </w:pPr>
            <w:r w:rsidRPr="007018A7">
              <w:t>Graph I.2.1:</w:t>
            </w:r>
            <w:r w:rsidRPr="007018A7">
              <w:rPr>
                <w:b/>
              </w:rPr>
              <w:tab/>
              <w:t>Impact of pension reforms on participation rates of persons aged 55-64 in 2070 (percentage points)</w:t>
            </w:r>
          </w:p>
        </w:tc>
      </w:tr>
      <w:tr w:rsidR="00D641C9" w:rsidRPr="007018A7" w14:paraId="7012BEA6" w14:textId="77777777" w:rsidTr="00460C69">
        <w:trPr>
          <w:cantSplit/>
        </w:trPr>
        <w:tc>
          <w:tcPr>
            <w:tcW w:w="8505" w:type="dxa"/>
            <w:shd w:val="clear" w:color="auto" w:fill="auto"/>
          </w:tcPr>
          <w:p w14:paraId="6AD45D78" w14:textId="77777777" w:rsidR="00D641C9" w:rsidRPr="007018A7" w:rsidRDefault="00D641C9" w:rsidP="00460C69">
            <w:pPr>
              <w:pStyle w:val="GraphShape"/>
              <w:rPr>
                <w:sz w:val="2"/>
              </w:rPr>
            </w:pPr>
            <w:r>
              <w:rPr>
                <w:noProof/>
                <w:sz w:val="2"/>
                <w:lang w:val="hr-HR" w:eastAsia="hr-HR"/>
              </w:rPr>
              <w:drawing>
                <wp:inline distT="0" distB="0" distL="0" distR="0" wp14:anchorId="31F8D7C3" wp14:editId="327A3313">
                  <wp:extent cx="5400929" cy="4091017"/>
                  <wp:effectExtent l="0" t="0" r="0" b="5080"/>
                  <wp:docPr id="765" name="Picture 765" descr="&lt;nbr&gt;&lt;GETTEXTFROMWORD&gt;&lt;/nbr&gt;&#10;&lt;title&gt;&lt;GETTEXTFROMWORD&gt;&lt;/title&gt;&#10;&lt;id&gt;2be44965-25c1-4098-9efa-c816076f9260&lt;/id&gt;&#10;&lt;srcType&gt;EXCEL&lt;/srcType&gt;&#10;&lt;srcPath&gt;U:\Budgetary projections 2018\Reports\2018 AR\Tables_and_graphs\Part I Chapter 2\&lt;/srcPath&gt;&#10;&lt;srcName&gt;Graphs.xlsx&lt;/srcName&gt;&#10;&lt;type&gt;clusterofgraphs&lt;/type&gt;&#10; &lt;srcSheet&gt;Graph 1.2.1&lt;/srcSheet&gt;&#10; &lt;individualNumbers&gt;no&lt;/individualNumbers&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yes&lt;/float&gt;&#10;&lt;bottomShapePageNumber&gt;-1&lt;/bottomShapePageNumber&gt;&#10;&lt;version&gt;2&lt;/version&gt;&#10;&lt;scrFileTime&gt;2018-04-13T12:49: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00929" cy="4091017"/>
                          </a:xfrm>
                          <a:prstGeom prst="rect">
                            <a:avLst/>
                          </a:prstGeom>
                          <a:noFill/>
                          <a:ln>
                            <a:noFill/>
                          </a:ln>
                        </pic:spPr>
                      </pic:pic>
                    </a:graphicData>
                  </a:graphic>
                </wp:inline>
              </w:drawing>
            </w:r>
          </w:p>
        </w:tc>
      </w:tr>
      <w:tr w:rsidR="00D641C9" w:rsidRPr="007018A7" w14:paraId="54460CB8" w14:textId="77777777" w:rsidTr="00460C69">
        <w:trPr>
          <w:cantSplit/>
        </w:trPr>
        <w:tc>
          <w:tcPr>
            <w:tcW w:w="8505" w:type="dxa"/>
            <w:shd w:val="clear" w:color="auto" w:fill="auto"/>
          </w:tcPr>
          <w:p w14:paraId="1A28E277" w14:textId="77777777" w:rsidR="00D641C9" w:rsidRDefault="00D641C9" w:rsidP="00460C69">
            <w:pPr>
              <w:pStyle w:val="GraphFootnote"/>
              <w:keepNext/>
            </w:pPr>
            <w:r>
              <w:t>Note: LU, SE and NO excluded as there is no legislated pension measures that will affect retirement behaviour in the interval 2016 - 70.</w:t>
            </w:r>
          </w:p>
          <w:p w14:paraId="2D84A1F5" w14:textId="77777777" w:rsidR="00D641C9" w:rsidRPr="007018A7" w:rsidRDefault="00D641C9" w:rsidP="00460C69">
            <w:pPr>
              <w:pStyle w:val="GraphSource"/>
              <w:keepNext/>
            </w:pPr>
            <w:r w:rsidRPr="007018A7">
              <w:rPr>
                <w:b/>
                <w:i/>
              </w:rPr>
              <w:t>Source:</w:t>
            </w:r>
            <w:r w:rsidRPr="007018A7">
              <w:t xml:space="preserve"> Commission services, EPC.</w:t>
            </w:r>
          </w:p>
        </w:tc>
      </w:tr>
    </w:tbl>
    <w:p w14:paraId="1E62CB15" w14:textId="77777777" w:rsidR="00D641C9" w:rsidRPr="007018A7" w:rsidRDefault="00D641C9" w:rsidP="00460C69">
      <w:r w:rsidRPr="007018A7">
        <w:t>A comprehensive assessment of how to shift the distribution of retirement ages ultimately depends on the considered judgement of all the relevant factors underlying retirement decisions. This assessment is carried out by Commission Services (DG ECFIN) and the EPC-AWG delegates.</w:t>
      </w:r>
    </w:p>
    <w:p w14:paraId="4F15AF1B" w14:textId="77777777" w:rsidR="00D641C9" w:rsidRPr="007018A7" w:rsidRDefault="00D641C9" w:rsidP="00460C69">
      <w:r w:rsidRPr="007018A7">
        <w:t xml:space="preserve">In most of the EU Member States that have recently legislated pension reforms, these are projected to have a sizeable impact on the labour market participation of workers aged 55-64, depending on their magnitude and phasing in. The average participation rates for workers between 55-64 years old in 2070 before and after the impact of pension reforms are presented in Graph </w:t>
      </w:r>
      <w:r w:rsidRPr="007018A7">
        <w:fldChar w:fldCharType="begin"/>
      </w:r>
      <w:r w:rsidRPr="007018A7">
        <w:instrText xml:space="preserve"> QUOTE "I.2.1"</w:instrText>
      </w:r>
      <w:r w:rsidRPr="007018A7">
        <w:fldChar w:fldCharType="begin">
          <w:fldData xml:space="preserve">QwBSAE8AUwBTAFIARQBGAEUAUgBFAE4AQwBFACoAQwBMAFUAUwBUAEUAUgAgAE8ARgAgAEcAUgBB
AFAASABTACoAMgBiAGUANAA0ADkANgA1AC0AMgA1AGMAMQAtADQAMAA5ADgALQA5AGUAZgBhAC0A
YwA4ADEANgAwADcANgBmADkAMgA2ADAA
</w:fldData>
        </w:fldChar>
      </w:r>
      <w:r w:rsidRPr="007018A7">
        <w:instrText xml:space="preserve"> ADDIN </w:instrText>
      </w:r>
      <w:r w:rsidRPr="007018A7">
        <w:fldChar w:fldCharType="end"/>
      </w:r>
      <w:r w:rsidRPr="007018A7">
        <w:instrText xml:space="preserve"> </w:instrText>
      </w:r>
      <w:r w:rsidRPr="007018A7">
        <w:fldChar w:fldCharType="separate"/>
      </w:r>
      <w:r w:rsidR="009F3ED8" w:rsidRPr="007018A7">
        <w:t>I.2.1</w:t>
      </w:r>
      <w:r w:rsidRPr="007018A7">
        <w:fldChar w:fldCharType="end"/>
      </w:r>
      <w:r w:rsidRPr="007018A7">
        <w:t xml:space="preserve">. </w:t>
      </w:r>
    </w:p>
    <w:p w14:paraId="0DEB8DC8" w14:textId="77777777" w:rsidR="00D641C9" w:rsidRPr="007018A7" w:rsidRDefault="00D641C9" w:rsidP="00460C69">
      <w:r w:rsidRPr="007018A7">
        <w:t>The projections show an average increase of approximately 11.3 pps. in the participation rate for men. (</w:t>
      </w:r>
      <w:r w:rsidRPr="007018A7">
        <w:rPr>
          <w:rStyle w:val="Referencafusnote"/>
        </w:rPr>
        <w:footnoteReference w:id="26"/>
      </w:r>
      <w:r w:rsidRPr="007018A7">
        <w:t xml:space="preserve">) In Greece, Italy, Hungary, and France the expected increase exceeds 20 pps. The </w:t>
      </w:r>
      <w:r w:rsidRPr="007018A7">
        <w:lastRenderedPageBreak/>
        <w:t xml:space="preserve">expected increase in the participation rates of </w:t>
      </w:r>
      <w:r w:rsidRPr="007018A7">
        <w:fldChar w:fldCharType="begin"/>
      </w:r>
      <w:r w:rsidRPr="009F3ED8">
        <w:instrText xml:space="preserve"> TC "</w:instrText>
      </w:r>
      <w:bookmarkStart w:id="64" w:name="_Toc511664633"/>
      <w:r w:rsidRPr="009F3ED8">
        <w:instrText>I.2.2.</w:instrText>
      </w:r>
      <w:r w:rsidRPr="009F3ED8">
        <w:tab/>
        <w:instrText>Impact of pension reforms on the average exit age from the labour force for persons aged 55-64 years old, 2016-2070 (increase in average exit age in years)</w:instrText>
      </w:r>
      <w:bookmarkEnd w:id="64"/>
      <w:r w:rsidRPr="009F3ED8">
        <w:instrText xml:space="preserve">" \fgraph \l 5 </w:instrText>
      </w:r>
      <w:r w:rsidRPr="007018A7">
        <w:fldChar w:fldCharType="end"/>
      </w:r>
      <w:r w:rsidRPr="007018A7">
        <w:t xml:space="preserve">women between 55-64 years old is slightly higher (14.3 pps. on average), reflecting in a number of countries the progressive convergence of participation rates across genders. In Slovakia, Hungary, Greece, Italy and Slovenia the rise in participation rate is forecast to exceed 30 pps. </w:t>
      </w:r>
    </w:p>
    <w:p w14:paraId="20AAE582" w14:textId="77777777" w:rsidR="00D641C9" w:rsidRPr="007018A7" w:rsidRDefault="00D641C9" w:rsidP="00460C69">
      <w:r w:rsidRPr="007018A7">
        <w:t xml:space="preserve">The increases in the average exit ages from the labour market for 2070, as presented in Graph </w:t>
      </w:r>
      <w:r w:rsidRPr="007018A7">
        <w:fldChar w:fldCharType="begin"/>
      </w:r>
      <w:r w:rsidRPr="007018A7">
        <w:instrText xml:space="preserve"> QUOTE "I.2.2"</w:instrText>
      </w:r>
      <w:r w:rsidRPr="007018A7">
        <w:fldChar w:fldCharType="begin">
          <w:fldData xml:space="preserve">QwBSAE8AUwBTAFIARQBGAEUAUgBFAE4AQwBFACoAQwBMAFUAUwBUAEUAUgAgAE8ARgAgAEcAUgBB
AFAASABTACoAOQBlADcAZAA2AGQAMAAwAC0ANwBkADkAOAAtADQANgA5ADUALQBiADkAZgA0AC0A
NQBlADYAMQAxADMAYgA4ADkANgAzAGQA
</w:fldData>
        </w:fldChar>
      </w:r>
      <w:r w:rsidRPr="007018A7">
        <w:instrText xml:space="preserve"> ADDIN </w:instrText>
      </w:r>
      <w:r w:rsidRPr="007018A7">
        <w:fldChar w:fldCharType="end"/>
      </w:r>
      <w:r w:rsidRPr="007018A7">
        <w:instrText xml:space="preserve"> </w:instrText>
      </w:r>
      <w:r w:rsidRPr="007018A7">
        <w:fldChar w:fldCharType="separate"/>
      </w:r>
      <w:r w:rsidR="009F3ED8" w:rsidRPr="007018A7">
        <w:t>I.2.2</w:t>
      </w:r>
      <w:r w:rsidRPr="007018A7">
        <w:fldChar w:fldCharType="end"/>
      </w:r>
      <w:r w:rsidRPr="007018A7">
        <w:t>, are calculated based on participation rates discussed above and provide a summary measure of the long</w:t>
      </w:r>
      <w:r w:rsidRPr="007018A7">
        <w:noBreakHyphen/>
        <w:t>term impact of enacted pension reforms in 26 Member States (</w:t>
      </w:r>
      <w:r w:rsidRPr="007018A7">
        <w:rPr>
          <w:rStyle w:val="Referencafusnote"/>
        </w:rPr>
        <w:footnoteReference w:id="27"/>
      </w:r>
      <w:r w:rsidRPr="007018A7">
        <w:t>).</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D641C9" w:rsidRPr="007018A7" w14:paraId="6CEAA005" w14:textId="77777777" w:rsidTr="00460C69">
        <w:trPr>
          <w:cantSplit/>
        </w:trPr>
        <w:tc>
          <w:tcPr>
            <w:tcW w:w="8505" w:type="dxa"/>
            <w:shd w:val="clear" w:color="auto" w:fill="auto"/>
          </w:tcPr>
          <w:p w14:paraId="57337A60" w14:textId="77777777" w:rsidR="00D641C9" w:rsidRPr="007018A7" w:rsidRDefault="00D641C9" w:rsidP="00460C69">
            <w:pPr>
              <w:pStyle w:val="GraphTitle"/>
              <w:rPr>
                <w:b/>
              </w:rPr>
            </w:pPr>
            <w:r w:rsidRPr="007018A7">
              <w:t>Graph I.2.2:</w:t>
            </w:r>
            <w:r w:rsidRPr="007018A7">
              <w:rPr>
                <w:b/>
              </w:rPr>
              <w:tab/>
              <w:t>Impact of pension reforms on the average exit age from the labour force for persons aged 55-64 years old, 2016-2070 (increase in average exit age in years)</w:t>
            </w:r>
          </w:p>
        </w:tc>
      </w:tr>
      <w:tr w:rsidR="00D641C9" w:rsidRPr="007018A7" w14:paraId="146E4261" w14:textId="77777777" w:rsidTr="00460C69">
        <w:trPr>
          <w:cantSplit/>
        </w:trPr>
        <w:tc>
          <w:tcPr>
            <w:tcW w:w="8505" w:type="dxa"/>
            <w:shd w:val="clear" w:color="auto" w:fill="auto"/>
          </w:tcPr>
          <w:p w14:paraId="0009D648" w14:textId="77777777" w:rsidR="00D641C9" w:rsidRPr="007018A7" w:rsidRDefault="00D641C9" w:rsidP="00460C69">
            <w:pPr>
              <w:pStyle w:val="GraphShape"/>
              <w:rPr>
                <w:sz w:val="2"/>
              </w:rPr>
            </w:pPr>
            <w:r>
              <w:rPr>
                <w:noProof/>
                <w:sz w:val="2"/>
                <w:lang w:val="hr-HR" w:eastAsia="hr-HR"/>
              </w:rPr>
              <w:drawing>
                <wp:inline distT="0" distB="0" distL="0" distR="0" wp14:anchorId="15063493" wp14:editId="2A1BA89F">
                  <wp:extent cx="5400929" cy="3362148"/>
                  <wp:effectExtent l="0" t="0" r="0" b="0"/>
                  <wp:docPr id="766" name="Picture 766" descr="&lt;nbr&gt;&lt;GETTEXTFROMWORD&gt;&lt;/nbr&gt;&#10;&lt;title&gt;&lt;GETTEXTFROMWORD&gt;&lt;/title&gt;&#10;&lt;id&gt;9e7d6d00-7d98-4695-b9f4-5e6113b8963d&lt;/id&gt;&#10;&lt;srcType&gt;EXCEL&lt;/srcType&gt;&#10;&lt;srcPath&gt;U:\Budgetary projections 2018\Reports\2018 AR\Tables_and_graphs\Part I Chapter 2\&lt;/srcPath&gt;&#10;&lt;srcName&gt;Graphs.xlsx&lt;/srcName&gt;&#10;&lt;type&gt;clusterofgraphs&lt;/type&gt;&#10; &lt;srcSheet&gt;Graph 1.2.2 shift_v2&lt;/srcSheet&gt;&#10; &lt;individualNumbers&gt;no&lt;/individualNumbers&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3T12:49: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00929" cy="3362148"/>
                          </a:xfrm>
                          <a:prstGeom prst="rect">
                            <a:avLst/>
                          </a:prstGeom>
                          <a:noFill/>
                          <a:ln>
                            <a:noFill/>
                          </a:ln>
                        </pic:spPr>
                      </pic:pic>
                    </a:graphicData>
                  </a:graphic>
                </wp:inline>
              </w:drawing>
            </w:r>
          </w:p>
        </w:tc>
      </w:tr>
      <w:tr w:rsidR="00D641C9" w:rsidRPr="007018A7" w14:paraId="4451086D" w14:textId="77777777" w:rsidTr="00460C69">
        <w:trPr>
          <w:cantSplit/>
        </w:trPr>
        <w:tc>
          <w:tcPr>
            <w:tcW w:w="8505" w:type="dxa"/>
            <w:shd w:val="clear" w:color="auto" w:fill="auto"/>
          </w:tcPr>
          <w:p w14:paraId="64F53BE2" w14:textId="77777777" w:rsidR="00D641C9" w:rsidRDefault="00D641C9" w:rsidP="00460C69">
            <w:pPr>
              <w:pStyle w:val="GraphFootnote"/>
              <w:keepNext/>
            </w:pPr>
            <w:r>
              <w:t xml:space="preserve">Note: Based on the age group 50-70 years old. LU, SE and NO excluded as there is no legislated pension reform that will affect retirement behaviour in the period 2016-2070. EU* is the simple average of the 26 countries included. </w:t>
            </w:r>
          </w:p>
          <w:p w14:paraId="2F0740E3" w14:textId="77777777" w:rsidR="00D641C9" w:rsidRPr="007018A7" w:rsidRDefault="00D641C9" w:rsidP="00460C69">
            <w:pPr>
              <w:pStyle w:val="GraphSource"/>
              <w:keepNext/>
            </w:pPr>
            <w:r w:rsidRPr="007018A7">
              <w:rPr>
                <w:b/>
                <w:i/>
              </w:rPr>
              <w:t>Source:</w:t>
            </w:r>
            <w:r w:rsidRPr="007018A7">
              <w:t xml:space="preserve"> Commission services, EPC.</w:t>
            </w:r>
          </w:p>
        </w:tc>
      </w:tr>
    </w:tbl>
    <w:p w14:paraId="73BD0DC5" w14:textId="77777777" w:rsidR="00D641C9" w:rsidRPr="007018A7" w:rsidRDefault="00D641C9" w:rsidP="00460C69">
      <w:r w:rsidRPr="007018A7">
        <w:t>Projections show an average increase of 2.3 years in the effective retirement age for men (</w:t>
      </w:r>
      <w:r w:rsidRPr="007018A7">
        <w:rPr>
          <w:rStyle w:val="Referencafusnote"/>
        </w:rPr>
        <w:footnoteReference w:id="28"/>
      </w:r>
      <w:r w:rsidRPr="007018A7">
        <w:t>). As a result of the implementation of the automatic link between retirement age and increases in life expectancy, an increase in the average exit age higher than 4 years is expected in Greece, Italy, Cyprus, Slovakia and Finland. The expected increase in the retirement age of women is slightly higher (2.9 years on average), reflecting in a number of countries the progressive convergence of retirement ages across gender. Increases higher than 4 years have been projected for some countries with a link between retirement age and life expectancy (Denmark, Greece, Italy, Cyprus, Netherland, Slovakia and Finland).</w:t>
      </w:r>
    </w:p>
    <w:p w14:paraId="36C6260B" w14:textId="77777777" w:rsidR="00D641C9" w:rsidRPr="007018A7" w:rsidRDefault="00D641C9" w:rsidP="00460C69">
      <w:r w:rsidRPr="007018A7">
        <w:t xml:space="preserve">The average participation rates for workers between 65-74 years old in 2070 before and after the impact of pension reforms are presented in Graph </w:t>
      </w:r>
      <w:r w:rsidRPr="007018A7">
        <w:fldChar w:fldCharType="begin"/>
      </w:r>
      <w:r w:rsidRPr="007018A7">
        <w:instrText xml:space="preserve"> QUOTE "I.2.3"</w:instrText>
      </w:r>
      <w:r w:rsidRPr="007018A7">
        <w:fldChar w:fldCharType="begin">
          <w:fldData xml:space="preserve">QwBSAE8AUwBTAFIARQBGAEUAUgBFAE4AQwBFACoAQwBMAFUAUwBUAEUAUgAgAE8ARgAgAEcAUgBB
AFAASABTACoAMwA5ADgANwBmADEAYgA0AC0ANgBjAGIAZQAtADQAOAAzADYALQBhAGEANABlAC0A
NwBmAGUAZgBlADUAMwA0AGEAMwAwADYA
</w:fldData>
        </w:fldChar>
      </w:r>
      <w:r w:rsidRPr="007018A7">
        <w:instrText xml:space="preserve"> ADDIN </w:instrText>
      </w:r>
      <w:r w:rsidRPr="007018A7">
        <w:fldChar w:fldCharType="end"/>
      </w:r>
      <w:r w:rsidRPr="007018A7">
        <w:instrText xml:space="preserve"> </w:instrText>
      </w:r>
      <w:r w:rsidRPr="007018A7">
        <w:fldChar w:fldCharType="separate"/>
      </w:r>
      <w:r w:rsidR="009F3ED8" w:rsidRPr="007018A7">
        <w:t>I.2.3</w:t>
      </w:r>
      <w:r w:rsidRPr="007018A7">
        <w:fldChar w:fldCharType="end"/>
      </w:r>
      <w:r w:rsidRPr="007018A7">
        <w:t>.</w:t>
      </w:r>
    </w:p>
    <w:p w14:paraId="6AAE47FD" w14:textId="77777777" w:rsidR="00D641C9" w:rsidRPr="007018A7" w:rsidRDefault="00D641C9" w:rsidP="00460C69">
      <w:r w:rsidRPr="007018A7">
        <w:t xml:space="preserve">The projections show that the impact on the participation rates of the group aged 65-74 are in certain countries quite different to that on the group aged 55-64 shown earlier. </w:t>
      </w:r>
    </w:p>
    <w:p w14:paraId="3B0CA681" w14:textId="77777777" w:rsidR="00D641C9" w:rsidRPr="007018A7" w:rsidRDefault="00D641C9" w:rsidP="00460C69">
      <w:r w:rsidRPr="007018A7">
        <w:t xml:space="preserve">The non-weighted average increase in the participation rate for 65 to 74 year olds between 2016 and 2070 is equal to approximately 8.2 pps. for men and 9 pps. for women. Only in Greece and Slovakia is the expected increase in the participation rate of men during this period </w:t>
      </w:r>
      <w:r w:rsidRPr="007018A7">
        <w:lastRenderedPageBreak/>
        <w:t xml:space="preserve">exceeding 20 pps. For women, the expected </w:t>
      </w:r>
      <w:r w:rsidRPr="007018A7">
        <w:fldChar w:fldCharType="begin"/>
      </w:r>
      <w:r w:rsidRPr="009F3ED8">
        <w:instrText xml:space="preserve"> TC "</w:instrText>
      </w:r>
      <w:bookmarkStart w:id="65" w:name="_Toc511664634"/>
      <w:r w:rsidRPr="009F3ED8">
        <w:instrText>I.2.3.</w:instrText>
      </w:r>
      <w:r w:rsidRPr="009F3ED8">
        <w:tab/>
        <w:instrText>Impact of pension reforms on participation rates of persons aged 65-74 in 2070 (percentage points)</w:instrText>
      </w:r>
      <w:bookmarkEnd w:id="65"/>
      <w:r w:rsidRPr="009F3ED8">
        <w:instrText xml:space="preserve">" \fgraph \l 5 </w:instrText>
      </w:r>
      <w:r w:rsidRPr="007018A7">
        <w:fldChar w:fldCharType="end"/>
      </w:r>
      <w:r w:rsidRPr="007018A7">
        <w:t xml:space="preserve">increase in the participation rates of women exceeds 20 pps. in Denmark, Greece, Slovakia and Italy. Overall, by 2070 the non-weighted average participation rate for those aged 65-74 years old will be 21.8% for men and 18.6% for women. </w:t>
      </w:r>
    </w:p>
    <w:p w14:paraId="6F5C646C" w14:textId="77777777" w:rsidR="00D641C9" w:rsidRPr="007018A7" w:rsidRDefault="00D641C9" w:rsidP="00460C69">
      <w:pPr>
        <w:pStyle w:val="NumberedHeading2"/>
        <w:tabs>
          <w:tab w:val="left" w:pos="567"/>
        </w:tabs>
      </w:pPr>
      <w:r w:rsidRPr="007018A7">
        <w:t>2.2.3.</w:t>
      </w:r>
      <w:r w:rsidRPr="007018A7">
        <w:tab/>
        <w:t xml:space="preserve">Projection of labour force participation rates </w:t>
      </w:r>
    </w:p>
    <w:p w14:paraId="468580F7" w14:textId="77777777" w:rsidR="00D641C9" w:rsidRPr="007018A7" w:rsidRDefault="00D641C9" w:rsidP="00460C69">
      <w:pPr>
        <w:rPr>
          <w:b/>
          <w:i/>
        </w:rPr>
      </w:pPr>
      <w:r w:rsidRPr="007018A7">
        <w:rPr>
          <w:b/>
          <w:i/>
        </w:rPr>
        <w:t>The projections show an average increase of approximately 12.2 pps. in the participation rate for men between 55 and 64 years old, and a slightly higher increase for women, 16.2 pps. on average, reflecting the impact of pension reforms in a number of countries and the progressive convergence of participation rates across genders.</w:t>
      </w:r>
    </w:p>
    <w:p w14:paraId="0AB155C8" w14:textId="77777777" w:rsidR="00D641C9" w:rsidRPr="007018A7" w:rsidRDefault="00D641C9" w:rsidP="00460C69">
      <w:r w:rsidRPr="007018A7">
        <w:t xml:space="preserve">Graph </w:t>
      </w:r>
      <w:r w:rsidRPr="007018A7">
        <w:fldChar w:fldCharType="begin"/>
      </w:r>
      <w:r w:rsidRPr="007018A7">
        <w:instrText xml:space="preserve"> QUOTE "I.2.4"</w:instrText>
      </w:r>
      <w:r w:rsidRPr="007018A7">
        <w:fldChar w:fldCharType="begin">
          <w:fldData xml:space="preserve">QwBSAE8AUwBTAFIARQBGAEUAUgBFAE4AQwBFACoAQwBMAFUAUwBUAEUAUgAgAE8ARgAgAEcAUgBB
AFAASABTACoAZQA3AGUAYgA5ADgAMAAzAC0AYgAzADIAYQAtADQANwBlADUALQBhADEAMgAzAC0A
MgAzADIAMAA1AGIANABhAGMAOABlADIA
</w:fldData>
        </w:fldChar>
      </w:r>
      <w:r w:rsidRPr="007018A7">
        <w:instrText xml:space="preserve"> ADDIN </w:instrText>
      </w:r>
      <w:r w:rsidRPr="007018A7">
        <w:fldChar w:fldCharType="end"/>
      </w:r>
      <w:r w:rsidRPr="007018A7">
        <w:instrText xml:space="preserve"> </w:instrText>
      </w:r>
      <w:r w:rsidRPr="007018A7">
        <w:fldChar w:fldCharType="separate"/>
      </w:r>
      <w:r w:rsidR="009F3ED8" w:rsidRPr="007018A7">
        <w:t>I.2.4</w:t>
      </w:r>
      <w:r w:rsidRPr="007018A7">
        <w:fldChar w:fldCharType="end"/>
      </w:r>
      <w:r w:rsidRPr="007018A7">
        <w:t xml:space="preserve"> presents an overview of participation rate projections between 2016 and 2070 broken down by age groups and gender. </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D641C9" w:rsidRPr="007018A7" w14:paraId="0A7EC9E2" w14:textId="77777777" w:rsidTr="00460C69">
        <w:trPr>
          <w:cantSplit/>
        </w:trPr>
        <w:tc>
          <w:tcPr>
            <w:tcW w:w="8505" w:type="dxa"/>
            <w:shd w:val="clear" w:color="auto" w:fill="auto"/>
          </w:tcPr>
          <w:p w14:paraId="50348929" w14:textId="77777777" w:rsidR="00D641C9" w:rsidRPr="007018A7" w:rsidRDefault="00D641C9" w:rsidP="00460C69">
            <w:pPr>
              <w:pStyle w:val="GraphTitle"/>
              <w:rPr>
                <w:b/>
              </w:rPr>
            </w:pPr>
            <w:r w:rsidRPr="007018A7">
              <w:t>Graph I.2.3:</w:t>
            </w:r>
            <w:r w:rsidRPr="007018A7">
              <w:rPr>
                <w:b/>
              </w:rPr>
              <w:tab/>
              <w:t>Impact of pension reforms on participation rates of persons aged 65-74 in 2070 (percentage points)</w:t>
            </w:r>
          </w:p>
        </w:tc>
      </w:tr>
      <w:tr w:rsidR="00D641C9" w:rsidRPr="007018A7" w14:paraId="31AFF285" w14:textId="77777777" w:rsidTr="00460C69">
        <w:trPr>
          <w:cantSplit/>
        </w:trPr>
        <w:tc>
          <w:tcPr>
            <w:tcW w:w="8505" w:type="dxa"/>
            <w:shd w:val="clear" w:color="auto" w:fill="auto"/>
          </w:tcPr>
          <w:p w14:paraId="3D138A5D" w14:textId="77777777" w:rsidR="00D641C9" w:rsidRPr="007018A7" w:rsidRDefault="00D641C9" w:rsidP="00460C69">
            <w:pPr>
              <w:pStyle w:val="GraphShape"/>
              <w:rPr>
                <w:sz w:val="2"/>
              </w:rPr>
            </w:pPr>
            <w:r>
              <w:rPr>
                <w:noProof/>
                <w:sz w:val="2"/>
                <w:lang w:val="hr-HR" w:eastAsia="hr-HR"/>
              </w:rPr>
              <w:drawing>
                <wp:inline distT="0" distB="0" distL="0" distR="0" wp14:anchorId="02209E9A" wp14:editId="38712E52">
                  <wp:extent cx="5400929" cy="4136963"/>
                  <wp:effectExtent l="0" t="0" r="0" b="0"/>
                  <wp:docPr id="18" name="Picture 18" descr="&lt;nbr&gt;&lt;GETTEXTFROMWORD&gt;&lt;/nbr&gt;&#10;&lt;title&gt;&lt;GETTEXTFROMWORD&gt;&lt;/title&gt;&#10;&lt;id&gt;3987f1b4-6cbe-4836-aa4e-7fefe534a306&lt;/id&gt;&#10;&lt;srcType&gt;EXCEL&lt;/srcType&gt;&#10;&lt;srcPath&gt;U:\Budgetary projections 2018\Reports\2018 AR\Tables_and_graphs\Part I Chapter 2\&lt;/srcPath&gt;&#10;&lt;srcName&gt;Graphs.xlsx&lt;/srcName&gt;&#10;&lt;type&gt;clusterofgraphs&lt;/type&gt;&#10; &lt;srcSheet&gt;Graph 1.2.3 (65-74)&lt;/srcSheet&gt;&#10; &lt;individualNumbers&gt;no&lt;/individualNumbers&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yes&lt;/float&gt;&#10;&lt;bottomShapePageNumber&gt;-1&lt;/bottomShapePageNumber&gt;&#10;&lt;version&gt;2&lt;/version&gt;&#10;&lt;scrFileTime&gt;2018-04-13T12:49: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00929" cy="4136963"/>
                          </a:xfrm>
                          <a:prstGeom prst="rect">
                            <a:avLst/>
                          </a:prstGeom>
                          <a:noFill/>
                          <a:ln>
                            <a:noFill/>
                          </a:ln>
                        </pic:spPr>
                      </pic:pic>
                    </a:graphicData>
                  </a:graphic>
                </wp:inline>
              </w:drawing>
            </w:r>
          </w:p>
        </w:tc>
      </w:tr>
      <w:tr w:rsidR="00D641C9" w:rsidRPr="007018A7" w14:paraId="22FEA862" w14:textId="77777777" w:rsidTr="00460C69">
        <w:trPr>
          <w:cantSplit/>
        </w:trPr>
        <w:tc>
          <w:tcPr>
            <w:tcW w:w="8505" w:type="dxa"/>
            <w:shd w:val="clear" w:color="auto" w:fill="auto"/>
          </w:tcPr>
          <w:p w14:paraId="45F79EE6" w14:textId="77777777" w:rsidR="00D641C9" w:rsidRDefault="00D641C9" w:rsidP="00460C69">
            <w:pPr>
              <w:pStyle w:val="GraphFootnote"/>
              <w:keepNext/>
            </w:pPr>
            <w:r>
              <w:t xml:space="preserve">Note: LU, SE and NO excluded as there is no legislated pension measures that will affect retirement behaviour in the interval 2016 - 70. For MT, SI, CZ and RO (men) there is no impact of reforms on participation rates  for those aged 65 and more. </w:t>
            </w:r>
          </w:p>
          <w:p w14:paraId="4797BB71" w14:textId="77777777" w:rsidR="00D641C9" w:rsidRPr="007018A7" w:rsidRDefault="00D641C9" w:rsidP="00460C69">
            <w:pPr>
              <w:pStyle w:val="GraphSource"/>
              <w:keepNext/>
            </w:pPr>
            <w:r w:rsidRPr="007018A7">
              <w:rPr>
                <w:b/>
                <w:i/>
              </w:rPr>
              <w:t>Source:</w:t>
            </w:r>
            <w:r w:rsidRPr="007018A7">
              <w:t xml:space="preserve"> Commission services, EPC.</w:t>
            </w:r>
          </w:p>
        </w:tc>
      </w:tr>
    </w:tbl>
    <w:p w14:paraId="1E8E7246" w14:textId="77777777" w:rsidR="00D641C9" w:rsidRPr="007018A7" w:rsidRDefault="00D641C9" w:rsidP="00460C69">
      <w:r w:rsidRPr="007018A7">
        <w:t xml:space="preserve">The aggregate total participation rate for those aged 20-64 is projected to rise from 77.5% in 2016 to 80.7% in 2070 in the EU as a whole and from 77.6% to 80.6% in the euro-area. This is being driven by higher female participation, which is projected to rise by 5.5 pps. compared with 0.8 pps. for males in the EU and by 5.7 pps. compared with 0.3 pps. for men in the euro area. </w:t>
      </w:r>
    </w:p>
    <w:p w14:paraId="59C2A385" w14:textId="77777777" w:rsidR="00D641C9" w:rsidRPr="007018A7" w:rsidRDefault="00D641C9" w:rsidP="00460C69">
      <w:r w:rsidRPr="007018A7">
        <w:t>Although the participation rate of total prime age workers (25-54) in the EU is projected to rise slightly between 2016 and 2070, by 1.2 pps., this is the outcome of opposite trends by gender.</w:t>
      </w:r>
    </w:p>
    <w:p w14:paraId="1B081915" w14:textId="77777777" w:rsidR="00D641C9" w:rsidRPr="007018A7" w:rsidRDefault="00D641C9" w:rsidP="00460C69">
      <w:r w:rsidRPr="007018A7">
        <w:t xml:space="preserve">In fact, the participation rate for women is projected to rise by about 3 pps., reaching 82.6% </w:t>
      </w:r>
      <w:r w:rsidRPr="007018A7">
        <w:lastRenderedPageBreak/>
        <w:t>in 2070, while men's participation rate is projected to decline by almost 1 pp, attaining 90.7% in 2070.</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D641C9" w:rsidRPr="007018A7" w14:paraId="287F8974" w14:textId="77777777" w:rsidTr="00460C69">
        <w:trPr>
          <w:cantSplit/>
        </w:trPr>
        <w:tc>
          <w:tcPr>
            <w:tcW w:w="8505" w:type="dxa"/>
            <w:shd w:val="clear" w:color="auto" w:fill="auto"/>
          </w:tcPr>
          <w:p w14:paraId="20B70675" w14:textId="77777777" w:rsidR="00D641C9" w:rsidRPr="007018A7" w:rsidRDefault="00D641C9" w:rsidP="00460C69">
            <w:pPr>
              <w:pStyle w:val="GraphTitle"/>
              <w:rPr>
                <w:b/>
              </w:rPr>
            </w:pPr>
            <w:r w:rsidRPr="007018A7">
              <w:fldChar w:fldCharType="begin"/>
            </w:r>
            <w:r w:rsidRPr="009F3ED8">
              <w:instrText xml:space="preserve"> TC "</w:instrText>
            </w:r>
            <w:bookmarkStart w:id="66" w:name="_Toc511664635"/>
            <w:r w:rsidRPr="009F3ED8">
              <w:instrText>I.2.4.</w:instrText>
            </w:r>
            <w:r w:rsidRPr="009F3ED8">
              <w:tab/>
              <w:instrText>Participation rates across ages and gender, 2016-70 (%)</w:instrText>
            </w:r>
            <w:bookmarkEnd w:id="66"/>
            <w:r w:rsidRPr="009F3ED8">
              <w:instrText xml:space="preserve">" \fgraph \l 5 </w:instrText>
            </w:r>
            <w:r w:rsidRPr="007018A7">
              <w:fldChar w:fldCharType="end"/>
            </w:r>
            <w:r w:rsidRPr="007018A7">
              <w:t>Graph I.2.4:</w:t>
            </w:r>
            <w:r w:rsidRPr="007018A7">
              <w:rPr>
                <w:b/>
              </w:rPr>
              <w:tab/>
              <w:t>Participation rates across ages and gender, 2016-70 (%)</w:t>
            </w:r>
          </w:p>
        </w:tc>
      </w:tr>
      <w:tr w:rsidR="00D641C9" w:rsidRPr="007018A7" w14:paraId="17E7CC08" w14:textId="77777777" w:rsidTr="00460C69">
        <w:trPr>
          <w:cantSplit/>
        </w:trPr>
        <w:tc>
          <w:tcPr>
            <w:tcW w:w="8505" w:type="dxa"/>
            <w:shd w:val="clear" w:color="auto" w:fill="auto"/>
          </w:tcPr>
          <w:p w14:paraId="3FC8DD8A" w14:textId="77777777" w:rsidR="00D641C9" w:rsidRPr="007018A7" w:rsidRDefault="00D641C9" w:rsidP="00460C69">
            <w:pPr>
              <w:pStyle w:val="GraphShape"/>
              <w:rPr>
                <w:sz w:val="2"/>
              </w:rPr>
            </w:pPr>
            <w:r>
              <w:rPr>
                <w:noProof/>
                <w:sz w:val="2"/>
                <w:lang w:val="hr-HR" w:eastAsia="hr-HR"/>
              </w:rPr>
              <w:drawing>
                <wp:inline distT="0" distB="0" distL="0" distR="0" wp14:anchorId="690AD85B" wp14:editId="601B005C">
                  <wp:extent cx="5400929" cy="6052294"/>
                  <wp:effectExtent l="0" t="0" r="9525" b="5715"/>
                  <wp:docPr id="17" name="Picture 17" descr="&lt;nbr&gt;&lt;GETTEXTFROMWORD&gt;&lt;/nbr&gt;&#10;&lt;title&gt;&lt;GETTEXTFROMWORD&gt;&lt;/title&gt;&#10;&lt;id&gt;e7eb9803-b32a-47e5-a123-23205b4ac8e2&lt;/id&gt;&#10;&lt;srcType&gt;EXCEL&lt;/srcType&gt;&#10;&lt;srcPath&gt;U:\Budgetary projections 2018\Reports\2018 AR\Tables_and_graphs\Part I Chapter 2\&lt;/srcPath&gt;&#10;&lt;srcName&gt;Graphs.xlsx&lt;/srcName&gt;&#10;&lt;type&gt;clusterofgraphs&lt;/type&gt;&#10; &lt;srcSheet&gt;Graph I.2.3&lt;/srcSheet&gt;&#10; &lt;individualNumbers&gt;no&lt;/individualNumbers&gt;&#10;&lt;pos&gt;top&lt;/pos&gt;&#10;&lt;numbering&gt;internal&lt;/numbering&gt;&#10;&lt;manNumb&gt;no&lt;/manNumb&gt;&#10; &lt;insFtn&gt;no&lt;/insFtn&gt;&#10; &lt;insSrc&gt;yes&lt;/insSrc&gt;&#10; &lt;shpSrc&gt;&lt;GETTEXTFROMWORD&gt;&lt;/shpSrc&gt;&#10;&lt;multi&gt;no&lt;/multi&gt;&#10;&lt;statAnn&gt;no&lt;/statAnn&gt;&#10;&lt;float&gt;yes&lt;/float&gt;&#10;&lt;bottomShapePageNumber&gt;-1&lt;/bottomShapePageNumber&gt;&#10;&lt;version&gt;2&lt;/version&gt;&#10;&lt;scrFileTime&gt;2018-04-13T12:49: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00929" cy="6052294"/>
                          </a:xfrm>
                          <a:prstGeom prst="rect">
                            <a:avLst/>
                          </a:prstGeom>
                          <a:noFill/>
                          <a:ln>
                            <a:noFill/>
                          </a:ln>
                        </pic:spPr>
                      </pic:pic>
                    </a:graphicData>
                  </a:graphic>
                </wp:inline>
              </w:drawing>
            </w:r>
          </w:p>
        </w:tc>
      </w:tr>
      <w:tr w:rsidR="00D641C9" w:rsidRPr="007018A7" w14:paraId="18BF2899" w14:textId="77777777" w:rsidTr="00460C69">
        <w:trPr>
          <w:cantSplit/>
        </w:trPr>
        <w:tc>
          <w:tcPr>
            <w:tcW w:w="8505" w:type="dxa"/>
            <w:shd w:val="clear" w:color="auto" w:fill="auto"/>
          </w:tcPr>
          <w:p w14:paraId="328AFAAA" w14:textId="77777777" w:rsidR="00D641C9" w:rsidRPr="007018A7" w:rsidRDefault="00D641C9" w:rsidP="00460C69">
            <w:pPr>
              <w:pStyle w:val="GraphSource"/>
              <w:keepNext/>
            </w:pPr>
            <w:r w:rsidRPr="007018A7">
              <w:rPr>
                <w:b/>
                <w:i/>
              </w:rPr>
              <w:t>Source:</w:t>
            </w:r>
            <w:r w:rsidRPr="007018A7">
              <w:t xml:space="preserve"> Commission services, EPC.</w:t>
            </w:r>
          </w:p>
        </w:tc>
      </w:tr>
    </w:tbl>
    <w:p w14:paraId="78852B14" w14:textId="77777777" w:rsidR="00D641C9" w:rsidRPr="007018A7" w:rsidRDefault="00D641C9" w:rsidP="00460C69">
      <w:r w:rsidRPr="007018A7">
        <w:t xml:space="preserve">The biggest increase in participation rates is projected for older workers (around 16.2 pps. for women and 7.7 pps. for men) in the EU. Consequently, the gender gap in terms of participation rates is projected to narrow substantially in the period up to 2070. </w:t>
      </w:r>
    </w:p>
    <w:p w14:paraId="27D292A2" w14:textId="77777777" w:rsidR="00D641C9" w:rsidRPr="007018A7" w:rsidRDefault="00D641C9" w:rsidP="00460C69">
      <w:r w:rsidRPr="007018A7">
        <w:t xml:space="preserve">There are wide differences across countries. In almost all countries total participation rates (aged 20-64) are projected to increase; while in a few the opposite holds. The highest increases are projected for MT, HU and EL (7 ½ pps. or more), with projected high increases of older workers (55-64), but also of prime age workers (25-54). By contrast, decreases are projected for BG, EE and LU, (-0.5 </w:t>
      </w:r>
      <w:r w:rsidRPr="007018A7">
        <w:lastRenderedPageBreak/>
        <w:t xml:space="preserve">pps. or less), with negative or very low increases for prime-age and/or older workers. </w:t>
      </w:r>
    </w:p>
    <w:p w14:paraId="545007C6" w14:textId="77777777" w:rsidR="00D641C9" w:rsidRPr="007018A7" w:rsidRDefault="00D641C9" w:rsidP="00460C69">
      <w:pPr>
        <w:pStyle w:val="NumberedHeading2"/>
        <w:tabs>
          <w:tab w:val="left" w:pos="567"/>
        </w:tabs>
      </w:pPr>
      <w:r w:rsidRPr="007018A7">
        <w:fldChar w:fldCharType="begin"/>
      </w:r>
      <w:r w:rsidRPr="009F3ED8">
        <w:instrText xml:space="preserve"> TC "</w:instrText>
      </w:r>
      <w:bookmarkStart w:id="67" w:name="_Toc511664636"/>
      <w:r w:rsidRPr="009F3ED8">
        <w:instrText>I.2.5.</w:instrText>
      </w:r>
      <w:r w:rsidRPr="009F3ED8">
        <w:tab/>
        <w:instrText>Percentage changes in total labour supply of the population aged 20 to 64 and 20 to 74 (2016-2030, 2030-2070) (1)</w:instrText>
      </w:r>
      <w:bookmarkEnd w:id="67"/>
      <w:r w:rsidRPr="009F3ED8">
        <w:instrText xml:space="preserve">" \fgraph \l 5 </w:instrText>
      </w:r>
      <w:r w:rsidRPr="007018A7">
        <w:fldChar w:fldCharType="end"/>
      </w:r>
      <w:r w:rsidRPr="007018A7">
        <w:t>2.2.4.</w:t>
      </w:r>
      <w:r w:rsidRPr="007018A7">
        <w:tab/>
        <w:t>Projection of labour supply</w:t>
      </w:r>
    </w:p>
    <w:p w14:paraId="1D47163E" w14:textId="77777777" w:rsidR="00D641C9" w:rsidRPr="007018A7" w:rsidRDefault="00D641C9" w:rsidP="00460C69">
      <w:pPr>
        <w:rPr>
          <w:b/>
          <w:i/>
        </w:rPr>
      </w:pPr>
      <w:r w:rsidRPr="007018A7">
        <w:rPr>
          <w:b/>
          <w:i/>
        </w:rPr>
        <w:t>Labour supply is projected to fall significantly over the projection horizon; by 9.6% in the EU and by 9.7% in the euro area.</w:t>
      </w:r>
    </w:p>
    <w:p w14:paraId="4B2CFDCC" w14:textId="77777777" w:rsidR="00D641C9" w:rsidRPr="007018A7" w:rsidRDefault="00D641C9" w:rsidP="00460C69">
      <w:r w:rsidRPr="007018A7">
        <w:t xml:space="preserve">Labour supply projections are calculated by age and gender (by multiplying participation rates by population) and are summarised in Graph </w:t>
      </w:r>
      <w:r w:rsidRPr="007018A7">
        <w:fldChar w:fldCharType="begin"/>
      </w:r>
      <w:r w:rsidRPr="007018A7">
        <w:instrText xml:space="preserve"> QUOTE "I.2.5"</w:instrText>
      </w:r>
      <w:r w:rsidRPr="007018A7">
        <w:fldChar w:fldCharType="begin">
          <w:fldData xml:space="preserve">QwBSAE8AUwBTAFIARQBGAEUAUgBFAE4AQwBFACoAQwBMAFUAUwBUAEUAUgAgAE8ARgAgAEcAUgBB
AFAASABTACoAZAAzADQAZQA1ADgAYgA0AC0AYQAzADkAZQAtADQAOABjADcALQBiAGMANwBmAC0A
NQA1ADcAMQBkADcAMQA2ADkAMQAyAGUA
</w:fldData>
        </w:fldChar>
      </w:r>
      <w:r w:rsidRPr="007018A7">
        <w:instrText xml:space="preserve"> ADDIN </w:instrText>
      </w:r>
      <w:r w:rsidRPr="007018A7">
        <w:fldChar w:fldCharType="end"/>
      </w:r>
      <w:r w:rsidRPr="007018A7">
        <w:instrText xml:space="preserve"> </w:instrText>
      </w:r>
      <w:r w:rsidRPr="007018A7">
        <w:fldChar w:fldCharType="separate"/>
      </w:r>
      <w:r w:rsidR="009F3ED8" w:rsidRPr="007018A7">
        <w:t>I.2.5</w:t>
      </w:r>
      <w:r w:rsidRPr="007018A7">
        <w:fldChar w:fldCharType="end"/>
      </w:r>
      <w:r w:rsidRPr="007018A7">
        <w:t xml:space="preserve"> for the period 2016-70. </w:t>
      </w:r>
    </w:p>
    <w:p w14:paraId="18115A92" w14:textId="77777777" w:rsidR="00D641C9" w:rsidRPr="007018A7" w:rsidRDefault="00D641C9" w:rsidP="00460C69">
      <w:r w:rsidRPr="007018A7">
        <w:t xml:space="preserve">Total labour supply for those aged 20 to 64 in the EU is projected to fall by 9.6% over 2016-70, of which 2% during 2016-30 and a further 7.8% between 2030 and 2070. In the euro area, the projected fall in labour supply is 9.7% over the entire period, of which 2.3% between 2016 and 2030 and a further 7.5% between 2030 and 2070. </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D641C9" w:rsidRPr="007018A7" w14:paraId="7615AC77" w14:textId="77777777" w:rsidTr="00460C69">
        <w:trPr>
          <w:cantSplit/>
        </w:trPr>
        <w:tc>
          <w:tcPr>
            <w:tcW w:w="8505" w:type="dxa"/>
            <w:shd w:val="clear" w:color="auto" w:fill="auto"/>
          </w:tcPr>
          <w:p w14:paraId="6CCC563F" w14:textId="77777777" w:rsidR="00D641C9" w:rsidRPr="007018A7" w:rsidRDefault="00D641C9" w:rsidP="00460C69">
            <w:pPr>
              <w:pStyle w:val="GraphTitle"/>
              <w:rPr>
                <w:b/>
              </w:rPr>
            </w:pPr>
            <w:r w:rsidRPr="007018A7">
              <w:t>Graph I.2.5:</w:t>
            </w:r>
            <w:r w:rsidRPr="007018A7">
              <w:rPr>
                <w:b/>
              </w:rPr>
              <w:tab/>
              <w:t>Percentage changes in total labour supply of the population aged 20 to 64 and 20 to 74 (2016-2030, 2030-2070) (1)</w:t>
            </w:r>
          </w:p>
        </w:tc>
      </w:tr>
      <w:tr w:rsidR="00D641C9" w:rsidRPr="007018A7" w14:paraId="10A786D6" w14:textId="77777777" w:rsidTr="00460C69">
        <w:trPr>
          <w:cantSplit/>
        </w:trPr>
        <w:tc>
          <w:tcPr>
            <w:tcW w:w="8505" w:type="dxa"/>
            <w:shd w:val="clear" w:color="auto" w:fill="auto"/>
          </w:tcPr>
          <w:p w14:paraId="38863B8E" w14:textId="77777777" w:rsidR="00D641C9" w:rsidRPr="007018A7" w:rsidRDefault="00D641C9" w:rsidP="00460C69">
            <w:pPr>
              <w:pStyle w:val="GraphShape"/>
              <w:rPr>
                <w:sz w:val="2"/>
              </w:rPr>
            </w:pPr>
            <w:r>
              <w:rPr>
                <w:noProof/>
                <w:sz w:val="2"/>
                <w:lang w:val="hr-HR" w:eastAsia="hr-HR"/>
              </w:rPr>
              <w:drawing>
                <wp:inline distT="0" distB="0" distL="0" distR="0" wp14:anchorId="06E9B972" wp14:editId="4F7BECBB">
                  <wp:extent cx="5400929" cy="5090180"/>
                  <wp:effectExtent l="0" t="0" r="9525" b="0"/>
                  <wp:docPr id="767" name="Picture 767" descr="&lt;nbr&gt;&lt;GETTEXTFROMWORD&gt;&lt;/nbr&gt;&#10;&lt;title&gt;&lt;GETTEXTFROMWORD&gt;&lt;/title&gt;&#10;&lt;id&gt;d34e58b4-a39e-48c7-bc7f-5571d716912e&lt;/id&gt;&#10;&lt;srcType&gt;EXCEL&lt;/srcType&gt;&#10;&lt;srcPath&gt;U:\Budgetary projections 2018\Reports\2018 AR\Tables_and_graphs\Part I Chapter 2\&lt;/srcPath&gt;&#10;&lt;srcName&gt;Graphs.xlsx&lt;/srcName&gt;&#10;&lt;type&gt;clusterofgraphs&lt;/type&gt;&#10; &lt;srcSheet&gt;Graph 1.2.4&lt;/srcSheet&gt;&#10; &lt;individualNumbers&gt;no&lt;/individualNumbers&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3T12:49: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00929" cy="5090180"/>
                          </a:xfrm>
                          <a:prstGeom prst="rect">
                            <a:avLst/>
                          </a:prstGeom>
                          <a:noFill/>
                          <a:ln>
                            <a:noFill/>
                          </a:ln>
                        </pic:spPr>
                      </pic:pic>
                    </a:graphicData>
                  </a:graphic>
                </wp:inline>
              </w:drawing>
            </w:r>
          </w:p>
        </w:tc>
      </w:tr>
      <w:tr w:rsidR="00D641C9" w:rsidRPr="007018A7" w14:paraId="11F71BC7" w14:textId="77777777" w:rsidTr="00460C69">
        <w:trPr>
          <w:cantSplit/>
        </w:trPr>
        <w:tc>
          <w:tcPr>
            <w:tcW w:w="8505" w:type="dxa"/>
            <w:shd w:val="clear" w:color="auto" w:fill="auto"/>
          </w:tcPr>
          <w:p w14:paraId="05EC87D4" w14:textId="77777777" w:rsidR="00D641C9" w:rsidRDefault="00D641C9" w:rsidP="00460C69">
            <w:pPr>
              <w:pStyle w:val="GraphFootnote"/>
              <w:keepNext/>
            </w:pPr>
            <w:r>
              <w:t>(1) Countries ranked in ascending order of total changes over the period 2016-2070.</w:t>
            </w:r>
          </w:p>
          <w:p w14:paraId="5E237973" w14:textId="77777777" w:rsidR="00D641C9" w:rsidRPr="007018A7" w:rsidRDefault="00D641C9" w:rsidP="00460C69">
            <w:pPr>
              <w:pStyle w:val="GraphSource"/>
              <w:keepNext/>
            </w:pPr>
            <w:r w:rsidRPr="007018A7">
              <w:rPr>
                <w:b/>
                <w:i/>
              </w:rPr>
              <w:t>Source:</w:t>
            </w:r>
            <w:r w:rsidRPr="007018A7">
              <w:t xml:space="preserve"> Commission services, EPC.</w:t>
            </w:r>
          </w:p>
        </w:tc>
      </w:tr>
    </w:tbl>
    <w:p w14:paraId="4FF16374" w14:textId="77777777" w:rsidR="00D641C9" w:rsidRPr="007018A7" w:rsidRDefault="00D641C9" w:rsidP="00460C69">
      <w:r w:rsidRPr="007018A7">
        <w:t xml:space="preserve">There is wide diversity of labour supply projections across Member States between 2016 and 2070, ranging from an increase of 45% in Luxembourg to a decrease of 48.4% in Lithuania. More EU Member States are projected to see a decline in the labour force than an increase (17 vs </w:t>
      </w:r>
      <w:r w:rsidRPr="007018A7">
        <w:lastRenderedPageBreak/>
        <w:t xml:space="preserve">11) during this period. Moreover, 12 Member States will see a decline of their population of at least 20% until 2070, while only two will see an increase of at least 20%. </w:t>
      </w:r>
    </w:p>
    <w:p w14:paraId="7A8141E3" w14:textId="77777777" w:rsidR="00D641C9" w:rsidRPr="007018A7" w:rsidRDefault="00D641C9" w:rsidP="00460C69">
      <w:r w:rsidRPr="007018A7">
        <w:fldChar w:fldCharType="begin"/>
      </w:r>
      <w:r w:rsidRPr="009F3ED8">
        <w:instrText xml:space="preserve"> TC "</w:instrText>
      </w:r>
      <w:bookmarkStart w:id="68" w:name="_Toc511664637"/>
      <w:r w:rsidRPr="009F3ED8">
        <w:instrText>I.2.6.</w:instrText>
      </w:r>
      <w:r w:rsidRPr="009F3ED8">
        <w:tab/>
        <w:instrText>Unemployment rate assumptions for those aged 15-64, 2016-70 (%)</w:instrText>
      </w:r>
      <w:bookmarkEnd w:id="68"/>
      <w:r w:rsidRPr="009F3ED8">
        <w:instrText xml:space="preserve">" \fgraph \l 5 </w:instrText>
      </w:r>
      <w:r w:rsidRPr="007018A7">
        <w:fldChar w:fldCharType="end"/>
      </w:r>
      <w:r w:rsidRPr="007018A7">
        <w:t xml:space="preserve">For all but five EU Member States (France, UK, Ireland, Spain and Sweden), labour force developments between 2030 and 2070 are worse than between 2016 and 2030. Particularly notable are the cases of Hungary, Austria, Cyprus, Denmark and Malta, where positive labour force growth until 2030 is reversed subsequently with the labour force decline between 2030 and 2070.  </w:t>
      </w:r>
    </w:p>
    <w:p w14:paraId="4BC99F1F" w14:textId="77777777" w:rsidR="00D641C9" w:rsidRPr="007018A7" w:rsidRDefault="00D641C9" w:rsidP="00460C69">
      <w:r w:rsidRPr="007018A7">
        <w:t>Since participation rates - especially for older workers and women - are projected to increase over the period, the projected labour force decline in the EU is being driven by negative demographic developments.</w:t>
      </w:r>
    </w:p>
    <w:p w14:paraId="10EA3345" w14:textId="77777777" w:rsidR="00D641C9" w:rsidRPr="007018A7" w:rsidRDefault="00D641C9" w:rsidP="00460C69">
      <w:pPr>
        <w:pStyle w:val="NumberedHeading2"/>
        <w:tabs>
          <w:tab w:val="left" w:pos="567"/>
        </w:tabs>
      </w:pPr>
      <w:r w:rsidRPr="007018A7">
        <w:t>2.2.5.</w:t>
      </w:r>
      <w:r w:rsidRPr="007018A7">
        <w:tab/>
        <w:t>Assumptions on unemployment</w:t>
      </w:r>
    </w:p>
    <w:p w14:paraId="03BD8ABA" w14:textId="77777777" w:rsidR="00D641C9" w:rsidRPr="007018A7" w:rsidRDefault="00D641C9" w:rsidP="00460C69">
      <w:r w:rsidRPr="007018A7">
        <w:t>As a general rule, actual unemployment rates are assumed to converge to NAWRU rates in 5 years (currently 2021), corresponding to the closure of the output gap 3 years after the end of the forecast horizon. Afterwards, NAWRU rates are assumed to gradually (</w:t>
      </w:r>
      <w:r w:rsidRPr="007018A7">
        <w:rPr>
          <w:rStyle w:val="Referencafusnote"/>
        </w:rPr>
        <w:footnoteReference w:id="29"/>
      </w:r>
      <w:r w:rsidRPr="007018A7">
        <w:t>) converge to the minimum of country</w:t>
      </w:r>
      <w:r w:rsidRPr="007018A7">
        <w:noBreakHyphen/>
        <w:t>specific "Anchors" (</w:t>
      </w:r>
      <w:r w:rsidRPr="007018A7">
        <w:rPr>
          <w:rStyle w:val="Referencafusnote"/>
        </w:rPr>
        <w:footnoteReference w:id="30"/>
      </w:r>
      <w:r w:rsidRPr="007018A7">
        <w:t>) or the median of national (Member States) "Anchors", whichever is the lowest (</w:t>
      </w:r>
      <w:r w:rsidRPr="007018A7">
        <w:rPr>
          <w:rStyle w:val="Referencafusnote"/>
        </w:rPr>
        <w:footnoteReference w:id="31"/>
      </w:r>
      <w:r w:rsidRPr="007018A7">
        <w:t xml:space="preserve">). </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D641C9" w:rsidRPr="007018A7" w14:paraId="54CCCDF6" w14:textId="77777777" w:rsidTr="00460C69">
        <w:trPr>
          <w:cantSplit/>
        </w:trPr>
        <w:tc>
          <w:tcPr>
            <w:tcW w:w="8505" w:type="dxa"/>
            <w:shd w:val="clear" w:color="auto" w:fill="auto"/>
          </w:tcPr>
          <w:p w14:paraId="197FBEF0" w14:textId="77777777" w:rsidR="00D641C9" w:rsidRPr="007018A7" w:rsidRDefault="00D641C9" w:rsidP="00460C69">
            <w:pPr>
              <w:pStyle w:val="GraphTitle"/>
              <w:rPr>
                <w:b/>
              </w:rPr>
            </w:pPr>
            <w:r w:rsidRPr="007018A7">
              <w:t>Graph I.2.6:</w:t>
            </w:r>
            <w:r w:rsidRPr="007018A7">
              <w:rPr>
                <w:b/>
              </w:rPr>
              <w:tab/>
              <w:t>Unemployment rate assumptions for those aged 15-64, 2016-70 (%)</w:t>
            </w:r>
          </w:p>
        </w:tc>
      </w:tr>
      <w:tr w:rsidR="00D641C9" w:rsidRPr="007018A7" w14:paraId="175A7F9A" w14:textId="77777777" w:rsidTr="00460C69">
        <w:trPr>
          <w:cantSplit/>
        </w:trPr>
        <w:tc>
          <w:tcPr>
            <w:tcW w:w="8505" w:type="dxa"/>
            <w:shd w:val="clear" w:color="auto" w:fill="auto"/>
          </w:tcPr>
          <w:p w14:paraId="500628DD" w14:textId="77777777" w:rsidR="00D641C9" w:rsidRPr="007018A7" w:rsidRDefault="00D641C9" w:rsidP="00460C69">
            <w:pPr>
              <w:pStyle w:val="GraphShape"/>
              <w:rPr>
                <w:sz w:val="2"/>
              </w:rPr>
            </w:pPr>
            <w:r>
              <w:rPr>
                <w:noProof/>
                <w:sz w:val="2"/>
                <w:lang w:val="hr-HR" w:eastAsia="hr-HR"/>
              </w:rPr>
              <w:drawing>
                <wp:inline distT="0" distB="0" distL="0" distR="0" wp14:anchorId="6035A31D" wp14:editId="04BF7FEE">
                  <wp:extent cx="5400929" cy="2583219"/>
                  <wp:effectExtent l="0" t="0" r="9525" b="7620"/>
                  <wp:docPr id="800" name="Picture 800" descr="&lt;nbr&gt;&lt;GETTEXTFROMWORD&gt;&lt;/nbr&gt;&#10;&lt;title&gt;&lt;GETTEXTFROMWORD&gt;&lt;/title&gt;&#10;&lt;id&gt;7f1c45ff-341b-4358-b394-4005f3dc0a1f&lt;/id&gt;&#10;&lt;srcType&gt;EXCEL&lt;/srcType&gt;&#10;&lt;srcPath&gt;U:\Budgetary projections 2018\Reports\2018 AR\Tables_and_graphs\Part I Chapter 2\&lt;/srcPath&gt;&#10;&lt;srcName&gt;Graphs.xlsx&lt;/srcName&gt;&#10;&lt;type&gt;graph&lt;/type&gt;&#10; &lt;srcSheet&gt;graph 1.2.5&lt;/srcSheet&gt;&#10; &lt;srcChartTitle&gt;Chart 1&lt;/srcChartTitl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3T12:49: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00929" cy="2583219"/>
                          </a:xfrm>
                          <a:prstGeom prst="rect">
                            <a:avLst/>
                          </a:prstGeom>
                          <a:noFill/>
                          <a:ln>
                            <a:noFill/>
                          </a:ln>
                        </pic:spPr>
                      </pic:pic>
                    </a:graphicData>
                  </a:graphic>
                </wp:inline>
              </w:drawing>
            </w:r>
          </w:p>
        </w:tc>
      </w:tr>
      <w:tr w:rsidR="00D641C9" w:rsidRPr="007018A7" w14:paraId="02548ACF" w14:textId="77777777" w:rsidTr="00460C69">
        <w:trPr>
          <w:cantSplit/>
        </w:trPr>
        <w:tc>
          <w:tcPr>
            <w:tcW w:w="8505" w:type="dxa"/>
            <w:shd w:val="clear" w:color="auto" w:fill="auto"/>
          </w:tcPr>
          <w:p w14:paraId="05DDFE35" w14:textId="77777777" w:rsidR="00D641C9" w:rsidRDefault="00D641C9" w:rsidP="00460C69">
            <w:pPr>
              <w:pStyle w:val="GraphFootnote"/>
              <w:keepNext/>
            </w:pPr>
            <w:r>
              <w:t>Note: Countries ranked in ascending order of unemployment in 2016.</w:t>
            </w:r>
          </w:p>
          <w:p w14:paraId="306DE0C4" w14:textId="77777777" w:rsidR="00D641C9" w:rsidRPr="007018A7" w:rsidRDefault="00D641C9" w:rsidP="00460C69">
            <w:pPr>
              <w:pStyle w:val="GraphSource"/>
              <w:keepNext/>
            </w:pPr>
            <w:r w:rsidRPr="007018A7">
              <w:rPr>
                <w:b/>
                <w:i/>
              </w:rPr>
              <w:t>Source:</w:t>
            </w:r>
            <w:r w:rsidRPr="007018A7">
              <w:t xml:space="preserve"> Commission services, EPC.</w:t>
            </w:r>
          </w:p>
        </w:tc>
      </w:tr>
    </w:tbl>
    <w:p w14:paraId="005DE53E" w14:textId="77777777" w:rsidR="00D641C9" w:rsidRPr="007018A7" w:rsidRDefault="00D641C9" w:rsidP="00460C69">
      <w:r w:rsidRPr="007018A7">
        <w:t xml:space="preserve">Graph </w:t>
      </w:r>
      <w:r w:rsidRPr="007018A7">
        <w:fldChar w:fldCharType="begin"/>
      </w:r>
      <w:r w:rsidRPr="007018A7">
        <w:instrText xml:space="preserve"> QUOTE "I.2.6"</w:instrText>
      </w:r>
      <w:r w:rsidRPr="007018A7">
        <w:fldChar w:fldCharType="begin">
          <w:fldData xml:space="preserve">QwBSAE8AUwBTAFIARQBGAEUAUgBFAE4AQwBFACoARwBSAEEAUABIACoANwBmADEAYwA0ADUAZgBm
AC0AMwA0ADEAYgAtADQAMwA1ADgALQBiADMAOQA0AC0ANAAwADAANQBmADMAZABjADAAYQAxAGYA
</w:fldData>
        </w:fldChar>
      </w:r>
      <w:r w:rsidRPr="007018A7">
        <w:instrText xml:space="preserve"> ADDIN </w:instrText>
      </w:r>
      <w:r w:rsidRPr="007018A7">
        <w:fldChar w:fldCharType="end"/>
      </w:r>
      <w:r w:rsidRPr="007018A7">
        <w:instrText xml:space="preserve"> </w:instrText>
      </w:r>
      <w:r w:rsidRPr="007018A7">
        <w:fldChar w:fldCharType="separate"/>
      </w:r>
      <w:r w:rsidR="009F3ED8" w:rsidRPr="007018A7">
        <w:t>I.2.6</w:t>
      </w:r>
      <w:r w:rsidRPr="007018A7">
        <w:fldChar w:fldCharType="end"/>
      </w:r>
      <w:r w:rsidRPr="007018A7">
        <w:t xml:space="preserve"> above presents the unemployment rate assumptions underlying the projections. In the EU, the unemployment rate is assumed to decline from 8.7% in 2016 to 6.5% in 2070. In the euro area, the unemployment rate is expected to fall from 10.2% in 2016 to 6.8% in 2070.</w:t>
      </w:r>
    </w:p>
    <w:p w14:paraId="2D303E4A" w14:textId="77777777" w:rsidR="00D641C9" w:rsidRPr="007018A7" w:rsidRDefault="00D641C9" w:rsidP="00460C69">
      <w:pPr>
        <w:pStyle w:val="NumberedHeading2"/>
        <w:tabs>
          <w:tab w:val="left" w:pos="567"/>
        </w:tabs>
      </w:pPr>
      <w:r w:rsidRPr="007018A7">
        <w:t>2.2.6.</w:t>
      </w:r>
      <w:r w:rsidRPr="007018A7">
        <w:tab/>
        <w:t>Employment projections</w:t>
      </w:r>
    </w:p>
    <w:p w14:paraId="2ED2614A" w14:textId="77777777" w:rsidR="00D641C9" w:rsidRPr="007018A7" w:rsidRDefault="00D641C9" w:rsidP="00460C69">
      <w:pPr>
        <w:rPr>
          <w:b/>
          <w:i/>
        </w:rPr>
      </w:pPr>
      <w:r w:rsidRPr="007018A7">
        <w:rPr>
          <w:b/>
          <w:i/>
        </w:rPr>
        <w:t xml:space="preserve">The total employment rate (20-64 year olds) in the EU is projected to increase from 71.1% in 2016 to 73.9% in 2030 and 75.8% in 2070. </w:t>
      </w:r>
      <w:r w:rsidRPr="007018A7">
        <w:rPr>
          <w:b/>
          <w:i/>
        </w:rPr>
        <w:lastRenderedPageBreak/>
        <w:t xml:space="preserve">Increases of the employment rate for women (6.9 pps.) and older workers (12.6 pps.) are driving this rise. In the euro area, a similar development is expected, with the employment rate rising from 69.9% in 2016 to 75.3% in 2070. </w:t>
      </w:r>
    </w:p>
    <w:p w14:paraId="57EB173E" w14:textId="77777777" w:rsidR="00D641C9" w:rsidRPr="007018A7" w:rsidRDefault="00D641C9" w:rsidP="00460C69">
      <w:pPr>
        <w:rPr>
          <w:b/>
          <w:i/>
        </w:rPr>
      </w:pPr>
      <w:r w:rsidRPr="007018A7">
        <w:fldChar w:fldCharType="begin"/>
      </w:r>
      <w:r w:rsidRPr="009F3ED8">
        <w:instrText xml:space="preserve"> TC "</w:instrText>
      </w:r>
      <w:bookmarkStart w:id="69" w:name="_Toc511664638"/>
      <w:r w:rsidRPr="009F3ED8">
        <w:instrText>I.2.7.</w:instrText>
      </w:r>
      <w:r w:rsidRPr="009F3ED8">
        <w:tab/>
        <w:instrText>Employment rate assumptions for those aged 20-64, 2016-2070 (%) (1)</w:instrText>
      </w:r>
      <w:bookmarkEnd w:id="69"/>
      <w:r w:rsidRPr="009F3ED8">
        <w:instrText xml:space="preserve">" \fgraph \l 5 </w:instrText>
      </w:r>
      <w:r w:rsidRPr="007018A7">
        <w:fldChar w:fldCharType="end"/>
      </w:r>
      <w:r w:rsidRPr="007018A7">
        <w:rPr>
          <w:b/>
          <w:i/>
        </w:rPr>
        <w:t xml:space="preserve">Notwithstanding this, a shrinking working-age population would result in negative labour input growth in the EU, the euro area, and the majority of Member States notably after 2030. </w:t>
      </w:r>
    </w:p>
    <w:p w14:paraId="70E78AAD" w14:textId="77777777" w:rsidR="00D641C9" w:rsidRPr="007018A7" w:rsidRDefault="00D641C9" w:rsidP="00460C69">
      <w:r w:rsidRPr="007018A7">
        <w:t xml:space="preserve">All the countries in the sample will see their employment rates increase over this period except the Czech Republic and Estonia for which a marginal decrease is foreseen. Greece is forecast to see the highest increase (18 pps.) between 2016 and 2070, followed by Spain (14 pps.) and Cyprus and Malta for whom the increase will exceed 10 pps. As a result of these projections, there will be significant convergence within EU Member States during this period, with the difference between the countries with the highest and the lowest participation rates falling from 25 pps. in 2016 to 15 pps. by 2070 (see Graph </w:t>
      </w:r>
      <w:r w:rsidRPr="007018A7">
        <w:fldChar w:fldCharType="begin"/>
      </w:r>
      <w:r w:rsidRPr="007018A7">
        <w:instrText xml:space="preserve"> QUOTE "I.2.7"</w:instrText>
      </w:r>
      <w:r w:rsidRPr="007018A7">
        <w:fldChar w:fldCharType="begin">
          <w:fldData xml:space="preserve">QwBSAE8AUwBTAFIARQBGAEUAUgBFAE4AQwBFACoARwBSAEEAUABIACoANwBjADIAZgAyAGMAMAAw
AC0AMwBkAGUAYgAtADQAZgAyADMALQA4ADYAZgA0AC0ANgBkAGEAZgBkADUAZQA5ADUAYQA5AGUA
</w:fldData>
        </w:fldChar>
      </w:r>
      <w:r w:rsidRPr="007018A7">
        <w:instrText xml:space="preserve"> ADDIN </w:instrText>
      </w:r>
      <w:r w:rsidRPr="007018A7">
        <w:fldChar w:fldCharType="end"/>
      </w:r>
      <w:r w:rsidRPr="007018A7">
        <w:instrText xml:space="preserve"> </w:instrText>
      </w:r>
      <w:r w:rsidRPr="007018A7">
        <w:fldChar w:fldCharType="separate"/>
      </w:r>
      <w:r w:rsidR="009F3ED8" w:rsidRPr="007018A7">
        <w:t>I.2.7</w:t>
      </w:r>
      <w:r w:rsidRPr="007018A7">
        <w:fldChar w:fldCharType="end"/>
      </w:r>
      <w:r w:rsidRPr="007018A7">
        <w:t>).</w:t>
      </w:r>
    </w:p>
    <w:p w14:paraId="7DBFF0ED" w14:textId="77777777" w:rsidR="00D641C9" w:rsidRPr="007018A7" w:rsidRDefault="00D641C9" w:rsidP="00460C69">
      <w:r w:rsidRPr="007018A7">
        <w:t xml:space="preserve">As mentioned above, the key groups that will drive the increase in the aggregate employment rate are women and older workers. The employment rate of women is projected to rise from 65.3% in 2016 to 72.2% in 2070. The employment rate for older workers is expected to increase by even more, from 55.3% in 2016 to 67.9% in 2070, reflecting the expected impact of recent pension reforms in many Member States aimed at increasing the retirement age. </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D641C9" w:rsidRPr="007018A7" w14:paraId="2DE08EFB" w14:textId="77777777" w:rsidTr="00460C69">
        <w:trPr>
          <w:cantSplit/>
        </w:trPr>
        <w:tc>
          <w:tcPr>
            <w:tcW w:w="8505" w:type="dxa"/>
            <w:shd w:val="clear" w:color="auto" w:fill="auto"/>
          </w:tcPr>
          <w:p w14:paraId="478AAB75" w14:textId="77777777" w:rsidR="00D641C9" w:rsidRPr="007018A7" w:rsidRDefault="00D641C9" w:rsidP="00460C69">
            <w:pPr>
              <w:pStyle w:val="GraphTitle"/>
              <w:rPr>
                <w:b/>
              </w:rPr>
            </w:pPr>
            <w:r w:rsidRPr="007018A7">
              <w:t>Graph I.2.7:</w:t>
            </w:r>
            <w:r w:rsidRPr="007018A7">
              <w:rPr>
                <w:b/>
              </w:rPr>
              <w:tab/>
              <w:t>Employment rate assumptions for those aged 20-64, 2016-2070 (%) (1)</w:t>
            </w:r>
          </w:p>
        </w:tc>
      </w:tr>
      <w:tr w:rsidR="00D641C9" w:rsidRPr="007018A7" w14:paraId="394F5B12" w14:textId="77777777" w:rsidTr="00460C69">
        <w:trPr>
          <w:cantSplit/>
        </w:trPr>
        <w:tc>
          <w:tcPr>
            <w:tcW w:w="8505" w:type="dxa"/>
            <w:shd w:val="clear" w:color="auto" w:fill="auto"/>
          </w:tcPr>
          <w:p w14:paraId="1ADA071B" w14:textId="77777777" w:rsidR="00D641C9" w:rsidRPr="007018A7" w:rsidRDefault="00D641C9" w:rsidP="00460C69">
            <w:pPr>
              <w:pStyle w:val="GraphShape"/>
              <w:rPr>
                <w:sz w:val="2"/>
              </w:rPr>
            </w:pPr>
            <w:r>
              <w:rPr>
                <w:noProof/>
                <w:sz w:val="2"/>
                <w:lang w:val="hr-HR" w:eastAsia="hr-HR"/>
              </w:rPr>
              <w:drawing>
                <wp:inline distT="0" distB="0" distL="0" distR="0" wp14:anchorId="419B929F" wp14:editId="0854AA58">
                  <wp:extent cx="5400929" cy="2498700"/>
                  <wp:effectExtent l="0" t="0" r="0" b="0"/>
                  <wp:docPr id="14" name="Picture 14" descr="&lt;nbr&gt;&lt;GETTEXTFROMWORD&gt;&lt;/nbr&gt;&#10;&lt;title&gt;&lt;GETTEXTFROMWORD&gt;&lt;/title&gt;&#10;&lt;id&gt;7c2f2c00-3deb-4f23-86f4-6dafd5e95a9e&lt;/id&gt;&#10;&lt;srcType&gt;EXCEL&lt;/srcType&gt;&#10;&lt;srcPath&gt;U:\Budgetary projections 2018\Reports\2018 AR\Tables_and_graphs\Part I Chapter 2\&lt;/srcPath&gt;&#10;&lt;srcName&gt;Graphs.xlsx&lt;/srcName&gt;&#10;&lt;type&gt;graph&lt;/type&gt;&#10; &lt;srcSheet&gt;Graph 1.2.6&lt;/srcSheet&gt;&#10; &lt;srcChartTitle&gt;Chart 1&lt;/srcChartTitl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3T12:49: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00929" cy="2498700"/>
                          </a:xfrm>
                          <a:prstGeom prst="rect">
                            <a:avLst/>
                          </a:prstGeom>
                          <a:noFill/>
                          <a:ln>
                            <a:noFill/>
                          </a:ln>
                        </pic:spPr>
                      </pic:pic>
                    </a:graphicData>
                  </a:graphic>
                </wp:inline>
              </w:drawing>
            </w:r>
          </w:p>
        </w:tc>
      </w:tr>
      <w:tr w:rsidR="00D641C9" w:rsidRPr="007018A7" w14:paraId="6FB3E471" w14:textId="77777777" w:rsidTr="00460C69">
        <w:trPr>
          <w:cantSplit/>
        </w:trPr>
        <w:tc>
          <w:tcPr>
            <w:tcW w:w="8505" w:type="dxa"/>
            <w:shd w:val="clear" w:color="auto" w:fill="auto"/>
          </w:tcPr>
          <w:p w14:paraId="34658739" w14:textId="77777777" w:rsidR="00D641C9" w:rsidRDefault="00D641C9" w:rsidP="00460C69">
            <w:pPr>
              <w:pStyle w:val="GraphFootnote"/>
              <w:keepNext/>
            </w:pPr>
            <w:r>
              <w:t>(1) Countries ranked in ascending order in terms of employment rate in 2070.</w:t>
            </w:r>
          </w:p>
          <w:p w14:paraId="36016CB3" w14:textId="77777777" w:rsidR="00D641C9" w:rsidRPr="007018A7" w:rsidRDefault="00D641C9" w:rsidP="00460C69">
            <w:pPr>
              <w:pStyle w:val="GraphSource"/>
              <w:keepNext/>
            </w:pPr>
            <w:r w:rsidRPr="007018A7">
              <w:rPr>
                <w:b/>
                <w:i/>
              </w:rPr>
              <w:t>Source:</w:t>
            </w:r>
            <w:r w:rsidRPr="007018A7">
              <w:t xml:space="preserve"> European Commission, EPC. </w:t>
            </w:r>
          </w:p>
        </w:tc>
      </w:tr>
    </w:tbl>
    <w:p w14:paraId="634FC5F3" w14:textId="77777777" w:rsidR="00D641C9" w:rsidRPr="007018A7" w:rsidRDefault="00D641C9" w:rsidP="00460C69">
      <w:r w:rsidRPr="007018A7">
        <w:t>Total hours worked are projected to rise by 1.2% in the period 2016 to 2030 in the EU and 2.4% in the euro area. (</w:t>
      </w:r>
      <w:r w:rsidRPr="007018A7">
        <w:rPr>
          <w:rStyle w:val="Referencafusnote"/>
        </w:rPr>
        <w:footnoteReference w:id="32"/>
      </w:r>
      <w:r w:rsidRPr="007018A7">
        <w:t xml:space="preserve">) However, from 2030 onwards, this upward trend is expected to be reversed and total hours worked are expected to decline by 5.9% and 4.9% respectively between 2030 and 2070 in the EU and the euro area. Overall, over the entire projection horizon 2016-2070, in the EU and the euro area, total hours worked are projected to fall by 4.8% and 2.6% respectively (Graph I.2.8). </w:t>
      </w:r>
    </w:p>
    <w:p w14:paraId="0669E1B5" w14:textId="77777777" w:rsidR="00D641C9" w:rsidRPr="007018A7" w:rsidRDefault="00D641C9" w:rsidP="00460C69">
      <w:r w:rsidRPr="007018A7">
        <w:t xml:space="preserve">Developments in projected hours worked are quite varied across Member States, reflecting different demographic outlooks. </w:t>
      </w:r>
    </w:p>
    <w:p w14:paraId="27049BD8" w14:textId="77777777" w:rsidR="00D641C9" w:rsidRPr="007018A7" w:rsidRDefault="00D641C9" w:rsidP="00460C69">
      <w:r w:rsidRPr="007018A7">
        <w:t xml:space="preserve">Until 2030, a small majority of EU Member States (fifteen versus thirteen) are projected to see an increase working hours. However, this trend is reversed between 2030 and 2070 when a majority of EU Member States (eighteen) will see a decline in the total amount of hours worked. As a result, </w:t>
      </w:r>
      <w:r w:rsidRPr="007018A7">
        <w:lastRenderedPageBreak/>
        <w:t xml:space="preserve">over the entire horizon 2016-2070, most EU Member States are projected to experience a decline in total hours worked.  </w:t>
      </w:r>
    </w:p>
    <w:p w14:paraId="76DB850F" w14:textId="77777777" w:rsidR="00D641C9" w:rsidRPr="007018A7" w:rsidRDefault="00D641C9" w:rsidP="00460C69">
      <w:r w:rsidRPr="007018A7">
        <w:t xml:space="preserve">Over the entire horizon, a fall of 20% or more is projected for Slovakia, Czech Republic, Portugal, </w:t>
      </w:r>
      <w:r w:rsidRPr="007018A7">
        <w:fldChar w:fldCharType="begin"/>
      </w:r>
      <w:r w:rsidRPr="009F3ED8">
        <w:instrText xml:space="preserve"> TC "</w:instrText>
      </w:r>
      <w:bookmarkStart w:id="70" w:name="_Toc511664639"/>
      <w:r w:rsidRPr="009F3ED8">
        <w:instrText>I.2.8.</w:instrText>
      </w:r>
      <w:r w:rsidRPr="009F3ED8">
        <w:tab/>
        <w:instrText>Change in total hours worked by persons aged 15-74, 2016-2070 (%) (1)</w:instrText>
      </w:r>
      <w:bookmarkEnd w:id="70"/>
      <w:r w:rsidRPr="009F3ED8">
        <w:instrText xml:space="preserve">" \fgraph \l 5 </w:instrText>
      </w:r>
      <w:r w:rsidRPr="007018A7">
        <w:fldChar w:fldCharType="end"/>
      </w:r>
      <w:r w:rsidRPr="007018A7">
        <w:t xml:space="preserve">Estonia, Bulgaria, Latvia, Poland, Romania and Lithuania, while an increase of 20% or more on average is expected for Sweden, Ireland and Luxembourg. </w:t>
      </w:r>
    </w:p>
    <w:p w14:paraId="5E8C7740" w14:textId="77777777" w:rsidR="00D641C9" w:rsidRPr="007018A7" w:rsidRDefault="00D641C9" w:rsidP="00460C69">
      <w:r w:rsidRPr="007018A7">
        <w:t xml:space="preserve">The projected decline in total hours worked, particularly prevalent after 2030, is driven by demographic changes, namely a reduction in the size of the labour force driven by a shrinking working-age population. </w:t>
      </w:r>
    </w:p>
    <w:p w14:paraId="4DC7B42E" w14:textId="77777777" w:rsidR="00D641C9" w:rsidRPr="007018A7" w:rsidRDefault="00D641C9" w:rsidP="00460C69">
      <w:r w:rsidRPr="007018A7">
        <w:t>Hence, negative labour input growth will drag down GDP growth in the EU, the euro area, and the majority of Member States after 2030. The only exceptions to the decline of labour input over the projection horizon are Belgium, Denmark, Ireland, France, Cyprus, Luxembourg, Malta, Sweden, the United Kingdom, the Netherlands, Spain, Austria, Finland and Norway.</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D641C9" w:rsidRPr="007018A7" w14:paraId="2F855220" w14:textId="77777777" w:rsidTr="00460C69">
        <w:trPr>
          <w:cantSplit/>
        </w:trPr>
        <w:tc>
          <w:tcPr>
            <w:tcW w:w="8505" w:type="dxa"/>
            <w:shd w:val="clear" w:color="auto" w:fill="auto"/>
          </w:tcPr>
          <w:p w14:paraId="01583210" w14:textId="77777777" w:rsidR="00D641C9" w:rsidRPr="007018A7" w:rsidRDefault="00D641C9" w:rsidP="00460C69">
            <w:pPr>
              <w:pStyle w:val="GraphTitle"/>
              <w:rPr>
                <w:b/>
              </w:rPr>
            </w:pPr>
            <w:r w:rsidRPr="007018A7">
              <w:t>Graph I.2.8:</w:t>
            </w:r>
            <w:r w:rsidRPr="007018A7">
              <w:rPr>
                <w:b/>
              </w:rPr>
              <w:tab/>
              <w:t>Change in total hours worked by persons aged 15-74, 2016-2070 (%) (1)</w:t>
            </w:r>
          </w:p>
        </w:tc>
      </w:tr>
      <w:tr w:rsidR="00D641C9" w:rsidRPr="007018A7" w14:paraId="78CFF5D3" w14:textId="77777777" w:rsidTr="00460C69">
        <w:trPr>
          <w:cantSplit/>
        </w:trPr>
        <w:tc>
          <w:tcPr>
            <w:tcW w:w="8505" w:type="dxa"/>
            <w:shd w:val="clear" w:color="auto" w:fill="auto"/>
          </w:tcPr>
          <w:p w14:paraId="28AC65F3" w14:textId="77777777" w:rsidR="00D641C9" w:rsidRPr="007018A7" w:rsidRDefault="00D641C9" w:rsidP="00460C69">
            <w:pPr>
              <w:pStyle w:val="GraphShape"/>
              <w:rPr>
                <w:sz w:val="2"/>
              </w:rPr>
            </w:pPr>
            <w:r>
              <w:rPr>
                <w:noProof/>
                <w:sz w:val="2"/>
                <w:lang w:val="hr-HR" w:eastAsia="hr-HR"/>
              </w:rPr>
              <w:drawing>
                <wp:inline distT="0" distB="0" distL="0" distR="0" wp14:anchorId="33179782" wp14:editId="2B1C3024">
                  <wp:extent cx="5400929" cy="2760151"/>
                  <wp:effectExtent l="0" t="0" r="0" b="2540"/>
                  <wp:docPr id="13" name="Picture 13" descr="&lt;nbr&gt;&lt;GETTEXTFROMWORD&gt;&lt;/nbr&gt;&#10;&lt;title&gt;&lt;GETTEXTFROMWORD&gt;&lt;/title&gt;&#10;&lt;id&gt;1757bd9c-e208-4b54-829d-babbb78f4d04&lt;/id&gt;&#10;&lt;srcType&gt;EXCEL&lt;/srcType&gt;&#10;&lt;srcPath&gt;U:\Budgetary projections 2018\Reports\2018 AR\Tables_and_graphs\Part I Chapter 2\&lt;/srcPath&gt;&#10;&lt;srcName&gt;Graphs.xlsx&lt;/srcName&gt;&#10;&lt;type&gt;graph&lt;/type&gt;&#10; &lt;srcSheet&gt;graph 1.2.7 final&lt;/srcSheet&gt;&#10; &lt;srcChartTitle&gt;Chart 1&lt;/srcChartTitl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3T12:49: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00929" cy="2760151"/>
                          </a:xfrm>
                          <a:prstGeom prst="rect">
                            <a:avLst/>
                          </a:prstGeom>
                          <a:noFill/>
                          <a:ln>
                            <a:noFill/>
                          </a:ln>
                        </pic:spPr>
                      </pic:pic>
                    </a:graphicData>
                  </a:graphic>
                </wp:inline>
              </w:drawing>
            </w:r>
          </w:p>
        </w:tc>
      </w:tr>
      <w:tr w:rsidR="00D641C9" w:rsidRPr="007018A7" w14:paraId="78CCDF0B" w14:textId="77777777" w:rsidTr="00460C69">
        <w:trPr>
          <w:cantSplit/>
        </w:trPr>
        <w:tc>
          <w:tcPr>
            <w:tcW w:w="8505" w:type="dxa"/>
            <w:shd w:val="clear" w:color="auto" w:fill="auto"/>
          </w:tcPr>
          <w:p w14:paraId="5D16A057" w14:textId="77777777" w:rsidR="00D641C9" w:rsidRDefault="00D641C9" w:rsidP="00460C69">
            <w:pPr>
              <w:pStyle w:val="GraphFootnote"/>
              <w:keepNext/>
            </w:pPr>
            <w:r>
              <w:t xml:space="preserve">(1) Countries ranked in ascending order of the change in 2016-2070 </w:t>
            </w:r>
          </w:p>
          <w:p w14:paraId="4812156D" w14:textId="77777777" w:rsidR="00D641C9" w:rsidRPr="007018A7" w:rsidRDefault="00D641C9" w:rsidP="00460C69">
            <w:pPr>
              <w:pStyle w:val="GraphSource"/>
              <w:keepNext/>
            </w:pPr>
            <w:r w:rsidRPr="007018A7">
              <w:rPr>
                <w:b/>
                <w:i/>
              </w:rPr>
              <w:t>Source:</w:t>
            </w:r>
            <w:r w:rsidRPr="007018A7">
              <w:t xml:space="preserve"> Commission services, EPC.</w:t>
            </w:r>
          </w:p>
        </w:tc>
      </w:tr>
    </w:tbl>
    <w:p w14:paraId="6695B124" w14:textId="77777777" w:rsidR="00D641C9" w:rsidRPr="007018A7" w:rsidRDefault="00D641C9" w:rsidP="00460C69">
      <w:pPr>
        <w:pStyle w:val="NumberedHeading2"/>
        <w:tabs>
          <w:tab w:val="left" w:pos="567"/>
        </w:tabs>
      </w:pPr>
      <w:r w:rsidRPr="007018A7">
        <w:t>2.2.7.</w:t>
      </w:r>
      <w:r w:rsidRPr="007018A7">
        <w:tab/>
        <w:t>The balance of non-workers to workers: economic dependency ratios</w:t>
      </w:r>
    </w:p>
    <w:p w14:paraId="17B98D91" w14:textId="77777777" w:rsidR="00D641C9" w:rsidRPr="007018A7" w:rsidRDefault="00D641C9" w:rsidP="00460C69">
      <w:pPr>
        <w:rPr>
          <w:b/>
          <w:i/>
        </w:rPr>
      </w:pPr>
      <w:r w:rsidRPr="007018A7">
        <w:rPr>
          <w:b/>
          <w:i/>
        </w:rPr>
        <w:t>The economic old age dependency ratio (inactive 65+ year olds vs. employed aged 20-64) is projected to rise significantly from 43.1% in 2016 to 68.5% in 2070 in the EU. Similarly, the total economic dependency ratio (inactive vs. employed) is expected to steadily grow over the projection period, from 121.1% in 2016 to 143.3% by 2070 in the EU.</w:t>
      </w:r>
    </w:p>
    <w:p w14:paraId="4478C533" w14:textId="77777777" w:rsidR="00D641C9" w:rsidRPr="007018A7" w:rsidRDefault="00D641C9" w:rsidP="00460C69">
      <w:r w:rsidRPr="007018A7">
        <w:t xml:space="preserve">An important indicator to assess the impact of ageing on budgetary expenditure, particularly on its pension component, is the effective economic old age dependency ratio. This indicator is calculated as the ratio between the inactive elderly (65+) and total employment (either 20-64 or 20-74). The effective economic old age dependency ratio is projected to rise significantly from 43.1% in 2016 to 68.5% in 2070 in the EU (using employed aged 20-64). In the euro area, a similar increase is projected from 46.2% in 2016 to 69.2% in 2070 (see Graph </w:t>
      </w:r>
      <w:r w:rsidRPr="007018A7">
        <w:fldChar w:fldCharType="begin"/>
      </w:r>
      <w:r w:rsidRPr="007018A7">
        <w:instrText xml:space="preserve"> QUOTE "I.2.9"</w:instrText>
      </w:r>
      <w:r w:rsidRPr="007018A7">
        <w:fldChar w:fldCharType="begin">
          <w:fldData xml:space="preserve">QwBSAE8AUwBTAFIARQBGAEUAUgBFAE4AQwBFACoARwBSAEEAUABIACoAZAA3AGEAZAAyADcANAA4
AC0AOAA3ADIANgAtADQANABhAGIALQA5ADQAYgA4AC0AYQBlADQAMgAyAGQAZQBhADMAMAA0ADkA
</w:fldData>
        </w:fldChar>
      </w:r>
      <w:r w:rsidRPr="007018A7">
        <w:instrText xml:space="preserve"> ADDIN </w:instrText>
      </w:r>
      <w:r w:rsidRPr="007018A7">
        <w:fldChar w:fldCharType="end"/>
      </w:r>
      <w:r w:rsidRPr="007018A7">
        <w:instrText xml:space="preserve"> </w:instrText>
      </w:r>
      <w:r w:rsidRPr="007018A7">
        <w:fldChar w:fldCharType="separate"/>
      </w:r>
      <w:r w:rsidR="009F3ED8" w:rsidRPr="007018A7">
        <w:t>I.2.9</w:t>
      </w:r>
      <w:r w:rsidRPr="007018A7">
        <w:fldChar w:fldCharType="end"/>
      </w:r>
      <w:r w:rsidRPr="007018A7">
        <w:t>).</w:t>
      </w:r>
    </w:p>
    <w:p w14:paraId="683200FA" w14:textId="77777777" w:rsidR="00D641C9" w:rsidRPr="007018A7" w:rsidRDefault="00D641C9" w:rsidP="00460C69">
      <w:r w:rsidRPr="007018A7">
        <w:t xml:space="preserve">Across EU Member States, the effective economic old age dependency ratio is projected to range from a minimum of 54.5% in Sweden to a maximum of 92.5% in Poland in 2070. This ratio is expected to be above or equal to 80% (5 persons </w:t>
      </w:r>
      <w:r w:rsidRPr="007018A7">
        <w:lastRenderedPageBreak/>
        <w:t xml:space="preserve">in working age population for 4 aged more than 65) in seven EU Member States, namely Bulgaria, Greece, Croatia, Italy, Poland, Portugal and Romania by 2070.  </w:t>
      </w:r>
    </w:p>
    <w:p w14:paraId="615C73A6" w14:textId="77777777" w:rsidR="00D641C9" w:rsidRPr="007018A7" w:rsidRDefault="00D641C9" w:rsidP="00460C69">
      <w:r w:rsidRPr="007018A7">
        <w:t xml:space="preserve">Another relevant indicator is the total economic dependency ratio, calculated as the ratio between the total inactive population and employment (see Graph </w:t>
      </w:r>
      <w:r w:rsidRPr="007018A7">
        <w:fldChar w:fldCharType="begin"/>
      </w:r>
      <w:r w:rsidRPr="007018A7">
        <w:instrText xml:space="preserve"> QUOTE "I.2.10"</w:instrText>
      </w:r>
      <w:r w:rsidRPr="007018A7">
        <w:fldChar w:fldCharType="begin">
          <w:fldData xml:space="preserve">QwBSAE8AUwBTAFIARQBGAEUAUgBFAE4AQwBFACoARwBSAEEAUABIACoAYgAyAGQAZABmAGYAYQBk
AC0AZgA4ADAAYwAtADQAOAA0ADgALQBhAGYAZAA4AC0AYgA3ADkAMgA2ADUAZgBhADQAYgBhADIA
</w:fldData>
        </w:fldChar>
      </w:r>
      <w:r w:rsidRPr="007018A7">
        <w:instrText xml:space="preserve"> ADDIN </w:instrText>
      </w:r>
      <w:r w:rsidRPr="007018A7">
        <w:fldChar w:fldCharType="end"/>
      </w:r>
      <w:r w:rsidRPr="007018A7">
        <w:instrText xml:space="preserve"> </w:instrText>
      </w:r>
      <w:r w:rsidRPr="007018A7">
        <w:fldChar w:fldCharType="separate"/>
      </w:r>
      <w:r w:rsidR="009F3ED8" w:rsidRPr="007018A7">
        <w:t>I.2.10</w:t>
      </w:r>
      <w:r w:rsidRPr="007018A7">
        <w:fldChar w:fldCharType="end"/>
      </w:r>
      <w:r w:rsidRPr="007018A7">
        <w:t xml:space="preserve">). It gives a measure of the average number of individuals that each employed 'supports', being relevant when considering prospects for potential GDP per capita growth. It is expected to constantly grow in the projection </w:t>
      </w:r>
      <w:r w:rsidRPr="007018A7">
        <w:fldChar w:fldCharType="begin"/>
      </w:r>
      <w:r w:rsidRPr="009F3ED8">
        <w:instrText xml:space="preserve"> TC "</w:instrText>
      </w:r>
      <w:bookmarkStart w:id="71" w:name="_Toc511664640"/>
      <w:r w:rsidRPr="009F3ED8">
        <w:instrText>I.2.9.</w:instrText>
      </w:r>
      <w:r w:rsidRPr="009F3ED8">
        <w:tab/>
        <w:instrText>Effective economic old age dependency ratio - inactive population aged 65+/employed persons aged 20-64, 2016-2070 (%) (1)</w:instrText>
      </w:r>
      <w:bookmarkEnd w:id="71"/>
      <w:r w:rsidRPr="009F3ED8">
        <w:instrText xml:space="preserve">" \fgraph \l 5 </w:instrText>
      </w:r>
      <w:r w:rsidRPr="007018A7">
        <w:fldChar w:fldCharType="end"/>
      </w:r>
      <w:r w:rsidRPr="007018A7">
        <w:fldChar w:fldCharType="begin"/>
      </w:r>
      <w:r w:rsidRPr="009F3ED8">
        <w:instrText xml:space="preserve"> TC "</w:instrText>
      </w:r>
      <w:bookmarkStart w:id="72" w:name="_Toc511664641"/>
      <w:r w:rsidRPr="009F3ED8">
        <w:instrText>I.2.10.</w:instrText>
      </w:r>
      <w:r w:rsidRPr="009F3ED8">
        <w:tab/>
        <w:instrText>Total economic dependency ratio - total inactive population/employed persons aged 20-64, 2016-2070 (%) (1)</w:instrText>
      </w:r>
      <w:bookmarkEnd w:id="72"/>
      <w:r w:rsidRPr="009F3ED8">
        <w:instrText xml:space="preserve">" \fgraph \l 5 </w:instrText>
      </w:r>
      <w:r w:rsidRPr="007018A7">
        <w:fldChar w:fldCharType="end"/>
      </w:r>
      <w:r w:rsidRPr="007018A7">
        <w:t xml:space="preserve">period, from 121.1% in 2016 in the EU up above 143.3% by 2070. A similar evolution is projected in the euro area with a rise of 19.7 pps. over the projection horizon. The projected trajectory of this indicator reflects the strong impact of the ageing process after the middle of the next decade in most EU Member States. </w:t>
      </w:r>
    </w:p>
    <w:p w14:paraId="32CD98AC" w14:textId="77777777" w:rsidR="00D641C9" w:rsidRPr="007018A7" w:rsidRDefault="00D641C9" w:rsidP="00460C69">
      <w:r w:rsidRPr="007018A7">
        <w:t xml:space="preserve">However, there are large cross-country differences. In Romania, the Czech Republic, Poland, Bulgaria, Estonia and Luxembourg, the total economic dependency ratio is projected to increase by 40 pps. or more between 2016 and 2070. On the other hand, in France and Spain, the total economic dependency ratio is projected to rise by just 5 pps. over the projection horizon, and in Greece it is projected to fall. </w:t>
      </w:r>
    </w:p>
    <w:p w14:paraId="1466D182" w14:textId="77777777" w:rsidR="00D641C9" w:rsidRPr="007018A7" w:rsidRDefault="00D641C9" w:rsidP="00460C69"/>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D641C9" w:rsidRPr="007018A7" w14:paraId="1A2F08FE" w14:textId="77777777" w:rsidTr="00460C69">
        <w:trPr>
          <w:cantSplit/>
        </w:trPr>
        <w:tc>
          <w:tcPr>
            <w:tcW w:w="8505" w:type="dxa"/>
            <w:shd w:val="clear" w:color="auto" w:fill="auto"/>
          </w:tcPr>
          <w:p w14:paraId="47802598" w14:textId="77777777" w:rsidR="00D641C9" w:rsidRPr="007018A7" w:rsidRDefault="00D641C9" w:rsidP="00460C69">
            <w:pPr>
              <w:pStyle w:val="GraphTitle"/>
              <w:rPr>
                <w:b/>
              </w:rPr>
            </w:pPr>
            <w:r w:rsidRPr="007018A7">
              <w:t>Graph I.2.9:</w:t>
            </w:r>
            <w:r w:rsidRPr="007018A7">
              <w:rPr>
                <w:b/>
              </w:rPr>
              <w:tab/>
              <w:t>Effective economic old age dependency ratio - inactive population aged 65+/employed persons aged 20-64, 2016-2070 (%) (1)</w:t>
            </w:r>
          </w:p>
        </w:tc>
      </w:tr>
      <w:tr w:rsidR="00D641C9" w:rsidRPr="007018A7" w14:paraId="4A07C0E1" w14:textId="77777777" w:rsidTr="00460C69">
        <w:trPr>
          <w:cantSplit/>
        </w:trPr>
        <w:tc>
          <w:tcPr>
            <w:tcW w:w="8505" w:type="dxa"/>
            <w:shd w:val="clear" w:color="auto" w:fill="auto"/>
          </w:tcPr>
          <w:p w14:paraId="1978CAC6" w14:textId="77777777" w:rsidR="00D641C9" w:rsidRPr="007018A7" w:rsidRDefault="00D641C9" w:rsidP="00460C69">
            <w:pPr>
              <w:pStyle w:val="GraphShape"/>
              <w:rPr>
                <w:sz w:val="2"/>
              </w:rPr>
            </w:pPr>
            <w:r>
              <w:rPr>
                <w:noProof/>
                <w:sz w:val="2"/>
                <w:lang w:val="hr-HR" w:eastAsia="hr-HR"/>
              </w:rPr>
              <w:drawing>
                <wp:inline distT="0" distB="0" distL="0" distR="0" wp14:anchorId="736FADB7" wp14:editId="1E68411D">
                  <wp:extent cx="5400929" cy="2451675"/>
                  <wp:effectExtent l="0" t="0" r="0" b="6350"/>
                  <wp:docPr id="12" name="Picture 12" descr="&lt;nbr&gt;&lt;GETTEXTFROMWORD&gt;&lt;/nbr&gt;&#10;&lt;title&gt;&lt;GETTEXTFROMWORD&gt;&lt;/title&gt;&#10;&lt;id&gt;d7ad2748-8726-44ab-94b8-ae422dea3049&lt;/id&gt;&#10;&lt;srcType&gt;EXCEL&lt;/srcType&gt;&#10;&lt;srcPath&gt;U:\Budgetary projections 2018\Reports\2018 AR\Tables_and_graphs\Part I Chapter 2\&lt;/srcPath&gt;&#10;&lt;srcName&gt;Graphs.xlsx&lt;/srcName&gt;&#10;&lt;type&gt;graph&lt;/type&gt;&#10; &lt;srcSheet&gt;Graph 1.2.9&lt;/srcSheet&gt;&#10; &lt;srcChartTitle&gt;Chart 1&lt;/srcChartTitl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yes&lt;/float&gt;&#10;&lt;bottomShapePageNumber&gt;-1&lt;/bottomShapePageNumber&gt;&#10;&lt;version&gt;2&lt;/version&gt;&#10;&lt;scrFileTime&gt;2018-04-13T12:49: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00929" cy="2451675"/>
                          </a:xfrm>
                          <a:prstGeom prst="rect">
                            <a:avLst/>
                          </a:prstGeom>
                          <a:noFill/>
                          <a:ln>
                            <a:noFill/>
                          </a:ln>
                        </pic:spPr>
                      </pic:pic>
                    </a:graphicData>
                  </a:graphic>
                </wp:inline>
              </w:drawing>
            </w:r>
          </w:p>
        </w:tc>
      </w:tr>
      <w:tr w:rsidR="00D641C9" w:rsidRPr="007018A7" w14:paraId="090F1137" w14:textId="77777777" w:rsidTr="00460C69">
        <w:trPr>
          <w:cantSplit/>
        </w:trPr>
        <w:tc>
          <w:tcPr>
            <w:tcW w:w="8505" w:type="dxa"/>
            <w:shd w:val="clear" w:color="auto" w:fill="auto"/>
          </w:tcPr>
          <w:p w14:paraId="267F655C" w14:textId="77777777" w:rsidR="00D641C9" w:rsidRDefault="00D641C9" w:rsidP="00460C69">
            <w:pPr>
              <w:pStyle w:val="GraphFootnote"/>
              <w:keepNext/>
            </w:pPr>
            <w:r>
              <w:t>(1) Countries ranked in ascending order of the old age dependency ratio in 2070</w:t>
            </w:r>
          </w:p>
          <w:p w14:paraId="00604A4D" w14:textId="77777777" w:rsidR="00D641C9" w:rsidRPr="007018A7" w:rsidRDefault="00D641C9" w:rsidP="00460C69">
            <w:pPr>
              <w:pStyle w:val="GraphSource"/>
              <w:keepNext/>
            </w:pPr>
            <w:r w:rsidRPr="007018A7">
              <w:rPr>
                <w:b/>
                <w:i/>
              </w:rPr>
              <w:t>Source:</w:t>
            </w:r>
            <w:r w:rsidRPr="007018A7">
              <w:t xml:space="preserve"> Commission services, EPC.</w:t>
            </w:r>
          </w:p>
        </w:tc>
      </w:tr>
    </w:tbl>
    <w:p w14:paraId="22142906" w14:textId="77777777" w:rsidR="00D641C9" w:rsidRPr="007018A7" w:rsidRDefault="00D641C9" w:rsidP="00460C69">
      <w:pPr>
        <w:pStyle w:val="MultipageDelimiter"/>
      </w:pP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D641C9" w:rsidRPr="007018A7" w14:paraId="3357B584" w14:textId="77777777" w:rsidTr="00460C69">
        <w:trPr>
          <w:cantSplit/>
        </w:trPr>
        <w:tc>
          <w:tcPr>
            <w:tcW w:w="8505" w:type="dxa"/>
            <w:shd w:val="clear" w:color="auto" w:fill="auto"/>
          </w:tcPr>
          <w:p w14:paraId="7A769C50" w14:textId="77777777" w:rsidR="00D641C9" w:rsidRPr="007018A7" w:rsidRDefault="00D641C9" w:rsidP="00460C69">
            <w:pPr>
              <w:pStyle w:val="GraphTitle"/>
              <w:rPr>
                <w:b/>
              </w:rPr>
            </w:pPr>
            <w:r w:rsidRPr="007018A7">
              <w:lastRenderedPageBreak/>
              <w:t>Graph I.2.10:</w:t>
            </w:r>
            <w:r w:rsidRPr="007018A7">
              <w:rPr>
                <w:b/>
              </w:rPr>
              <w:tab/>
              <w:t>Total economic dependency ratio - total inactive population/employed persons aged 20-64, 2016-2070 (%) (1)</w:t>
            </w:r>
          </w:p>
        </w:tc>
      </w:tr>
      <w:tr w:rsidR="00D641C9" w:rsidRPr="007018A7" w14:paraId="69589831" w14:textId="77777777" w:rsidTr="00460C69">
        <w:trPr>
          <w:cantSplit/>
        </w:trPr>
        <w:tc>
          <w:tcPr>
            <w:tcW w:w="8505" w:type="dxa"/>
            <w:shd w:val="clear" w:color="auto" w:fill="auto"/>
          </w:tcPr>
          <w:p w14:paraId="46DB6258" w14:textId="77777777" w:rsidR="00D641C9" w:rsidRPr="007018A7" w:rsidRDefault="00D641C9" w:rsidP="00460C69">
            <w:pPr>
              <w:pStyle w:val="GraphShape"/>
              <w:rPr>
                <w:sz w:val="2"/>
              </w:rPr>
            </w:pPr>
            <w:r>
              <w:rPr>
                <w:noProof/>
                <w:sz w:val="2"/>
                <w:lang w:val="hr-HR" w:eastAsia="hr-HR"/>
              </w:rPr>
              <w:drawing>
                <wp:inline distT="0" distB="0" distL="0" distR="0" wp14:anchorId="2096C449" wp14:editId="52F4FAB0">
                  <wp:extent cx="5400929" cy="2451675"/>
                  <wp:effectExtent l="0" t="0" r="0" b="6350"/>
                  <wp:docPr id="11" name="Picture 11" descr="&lt;nbr&gt;&lt;GETTEXTFROMWORD&gt;&lt;/nbr&gt;&#10;&lt;title&gt;&lt;GETTEXTFROMWORD&gt;&lt;/title&gt;&#10;&lt;id&gt;b2ddffad-f80c-4848-afd8-b79265fa4ba2&lt;/id&gt;&#10;&lt;srcType&gt;EXCEL&lt;/srcType&gt;&#10;&lt;srcPath&gt;U:\Budgetary projections 2018\Reports\2018 AR\Tables_and_graphs\Part I Chapter 2\&lt;/srcPath&gt;&#10;&lt;srcName&gt;Graphs.xlsx&lt;/srcName&gt;&#10;&lt;type&gt;graph&lt;/type&gt;&#10; &lt;srcSheet&gt;Graph 1.2.10&lt;/srcSheet&gt;&#10; &lt;srcChartTitle&gt;Chart 1&lt;/srcChartTitl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yes&lt;/float&gt;&#10;&lt;bottomShapePageNumber&gt;-1&lt;/bottomShapePageNumber&gt;&#10;&lt;version&gt;2&lt;/version&gt;&#10;&lt;scrFileTime&gt;2018-04-13T12:49: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00929" cy="2451675"/>
                          </a:xfrm>
                          <a:prstGeom prst="rect">
                            <a:avLst/>
                          </a:prstGeom>
                          <a:noFill/>
                          <a:ln>
                            <a:noFill/>
                          </a:ln>
                        </pic:spPr>
                      </pic:pic>
                    </a:graphicData>
                  </a:graphic>
                </wp:inline>
              </w:drawing>
            </w:r>
          </w:p>
        </w:tc>
      </w:tr>
      <w:tr w:rsidR="00D641C9" w:rsidRPr="007018A7" w14:paraId="5D4A9736" w14:textId="77777777" w:rsidTr="00460C69">
        <w:trPr>
          <w:cantSplit/>
        </w:trPr>
        <w:tc>
          <w:tcPr>
            <w:tcW w:w="8505" w:type="dxa"/>
            <w:shd w:val="clear" w:color="auto" w:fill="auto"/>
          </w:tcPr>
          <w:p w14:paraId="06D381EC" w14:textId="77777777" w:rsidR="00D641C9" w:rsidRDefault="00D641C9" w:rsidP="00460C69">
            <w:pPr>
              <w:pStyle w:val="GraphFootnote"/>
              <w:keepNext/>
            </w:pPr>
            <w:r>
              <w:t>(1) Countries ranked in ascending order of the total economic dependency ratio in 2070</w:t>
            </w:r>
          </w:p>
          <w:p w14:paraId="7B2BE058" w14:textId="77777777" w:rsidR="00D641C9" w:rsidRPr="007018A7" w:rsidRDefault="00D641C9" w:rsidP="00460C69">
            <w:pPr>
              <w:pStyle w:val="GraphSource"/>
              <w:keepNext/>
            </w:pPr>
            <w:r w:rsidRPr="007018A7">
              <w:rPr>
                <w:b/>
                <w:i/>
              </w:rPr>
              <w:t>Source:</w:t>
            </w:r>
            <w:r w:rsidRPr="007018A7">
              <w:t xml:space="preserve"> Commission services, EPC.</w:t>
            </w:r>
          </w:p>
        </w:tc>
      </w:tr>
    </w:tbl>
    <w:p w14:paraId="1197ED94" w14:textId="77777777" w:rsidR="00D641C9" w:rsidRPr="007018A7" w:rsidRDefault="00D641C9" w:rsidP="00460C69">
      <w:pPr>
        <w:pStyle w:val="NumberedHeading1"/>
        <w:tabs>
          <w:tab w:val="left" w:pos="567"/>
        </w:tabs>
      </w:pPr>
      <w:r w:rsidRPr="007018A7">
        <w:fldChar w:fldCharType="begin"/>
      </w:r>
      <w:r w:rsidRPr="009F3ED8">
        <w:instrText xml:space="preserve"> TC "</w:instrText>
      </w:r>
      <w:bookmarkStart w:id="73" w:name="_Toc511664642"/>
      <w:r w:rsidRPr="009F3ED8">
        <w:instrText>I.2.11.</w:instrText>
      </w:r>
      <w:r w:rsidRPr="009F3ED8">
        <w:tab/>
        <w:instrText>Average annual GDP per capita growth rates, 2016-70 (%) (1)</w:instrText>
      </w:r>
      <w:bookmarkEnd w:id="73"/>
      <w:r w:rsidRPr="009F3ED8">
        <w:instrText xml:space="preserve">" \fgraph \l 5 </w:instrText>
      </w:r>
      <w:r w:rsidRPr="007018A7">
        <w:fldChar w:fldCharType="end"/>
      </w:r>
      <w:bookmarkStart w:id="74" w:name="_Toc511664417"/>
      <w:r w:rsidRPr="007018A7">
        <w:t>2.3.</w:t>
      </w:r>
      <w:r w:rsidRPr="007018A7">
        <w:tab/>
        <w:t>Projections of labour productivity and gdp</w:t>
      </w:r>
      <w:bookmarkEnd w:id="74"/>
    </w:p>
    <w:p w14:paraId="0C81FD04" w14:textId="77777777" w:rsidR="00D641C9" w:rsidRPr="007018A7" w:rsidRDefault="00D641C9" w:rsidP="00460C69">
      <w:pPr>
        <w:pStyle w:val="NumberedHeading2"/>
        <w:tabs>
          <w:tab w:val="left" w:pos="567"/>
        </w:tabs>
      </w:pPr>
      <w:r w:rsidRPr="007018A7">
        <w:t>2.3.1.</w:t>
      </w:r>
      <w:r w:rsidRPr="007018A7">
        <w:tab/>
        <w:t>Main results of the projections – baseline scenario</w:t>
      </w:r>
    </w:p>
    <w:p w14:paraId="71D44968" w14:textId="77777777" w:rsidR="00D641C9" w:rsidRPr="007018A7" w:rsidRDefault="00D641C9" w:rsidP="00460C69">
      <w:pPr>
        <w:rPr>
          <w:b/>
          <w:i/>
        </w:rPr>
      </w:pPr>
      <w:r w:rsidRPr="007018A7">
        <w:rPr>
          <w:b/>
          <w:i/>
        </w:rPr>
        <w:t xml:space="preserve">In the EU as a whole, the average annual GDP growth rate is projected to remain quite stable over the long-term, at 1.4% on average up to 2070. Downside risks exist, should future TFP growth be less favourable than assumed in the baseline scenario. </w:t>
      </w:r>
    </w:p>
    <w:p w14:paraId="78111B81" w14:textId="77777777" w:rsidR="00D641C9" w:rsidRPr="007018A7" w:rsidRDefault="00D641C9" w:rsidP="00460C69">
      <w:r w:rsidRPr="007018A7">
        <w:t xml:space="preserve">Graph </w:t>
      </w:r>
      <w:r w:rsidRPr="007018A7">
        <w:fldChar w:fldCharType="begin"/>
      </w:r>
      <w:r w:rsidRPr="007018A7">
        <w:instrText xml:space="preserve"> QUOTE "I.2.11"</w:instrText>
      </w:r>
      <w:r w:rsidRPr="007018A7">
        <w:fldChar w:fldCharType="begin">
          <w:fldData xml:space="preserve">QwBSAE8AUwBTAFIARQBGAEUAUgBFAE4AQwBFACoARwBSAEEAUABIACoAZgBiAGMANQBhADQAMAAy
AC0AYQA2ADgAZAAtADQAMQBiAGIALQBiADcANwAzAC0AYQA5AGUAZABlAGIAMAA0ADQAOABkADQA
</w:fldData>
        </w:fldChar>
      </w:r>
      <w:r w:rsidRPr="007018A7">
        <w:instrText xml:space="preserve"> ADDIN </w:instrText>
      </w:r>
      <w:r w:rsidRPr="007018A7">
        <w:fldChar w:fldCharType="end"/>
      </w:r>
      <w:r w:rsidRPr="007018A7">
        <w:instrText xml:space="preserve"> </w:instrText>
      </w:r>
      <w:r w:rsidRPr="007018A7">
        <w:fldChar w:fldCharType="separate"/>
      </w:r>
      <w:r w:rsidR="009F3ED8" w:rsidRPr="007018A7">
        <w:t>I.2.11</w:t>
      </w:r>
      <w:r w:rsidRPr="007018A7">
        <w:fldChar w:fldCharType="end"/>
      </w:r>
      <w:r w:rsidRPr="007018A7">
        <w:t xml:space="preserve"> shows the average per capita GDP growth rates by Member State between 2016 and 2070 and over certain periods during this horizon. </w:t>
      </w:r>
    </w:p>
    <w:p w14:paraId="43592677" w14:textId="77777777" w:rsidR="00D641C9" w:rsidRPr="007018A7" w:rsidRDefault="00D641C9" w:rsidP="00460C69">
      <w:r w:rsidRPr="007018A7">
        <w:t>Over the entire horizon, GDP per capita growth rates range from 1% in Italy to 2.6% in Latvia. However, in the short- to medium-term, the range in growth rates is significantly wider, affected by country specificities, such as cyclical developments, periods of (protracted) economic adjustment and catching-up. Hence, growth rates range in 2016-40 from 0.4% in Italy to 3.6% in Latvia. By the long-term, growth rates are projected to converge to around 1.5%, with the range among Member States between 2041-70 shrinking to between 1.2% (Luxembourg) and 1.8% (Greece, Latvia, Lithuania).</w:t>
      </w:r>
    </w:p>
    <w:p w14:paraId="4E256DC9" w14:textId="77777777" w:rsidR="00D641C9" w:rsidRPr="007018A7" w:rsidRDefault="00D641C9" w:rsidP="00460C69">
      <w:r w:rsidRPr="007018A7">
        <w:t xml:space="preserve">In the EU as a whole, the average annual GDP growth rate is projected to remain quite stable over the long-term. After an average potential growth of 1.2% up to 2040, an increase to 1.5% is projected over the remainder of the projection horizon. Over the whole period 2016-2070, the average annual GDP growth rate in the EU is projected to be 1.4%. Developments in the euro area are slightly less positive than in the EU as a whole, with an average annual growth rate of 1.3% over the entire projection horizon. </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D641C9" w:rsidRPr="007018A7" w14:paraId="28EBA850" w14:textId="77777777" w:rsidTr="00460C69">
        <w:trPr>
          <w:cantSplit/>
        </w:trPr>
        <w:tc>
          <w:tcPr>
            <w:tcW w:w="8505" w:type="dxa"/>
            <w:shd w:val="clear" w:color="auto" w:fill="auto"/>
          </w:tcPr>
          <w:p w14:paraId="0CF18799" w14:textId="77777777" w:rsidR="00D641C9" w:rsidRPr="007018A7" w:rsidRDefault="00D641C9" w:rsidP="00460C69">
            <w:pPr>
              <w:pStyle w:val="GraphTitle"/>
              <w:rPr>
                <w:b/>
              </w:rPr>
            </w:pPr>
            <w:r w:rsidRPr="007018A7">
              <w:lastRenderedPageBreak/>
              <w:t>Graph I.2.11:</w:t>
            </w:r>
            <w:r w:rsidRPr="007018A7">
              <w:rPr>
                <w:b/>
              </w:rPr>
              <w:tab/>
              <w:t>Average annual GDP per capita growth rates, 2016-70 (%) (1)</w:t>
            </w:r>
          </w:p>
        </w:tc>
      </w:tr>
      <w:tr w:rsidR="00D641C9" w:rsidRPr="007018A7" w14:paraId="1556091F" w14:textId="77777777" w:rsidTr="00460C69">
        <w:trPr>
          <w:cantSplit/>
        </w:trPr>
        <w:tc>
          <w:tcPr>
            <w:tcW w:w="8505" w:type="dxa"/>
            <w:shd w:val="clear" w:color="auto" w:fill="auto"/>
          </w:tcPr>
          <w:p w14:paraId="73A4D396" w14:textId="77777777" w:rsidR="00D641C9" w:rsidRPr="007018A7" w:rsidRDefault="00D641C9" w:rsidP="00460C69">
            <w:pPr>
              <w:pStyle w:val="GraphShape"/>
              <w:rPr>
                <w:sz w:val="2"/>
              </w:rPr>
            </w:pPr>
            <w:r>
              <w:rPr>
                <w:noProof/>
                <w:sz w:val="2"/>
                <w:lang w:val="hr-HR" w:eastAsia="hr-HR"/>
              </w:rPr>
              <w:drawing>
                <wp:inline distT="0" distB="0" distL="0" distR="0" wp14:anchorId="1B42076F" wp14:editId="4F23EA77">
                  <wp:extent cx="5400929" cy="2444504"/>
                  <wp:effectExtent l="0" t="0" r="0" b="0"/>
                  <wp:docPr id="10" name="Picture 10" descr="&lt;nbr&gt;&lt;GETTEXTFROMWORD&gt;&lt;/nbr&gt;&#10;&lt;title&gt;&lt;GETTEXTFROMWORD&gt;&lt;/title&gt;&#10;&lt;id&gt;fbc5a402-a68d-41bb-b773-a9edeb0448d4&lt;/id&gt;&#10;&lt;srcType&gt;EXCEL&lt;/srcType&gt;&#10;&lt;srcPath&gt;U:\Budgetary projections 2018\Reports\2018 AR\Tables_and_graphs\Part I Chapter 2\&lt;/srcPath&gt;&#10;&lt;srcName&gt;Graphs.xlsx&lt;/srcName&gt;&#10;&lt;type&gt;graph&lt;/type&gt;&#10; &lt;srcSheet&gt;Graph 1.2.12&lt;/srcSheet&gt;&#10; &lt;srcChartTitle&gt;Chart 2&lt;/srcChartTitl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yes&lt;/float&gt;&#10;&lt;bottomShapePageNumber&gt;-1&lt;/bottomShapePageNumber&gt;&#10;&lt;version&gt;2&lt;/version&gt;&#10;&lt;scrFileTime&gt;2018-04-13T12:49: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00929" cy="2444504"/>
                          </a:xfrm>
                          <a:prstGeom prst="rect">
                            <a:avLst/>
                          </a:prstGeom>
                          <a:noFill/>
                          <a:ln>
                            <a:noFill/>
                          </a:ln>
                        </pic:spPr>
                      </pic:pic>
                    </a:graphicData>
                  </a:graphic>
                </wp:inline>
              </w:drawing>
            </w:r>
          </w:p>
        </w:tc>
      </w:tr>
      <w:tr w:rsidR="00D641C9" w:rsidRPr="007018A7" w14:paraId="5D649B75" w14:textId="77777777" w:rsidTr="00460C69">
        <w:trPr>
          <w:cantSplit/>
        </w:trPr>
        <w:tc>
          <w:tcPr>
            <w:tcW w:w="8505" w:type="dxa"/>
            <w:shd w:val="clear" w:color="auto" w:fill="auto"/>
          </w:tcPr>
          <w:p w14:paraId="20A8A5D5" w14:textId="77777777" w:rsidR="00D641C9" w:rsidRDefault="00D641C9" w:rsidP="00460C69">
            <w:pPr>
              <w:pStyle w:val="GraphFootnote"/>
              <w:keepNext/>
            </w:pPr>
            <w:r>
              <w:t>(1) Countries ranked in ascending order of the 2016-2070 period average</w:t>
            </w:r>
          </w:p>
          <w:p w14:paraId="00EE9F5E" w14:textId="77777777" w:rsidR="00D641C9" w:rsidRPr="007018A7" w:rsidRDefault="00D641C9" w:rsidP="00460C69">
            <w:pPr>
              <w:pStyle w:val="GraphSource"/>
              <w:keepNext/>
            </w:pPr>
            <w:r w:rsidRPr="007018A7">
              <w:rPr>
                <w:b/>
                <w:i/>
              </w:rPr>
              <w:t>Source:</w:t>
            </w:r>
            <w:r w:rsidRPr="007018A7">
              <w:t xml:space="preserve"> Commission services, EPC.</w:t>
            </w:r>
          </w:p>
        </w:tc>
      </w:tr>
    </w:tbl>
    <w:p w14:paraId="77ACCE30" w14:textId="77777777" w:rsidR="00D641C9" w:rsidRPr="007018A7" w:rsidRDefault="00D641C9" w:rsidP="00460C69">
      <w:r w:rsidRPr="007018A7">
        <w:t xml:space="preserve">Looking at actual and potential GDP growth in the medium-term, in the period through 2026, GDP growth is assumed to be higher than potential growth rates, reflecting the gradual closure of negative output gaps (Graph </w:t>
      </w:r>
      <w:r w:rsidRPr="007018A7">
        <w:fldChar w:fldCharType="begin"/>
      </w:r>
      <w:r w:rsidRPr="007018A7">
        <w:instrText xml:space="preserve"> QUOTE "I.2.12"</w:instrText>
      </w:r>
      <w:r w:rsidRPr="007018A7">
        <w:fldChar w:fldCharType="begin">
          <w:fldData xml:space="preserve">QwBSAE8AUwBTAFIARQBGAEUAUgBFAE4AQwBFACoARwBSAEEAUABIACoAYwAyAGUAMgA1ADAANAA4
AC0AOQA2AGMAOAAtADQAYQAxADQALQA4ADAAMwBmAC0ANAA2AGQAMQAwADIAMwA4AGUAZQA3ADMA
</w:fldData>
        </w:fldChar>
      </w:r>
      <w:r w:rsidRPr="007018A7">
        <w:instrText xml:space="preserve"> ADDIN </w:instrText>
      </w:r>
      <w:r w:rsidRPr="007018A7">
        <w:fldChar w:fldCharType="end"/>
      </w:r>
      <w:r w:rsidRPr="007018A7">
        <w:instrText xml:space="preserve"> </w:instrText>
      </w:r>
      <w:r w:rsidRPr="007018A7">
        <w:fldChar w:fldCharType="separate"/>
      </w:r>
      <w:r w:rsidR="009F3ED8" w:rsidRPr="007018A7">
        <w:t>I.2.12</w:t>
      </w:r>
      <w:r w:rsidRPr="007018A7">
        <w:fldChar w:fldCharType="end"/>
      </w:r>
      <w:r w:rsidRPr="007018A7">
        <w:t>) (</w:t>
      </w:r>
      <w:r w:rsidRPr="007018A7">
        <w:rPr>
          <w:rStyle w:val="Referencafusnote"/>
        </w:rPr>
        <w:footnoteReference w:id="33"/>
      </w:r>
      <w:r w:rsidRPr="007018A7">
        <w:t xml:space="preserve">). </w:t>
      </w:r>
    </w:p>
    <w:p w14:paraId="3B6F0851" w14:textId="77777777" w:rsidR="00D641C9" w:rsidRPr="007018A7" w:rsidRDefault="00D641C9" w:rsidP="00460C69">
      <w:r w:rsidRPr="007018A7">
        <w:t xml:space="preserve">For the EU as a whole and the EA, GDP growth is assumed to be 0.1 pps. higher than its potential growth rate. The only economies for which actual growth is projected to be lower than potential growth over this decade are Malta, Latvia, Hungary, Estonia and the UK. </w:t>
      </w:r>
    </w:p>
    <w:p w14:paraId="2D9ECF16" w14:textId="77777777" w:rsidR="00D641C9" w:rsidRPr="007018A7" w:rsidRDefault="00D641C9" w:rsidP="00460C69">
      <w:r w:rsidRPr="007018A7">
        <w:fldChar w:fldCharType="begin"/>
      </w:r>
      <w:r w:rsidRPr="009F3ED8">
        <w:instrText xml:space="preserve"> TC "</w:instrText>
      </w:r>
      <w:bookmarkStart w:id="75" w:name="_Toc511664643"/>
      <w:r w:rsidRPr="009F3ED8">
        <w:instrText>I.2.12.</w:instrText>
      </w:r>
      <w:r w:rsidRPr="009F3ED8">
        <w:tab/>
        <w:instrText>Annual average actual and potential GDP growth rates, 2016-2026 (%) (1)</w:instrText>
      </w:r>
      <w:bookmarkEnd w:id="75"/>
      <w:r w:rsidRPr="009F3ED8">
        <w:instrText xml:space="preserve">" \fgraph \l 5 </w:instrText>
      </w:r>
      <w:r w:rsidRPr="007018A7">
        <w:fldChar w:fldCharType="end"/>
      </w:r>
      <w:r w:rsidRPr="007018A7">
        <w:t xml:space="preserve">Potential growth is explained by labour input and labour productivity, with the latter being the key driving factor. In the EU, labour productivity is projected to grow 1.3% per year on average in 2016-2040, and then rise to 1.6% during 2041-2070 (Graph </w:t>
      </w:r>
      <w:r w:rsidRPr="007018A7">
        <w:fldChar w:fldCharType="begin"/>
      </w:r>
      <w:r w:rsidRPr="007018A7">
        <w:instrText xml:space="preserve"> QUOTE "I.2.13"</w:instrText>
      </w:r>
      <w:r w:rsidRPr="007018A7">
        <w:fldChar w:fldCharType="begin">
          <w:fldData xml:space="preserve">QwBSAE8AUwBTAFIARQBGAEUAUgBFAE4AQwBFACoARwBSAEEAUABIACoAZQA3AGMAMAA0AGIAOABl
AC0AZgAzAGQANQAtADQAZAA3AGQALQA5AGMANgA0AC0ANQAyAGQAZQA3ADcAOQA3AGMAYgAxAGIA
</w:fldData>
        </w:fldChar>
      </w:r>
      <w:r w:rsidRPr="007018A7">
        <w:instrText xml:space="preserve"> ADDIN </w:instrText>
      </w:r>
      <w:r w:rsidRPr="007018A7">
        <w:fldChar w:fldCharType="end"/>
      </w:r>
      <w:r w:rsidRPr="007018A7">
        <w:instrText xml:space="preserve"> </w:instrText>
      </w:r>
      <w:r w:rsidRPr="007018A7">
        <w:fldChar w:fldCharType="separate"/>
      </w:r>
      <w:r w:rsidR="009F3ED8" w:rsidRPr="007018A7">
        <w:t>I.2.13</w:t>
      </w:r>
      <w:r w:rsidRPr="007018A7">
        <w:fldChar w:fldCharType="end"/>
      </w:r>
      <w:r w:rsidRPr="007018A7">
        <w:t>). In the euro area, average annual growth is projected at 1.1% in 2016-2040 and to rise to 1.6% on average between 2041 and 2070.</w:t>
      </w:r>
    </w:p>
    <w:tbl>
      <w:tblPr>
        <w:tblW w:w="0" w:type="auto"/>
        <w:tblLayout w:type="fixed"/>
        <w:tblCellMar>
          <w:left w:w="0" w:type="dxa"/>
          <w:right w:w="0" w:type="dxa"/>
        </w:tblCellMar>
        <w:tblLook w:val="0000" w:firstRow="0" w:lastRow="0" w:firstColumn="0" w:lastColumn="0" w:noHBand="0" w:noVBand="0"/>
      </w:tblPr>
      <w:tblGrid>
        <w:gridCol w:w="4110"/>
      </w:tblGrid>
      <w:tr w:rsidR="00D641C9" w:rsidRPr="007018A7" w14:paraId="572B53A1" w14:textId="77777777" w:rsidTr="00460C69">
        <w:trPr>
          <w:cantSplit/>
        </w:trPr>
        <w:tc>
          <w:tcPr>
            <w:tcW w:w="4110" w:type="dxa"/>
            <w:shd w:val="clear" w:color="auto" w:fill="auto"/>
          </w:tcPr>
          <w:p w14:paraId="407B59A8" w14:textId="77777777" w:rsidR="00D641C9" w:rsidRPr="007018A7" w:rsidRDefault="00D641C9" w:rsidP="00460C69">
            <w:pPr>
              <w:pStyle w:val="GraphTitle"/>
              <w:rPr>
                <w:b/>
              </w:rPr>
            </w:pPr>
            <w:r w:rsidRPr="007018A7">
              <w:t>Graph I.2.13:</w:t>
            </w:r>
            <w:r w:rsidRPr="007018A7">
              <w:rPr>
                <w:b/>
              </w:rPr>
              <w:tab/>
              <w:t>Labour productivity per hour, annual average growth rates, 2016-2070 (%)</w:t>
            </w:r>
          </w:p>
        </w:tc>
      </w:tr>
      <w:tr w:rsidR="00D641C9" w:rsidRPr="007018A7" w14:paraId="4DD2D1FD" w14:textId="77777777" w:rsidTr="00460C69">
        <w:trPr>
          <w:cantSplit/>
        </w:trPr>
        <w:tc>
          <w:tcPr>
            <w:tcW w:w="4110" w:type="dxa"/>
            <w:shd w:val="clear" w:color="auto" w:fill="auto"/>
          </w:tcPr>
          <w:p w14:paraId="343419E9" w14:textId="77777777" w:rsidR="00D641C9" w:rsidRPr="007018A7" w:rsidRDefault="00D641C9" w:rsidP="00460C69">
            <w:pPr>
              <w:pStyle w:val="GraphShape"/>
              <w:rPr>
                <w:sz w:val="2"/>
              </w:rPr>
            </w:pPr>
            <w:r w:rsidRPr="007018A7">
              <w:fldChar w:fldCharType="begin"/>
            </w:r>
            <w:r w:rsidRPr="009F3ED8">
              <w:instrText xml:space="preserve"> TC "</w:instrText>
            </w:r>
            <w:bookmarkStart w:id="76" w:name="_Toc511664644"/>
            <w:r w:rsidRPr="009F3ED8">
              <w:instrText>I.2.13.</w:instrText>
            </w:r>
            <w:r w:rsidRPr="009F3ED8">
              <w:tab/>
              <w:instrText>Labour productivity per hour, annual average growth rates, 2016-2070 (%)</w:instrText>
            </w:r>
            <w:bookmarkEnd w:id="76"/>
            <w:r w:rsidRPr="009F3ED8">
              <w:instrText xml:space="preserve">" \fgraph \l 5 </w:instrText>
            </w:r>
            <w:r w:rsidRPr="007018A7">
              <w:fldChar w:fldCharType="end"/>
            </w:r>
            <w:r>
              <w:rPr>
                <w:noProof/>
                <w:sz w:val="2"/>
                <w:lang w:val="hr-HR" w:eastAsia="hr-HR"/>
              </w:rPr>
              <w:drawing>
                <wp:inline distT="0" distB="0" distL="0" distR="0" wp14:anchorId="2FE6B976" wp14:editId="4165C2BA">
                  <wp:extent cx="2597595" cy="1652440"/>
                  <wp:effectExtent l="0" t="0" r="0" b="5080"/>
                  <wp:docPr id="801" name="Picture 801" descr="&lt;nbr&gt;&lt;GETTEXTFROMWORD&gt;&lt;/nbr&gt;&#10;&lt;title&gt;&lt;GETTEXTFROMWORD&gt;&lt;/title&gt;&#10;&lt;id&gt;e7c04b8e-f3d5-4d7d-9c64-52de7797cb1b&lt;/id&gt;&#10;&lt;srcType&gt;EXCEL&lt;/srcType&gt;&#10;&lt;srcPath&gt;U:\Budgetary projections 2018\Reports\2018 AR\Tables_and_graphs\Part I Chapter 2\&lt;/srcPath&gt;&#10;&lt;srcName&gt;Graphs.xlsx&lt;/srcName&gt;&#10;&lt;type&gt;graph&lt;/type&gt;&#10; &lt;srcSheet&gt;Graph 1.2.13&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2:49: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97595" cy="1652440"/>
                          </a:xfrm>
                          <a:prstGeom prst="rect">
                            <a:avLst/>
                          </a:prstGeom>
                          <a:noFill/>
                          <a:ln>
                            <a:noFill/>
                          </a:ln>
                        </pic:spPr>
                      </pic:pic>
                    </a:graphicData>
                  </a:graphic>
                </wp:inline>
              </w:drawing>
            </w:r>
          </w:p>
        </w:tc>
      </w:tr>
      <w:tr w:rsidR="00D641C9" w:rsidRPr="007018A7" w14:paraId="36F47E2B" w14:textId="77777777" w:rsidTr="00460C69">
        <w:trPr>
          <w:cantSplit/>
        </w:trPr>
        <w:tc>
          <w:tcPr>
            <w:tcW w:w="4110" w:type="dxa"/>
            <w:shd w:val="clear" w:color="auto" w:fill="auto"/>
            <w:tcMar>
              <w:bottom w:w="240" w:type="dxa"/>
            </w:tcMar>
          </w:tcPr>
          <w:p w14:paraId="2BCEC8A7" w14:textId="77777777" w:rsidR="00D641C9" w:rsidRPr="007018A7" w:rsidRDefault="00D641C9" w:rsidP="00460C69">
            <w:pPr>
              <w:pStyle w:val="GraphSource"/>
              <w:keepNext/>
            </w:pPr>
            <w:r w:rsidRPr="007018A7">
              <w:rPr>
                <w:b/>
                <w:i/>
              </w:rPr>
              <w:t>Source:</w:t>
            </w:r>
            <w:r w:rsidRPr="007018A7">
              <w:t xml:space="preserve"> Commission services, EPC.</w:t>
            </w:r>
          </w:p>
        </w:tc>
      </w:tr>
    </w:tbl>
    <w:p w14:paraId="5C9906BE" w14:textId="77777777" w:rsidR="00D641C9" w:rsidRPr="007018A7" w:rsidRDefault="00D641C9" w:rsidP="00460C69">
      <w:r w:rsidRPr="007018A7">
        <w:t>The projected increase in the period up to 2040 is due to the assumption of higher productivity growth (through TFP) in the Member States assumed to have a catching-up potential. Eventually, in 2070 all Member States are assumed to reach the same productivity growth of 1.5%.</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D641C9" w:rsidRPr="007018A7" w14:paraId="479C3A28" w14:textId="77777777" w:rsidTr="00460C69">
        <w:trPr>
          <w:cantSplit/>
        </w:trPr>
        <w:tc>
          <w:tcPr>
            <w:tcW w:w="8505" w:type="dxa"/>
            <w:shd w:val="clear" w:color="auto" w:fill="auto"/>
          </w:tcPr>
          <w:p w14:paraId="75A4A008" w14:textId="77777777" w:rsidR="00D641C9" w:rsidRPr="007018A7" w:rsidRDefault="00D641C9" w:rsidP="00460C69">
            <w:pPr>
              <w:pStyle w:val="GraphTitle"/>
              <w:rPr>
                <w:b/>
              </w:rPr>
            </w:pPr>
            <w:r w:rsidRPr="007018A7">
              <w:lastRenderedPageBreak/>
              <w:t>Graph I.2.12:</w:t>
            </w:r>
            <w:r w:rsidRPr="007018A7">
              <w:rPr>
                <w:b/>
              </w:rPr>
              <w:tab/>
              <w:t>Annual average actual and potential GDP growth rates, 2016-2026 (%) (1)</w:t>
            </w:r>
          </w:p>
        </w:tc>
      </w:tr>
      <w:tr w:rsidR="00D641C9" w:rsidRPr="007018A7" w14:paraId="153F7C03" w14:textId="77777777" w:rsidTr="00460C69">
        <w:trPr>
          <w:cantSplit/>
        </w:trPr>
        <w:tc>
          <w:tcPr>
            <w:tcW w:w="8505" w:type="dxa"/>
            <w:shd w:val="clear" w:color="auto" w:fill="auto"/>
          </w:tcPr>
          <w:p w14:paraId="4F6FF60F" w14:textId="77777777" w:rsidR="00D641C9" w:rsidRPr="007018A7" w:rsidRDefault="00D641C9" w:rsidP="00460C69">
            <w:pPr>
              <w:pStyle w:val="GraphShape"/>
              <w:rPr>
                <w:sz w:val="2"/>
              </w:rPr>
            </w:pPr>
            <w:r>
              <w:rPr>
                <w:noProof/>
                <w:sz w:val="2"/>
                <w:lang w:val="hr-HR" w:eastAsia="hr-HR"/>
              </w:rPr>
              <w:drawing>
                <wp:inline distT="0" distB="0" distL="0" distR="0" wp14:anchorId="77EC31C2" wp14:editId="3B3DD7AA">
                  <wp:extent cx="5400929" cy="2483295"/>
                  <wp:effectExtent l="0" t="0" r="0" b="0"/>
                  <wp:docPr id="802" name="Picture 802" descr="&lt;nbr&gt;&lt;GETTEXTFROMWORD&gt;&lt;/nbr&gt;&#10;&lt;title&gt;&lt;GETTEXTFROMWORD&gt;&lt;/title&gt;&#10;&lt;id&gt;c2e25048-96c8-4a14-803f-46d10238ee73&lt;/id&gt;&#10;&lt;srcType&gt;EXCEL&lt;/srcType&gt;&#10;&lt;srcPath&gt;U:\Budgetary projections 2018\Reports\2018 AR\Tables_and_graphs\Part I Chapter 2\&lt;/srcPath&gt;&#10;&lt;srcName&gt;Graphs.xlsx&lt;/srcName&gt;&#10;&lt;type&gt;graph&lt;/type&gt;&#10; &lt;srcSheet&gt;Grapha 1.2.14&lt;/srcSheet&gt;&#10; &lt;srcChartTitle&gt;Chart 1&lt;/srcChartTitl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3T12:49: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00929" cy="2483295"/>
                          </a:xfrm>
                          <a:prstGeom prst="rect">
                            <a:avLst/>
                          </a:prstGeom>
                          <a:noFill/>
                          <a:ln>
                            <a:noFill/>
                          </a:ln>
                        </pic:spPr>
                      </pic:pic>
                    </a:graphicData>
                  </a:graphic>
                </wp:inline>
              </w:drawing>
            </w:r>
          </w:p>
        </w:tc>
      </w:tr>
      <w:tr w:rsidR="00D641C9" w:rsidRPr="007018A7" w14:paraId="6F621CD1" w14:textId="77777777" w:rsidTr="00460C69">
        <w:trPr>
          <w:cantSplit/>
        </w:trPr>
        <w:tc>
          <w:tcPr>
            <w:tcW w:w="8505" w:type="dxa"/>
            <w:shd w:val="clear" w:color="auto" w:fill="auto"/>
          </w:tcPr>
          <w:p w14:paraId="3F853B68" w14:textId="77777777" w:rsidR="00D641C9" w:rsidRDefault="00D641C9" w:rsidP="00460C69">
            <w:pPr>
              <w:pStyle w:val="GraphFootnote"/>
              <w:keepNext/>
            </w:pPr>
            <w:r>
              <w:t>(1) Countries ranked in ascending order of actual growth</w:t>
            </w:r>
          </w:p>
          <w:p w14:paraId="7544E716" w14:textId="77777777" w:rsidR="00D641C9" w:rsidRPr="007018A7" w:rsidRDefault="00D641C9" w:rsidP="00460C69">
            <w:pPr>
              <w:pStyle w:val="GraphSource"/>
              <w:keepNext/>
            </w:pPr>
            <w:r w:rsidRPr="007018A7">
              <w:rPr>
                <w:b/>
                <w:i/>
              </w:rPr>
              <w:t>Source:</w:t>
            </w:r>
            <w:r w:rsidRPr="007018A7">
              <w:t xml:space="preserve"> Commission services, EPC.</w:t>
            </w:r>
          </w:p>
        </w:tc>
      </w:tr>
    </w:tbl>
    <w:p w14:paraId="21F87870" w14:textId="77777777" w:rsidR="00D641C9" w:rsidRPr="007018A7" w:rsidRDefault="00D641C9" w:rsidP="00460C69">
      <w:r w:rsidRPr="007018A7">
        <w:t xml:space="preserve">Graph </w:t>
      </w:r>
      <w:r w:rsidRPr="007018A7">
        <w:fldChar w:fldCharType="begin"/>
      </w:r>
      <w:r w:rsidRPr="007018A7">
        <w:instrText xml:space="preserve"> QUOTE "I.2.14"</w:instrText>
      </w:r>
      <w:r w:rsidRPr="007018A7">
        <w:fldChar w:fldCharType="begin">
          <w:fldData xml:space="preserve">QwBSAE8AUwBTAFIARQBGAEUAUgBFAE4AQwBFACoARwBSAEEAUABIACoAZAA1AGYANAA1ADkAZQA1
AC0AMwBiADAANgAtADQAYgAzADQALQA4AGEAOABlAC0AYgA0AGYAMwBlADEAZABjADEANQAwAGUA
</w:fldData>
        </w:fldChar>
      </w:r>
      <w:r w:rsidRPr="007018A7">
        <w:instrText xml:space="preserve"> ADDIN </w:instrText>
      </w:r>
      <w:r w:rsidRPr="007018A7">
        <w:fldChar w:fldCharType="end"/>
      </w:r>
      <w:r w:rsidRPr="007018A7">
        <w:instrText xml:space="preserve"> </w:instrText>
      </w:r>
      <w:r w:rsidRPr="007018A7">
        <w:fldChar w:fldCharType="separate"/>
      </w:r>
      <w:r w:rsidR="009F3ED8" w:rsidRPr="007018A7">
        <w:t>I.2.14</w:t>
      </w:r>
      <w:r w:rsidRPr="007018A7">
        <w:fldChar w:fldCharType="end"/>
      </w:r>
      <w:r w:rsidRPr="007018A7">
        <w:t xml:space="preserve"> breaks down labour productivity growth between TFP growth and capital deepening. Trends in TFP growth explain most of productivity per hour growth for all countries. By assumption, annual TFP growth converges to 1% by 2070 in all Member States which, given a steady labour income share of 0.65, implies annual labour productivity growth of around 1.5% for all Member States in 2070 (</w:t>
      </w:r>
      <w:r w:rsidRPr="007018A7">
        <w:rPr>
          <w:rStyle w:val="Referencafusnote"/>
        </w:rPr>
        <w:footnoteReference w:id="34"/>
      </w:r>
      <w:r w:rsidRPr="007018A7">
        <w:t xml:space="preserve">). For countries with a relatively low per capita GDP by EU standards, the capital deepening contribution is very high in the first part of the projection period, reflecting the assumed catching-up process of converging economies. Then, the contribution gradually declines to the steady state value of 0.5%. </w:t>
      </w:r>
    </w:p>
    <w:p w14:paraId="54311390" w14:textId="77777777" w:rsidR="00D641C9" w:rsidRPr="007018A7" w:rsidRDefault="00D641C9" w:rsidP="00460C69">
      <w:r w:rsidRPr="007018A7">
        <w:t xml:space="preserve">A summary of the contribution of labour input and productivity and their determinants to potential GDP growth over the period 2016-2070 is summarised in Table </w:t>
      </w:r>
      <w:r w:rsidRPr="007018A7">
        <w:fldChar w:fldCharType="begin"/>
      </w:r>
      <w:r w:rsidRPr="007018A7">
        <w:instrText xml:space="preserve"> QUOTE "I.2.1"</w:instrText>
      </w:r>
      <w:r w:rsidRPr="007018A7">
        <w:fldChar w:fldCharType="begin">
          <w:fldData xml:space="preserve">QwBSAE8AUwBTAFIARQBGAEUAUgBFAE4AQwBFACoAVABBAEIATABFACoAMQA1ADYANAA1ADAAMgBk
AC0AMgA2ADcAOAAtADQAMgA0ADkALQA4ADQAYgAxAC0AOABkADkANQA3AGYAZgA4ADEAMAA2ADMA
</w:fldData>
        </w:fldChar>
      </w:r>
      <w:r w:rsidRPr="007018A7">
        <w:instrText xml:space="preserve"> ADDIN </w:instrText>
      </w:r>
      <w:r w:rsidRPr="007018A7">
        <w:fldChar w:fldCharType="end"/>
      </w:r>
      <w:r w:rsidRPr="007018A7">
        <w:instrText xml:space="preserve"> </w:instrText>
      </w:r>
      <w:r w:rsidRPr="007018A7">
        <w:fldChar w:fldCharType="separate"/>
      </w:r>
      <w:r w:rsidR="009F3ED8" w:rsidRPr="007018A7">
        <w:t>I.2.1</w:t>
      </w:r>
      <w:r w:rsidRPr="007018A7">
        <w:fldChar w:fldCharType="end"/>
      </w:r>
      <w:r w:rsidRPr="007018A7">
        <w:t>.  For the EU and the euro area, the contribution of total population to the average growth of potential GDP is only marginally positive. However, this is more than offset by a decline in the share of the working-age population, pulling down growth by an annual average of -0.2 pps. As a result, labour input contributes negatively to output growth by about an annual average of -0.1 pps. (</w:t>
      </w:r>
      <w:r w:rsidRPr="007018A7">
        <w:rPr>
          <w:rStyle w:val="Referencafusnote"/>
        </w:rPr>
        <w:footnoteReference w:id="35"/>
      </w:r>
      <w:r w:rsidRPr="007018A7">
        <w:t xml:space="preserve">). </w:t>
      </w:r>
    </w:p>
    <w:tbl>
      <w:tblPr>
        <w:tblW w:w="0" w:type="auto"/>
        <w:tblLayout w:type="fixed"/>
        <w:tblCellMar>
          <w:left w:w="0" w:type="dxa"/>
          <w:right w:w="0" w:type="dxa"/>
        </w:tblCellMar>
        <w:tblLook w:val="0000" w:firstRow="0" w:lastRow="0" w:firstColumn="0" w:lastColumn="0" w:noHBand="0" w:noVBand="0"/>
      </w:tblPr>
      <w:tblGrid>
        <w:gridCol w:w="4110"/>
      </w:tblGrid>
      <w:tr w:rsidR="00D641C9" w:rsidRPr="007018A7" w14:paraId="176314BA" w14:textId="77777777" w:rsidTr="00460C69">
        <w:trPr>
          <w:cantSplit/>
        </w:trPr>
        <w:tc>
          <w:tcPr>
            <w:tcW w:w="4110" w:type="dxa"/>
            <w:shd w:val="clear" w:color="auto" w:fill="auto"/>
          </w:tcPr>
          <w:p w14:paraId="79C861F6" w14:textId="77777777" w:rsidR="00D641C9" w:rsidRPr="007018A7" w:rsidRDefault="00D641C9" w:rsidP="00460C69">
            <w:pPr>
              <w:pStyle w:val="GraphTitle"/>
              <w:rPr>
                <w:b/>
              </w:rPr>
            </w:pPr>
            <w:r w:rsidRPr="007018A7">
              <w:t>Graph I.2.14:</w:t>
            </w:r>
            <w:r w:rsidRPr="007018A7">
              <w:rPr>
                <w:b/>
              </w:rPr>
              <w:tab/>
              <w:t>Determinants of annual average labour productivity growth: Total factor productivity and capital deepening (contribution in pps.), 2016-2070</w:t>
            </w:r>
          </w:p>
        </w:tc>
      </w:tr>
      <w:tr w:rsidR="00D641C9" w:rsidRPr="007018A7" w14:paraId="70BECFE7" w14:textId="77777777" w:rsidTr="00460C69">
        <w:trPr>
          <w:cantSplit/>
        </w:trPr>
        <w:tc>
          <w:tcPr>
            <w:tcW w:w="4110" w:type="dxa"/>
            <w:shd w:val="clear" w:color="auto" w:fill="auto"/>
          </w:tcPr>
          <w:p w14:paraId="4F1EEEDF" w14:textId="77777777" w:rsidR="00D641C9" w:rsidRPr="007018A7" w:rsidRDefault="00D641C9" w:rsidP="00460C69">
            <w:pPr>
              <w:pStyle w:val="GraphShape"/>
              <w:rPr>
                <w:sz w:val="2"/>
              </w:rPr>
            </w:pPr>
            <w:r w:rsidRPr="007018A7">
              <w:fldChar w:fldCharType="begin"/>
            </w:r>
            <w:r w:rsidRPr="009F3ED8">
              <w:instrText xml:space="preserve"> TC "</w:instrText>
            </w:r>
            <w:bookmarkStart w:id="77" w:name="_Toc511664645"/>
            <w:r w:rsidRPr="009F3ED8">
              <w:instrText>I.2.14.</w:instrText>
            </w:r>
            <w:r w:rsidRPr="009F3ED8">
              <w:tab/>
              <w:instrText>Determinants of annual average labour productivity growth: Total factor productivity and capital deepening (contribution in pps.), 2016-2070</w:instrText>
            </w:r>
            <w:bookmarkEnd w:id="77"/>
            <w:r w:rsidRPr="009F3ED8">
              <w:instrText xml:space="preserve">" \fgraph \l 5 </w:instrText>
            </w:r>
            <w:r w:rsidRPr="007018A7">
              <w:fldChar w:fldCharType="end"/>
            </w:r>
            <w:r>
              <w:rPr>
                <w:noProof/>
                <w:sz w:val="2"/>
                <w:lang w:val="hr-HR" w:eastAsia="hr-HR"/>
              </w:rPr>
              <w:drawing>
                <wp:inline distT="0" distB="0" distL="0" distR="0" wp14:anchorId="4E8755B8" wp14:editId="38F06031">
                  <wp:extent cx="2597595" cy="3084644"/>
                  <wp:effectExtent l="0" t="0" r="0" b="1905"/>
                  <wp:docPr id="803" name="Picture 803" descr="&lt;nbr&gt;&lt;GETTEXTFROMWORD&gt;&lt;/nbr&gt;&#10;&lt;title&gt;&lt;GETTEXTFROMWORD&gt;&lt;/title&gt;&#10;&lt;id&gt;d5f459e5-3b06-4b34-8a8e-b4f3e1dc150e&lt;/id&gt;&#10;&lt;srcType&gt;EXCEL&lt;/srcType&gt;&#10;&lt;srcPath&gt;U:\Budgetary projections 2018\Reports\2018 AR\Tables_and_graphs\Part I Chapter 2\&lt;/srcPath&gt;&#10;&lt;srcName&gt;Graphs.xlsx&lt;/srcName&gt;&#10;&lt;type&gt;graph&lt;/type&gt;&#10; &lt;srcSheet&gt;Graph 1.2.17&lt;/srcSheet&gt;&#10; &lt;srcChartTitle&gt;Chart 2&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2:49: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97595" cy="3084644"/>
                          </a:xfrm>
                          <a:prstGeom prst="rect">
                            <a:avLst/>
                          </a:prstGeom>
                          <a:noFill/>
                          <a:ln>
                            <a:noFill/>
                          </a:ln>
                        </pic:spPr>
                      </pic:pic>
                    </a:graphicData>
                  </a:graphic>
                </wp:inline>
              </w:drawing>
            </w:r>
          </w:p>
        </w:tc>
      </w:tr>
      <w:tr w:rsidR="00D641C9" w:rsidRPr="007018A7" w14:paraId="61786F63" w14:textId="77777777" w:rsidTr="00460C69">
        <w:trPr>
          <w:cantSplit/>
        </w:trPr>
        <w:tc>
          <w:tcPr>
            <w:tcW w:w="4110" w:type="dxa"/>
            <w:shd w:val="clear" w:color="auto" w:fill="auto"/>
            <w:tcMar>
              <w:bottom w:w="240" w:type="dxa"/>
            </w:tcMar>
          </w:tcPr>
          <w:p w14:paraId="633ACA86" w14:textId="77777777" w:rsidR="00D641C9" w:rsidRPr="007018A7" w:rsidRDefault="00D641C9" w:rsidP="00460C69">
            <w:pPr>
              <w:pStyle w:val="GraphSource"/>
              <w:keepNext/>
            </w:pPr>
            <w:r w:rsidRPr="007018A7">
              <w:rPr>
                <w:b/>
                <w:i/>
              </w:rPr>
              <w:t>Source:</w:t>
            </w:r>
            <w:r w:rsidRPr="007018A7">
              <w:t xml:space="preserve"> Commission services, EPC.</w:t>
            </w:r>
          </w:p>
        </w:tc>
      </w:tr>
    </w:tbl>
    <w:p w14:paraId="64561AB4" w14:textId="77777777" w:rsidR="00D641C9" w:rsidRPr="007018A7" w:rsidRDefault="00D641C9" w:rsidP="00460C69">
      <w:pPr>
        <w:pStyle w:val="MultipageDelimiter"/>
      </w:pP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D641C9" w:rsidRPr="007018A7" w14:paraId="24DEC9BD" w14:textId="77777777" w:rsidTr="00460C69">
        <w:trPr>
          <w:cantSplit/>
          <w:trHeight w:val="20"/>
        </w:trPr>
        <w:tc>
          <w:tcPr>
            <w:tcW w:w="8505" w:type="dxa"/>
            <w:shd w:val="clear" w:color="auto" w:fill="auto"/>
          </w:tcPr>
          <w:p w14:paraId="564B6140" w14:textId="77777777" w:rsidR="00D641C9" w:rsidRPr="007018A7" w:rsidRDefault="00D641C9" w:rsidP="00460C69">
            <w:pPr>
              <w:pStyle w:val="SlimCell"/>
              <w:keepNext/>
            </w:pPr>
            <w:r w:rsidRPr="007018A7">
              <w:lastRenderedPageBreak/>
              <w:fldChar w:fldCharType="begin"/>
            </w:r>
            <w:r w:rsidRPr="009F3ED8">
              <w:instrText xml:space="preserve"> TC "</w:instrText>
            </w:r>
            <w:bookmarkStart w:id="78" w:name="_Toc511664515"/>
            <w:r w:rsidRPr="009F3ED8">
              <w:instrText>I.2.1.</w:instrText>
            </w:r>
            <w:r w:rsidRPr="009F3ED8">
              <w:tab/>
              <w:instrText>Decomposition of annual average potential GDP growth rates, 2016-2070 (%)</w:instrText>
            </w:r>
            <w:bookmarkEnd w:id="78"/>
            <w:r w:rsidRPr="009F3ED8">
              <w:instrText xml:space="preserve">" \ftable \l 5 </w:instrText>
            </w:r>
            <w:r w:rsidRPr="007018A7">
              <w:fldChar w:fldCharType="end"/>
            </w:r>
          </w:p>
        </w:tc>
      </w:tr>
      <w:tr w:rsidR="00D641C9" w:rsidRPr="007018A7" w14:paraId="78D9D995" w14:textId="77777777" w:rsidTr="00460C69">
        <w:trPr>
          <w:cantSplit/>
        </w:trPr>
        <w:tc>
          <w:tcPr>
            <w:tcW w:w="8505" w:type="dxa"/>
            <w:shd w:val="clear" w:color="auto" w:fill="auto"/>
          </w:tcPr>
          <w:p w14:paraId="11EE2A4F" w14:textId="77777777" w:rsidR="00D641C9" w:rsidRPr="007018A7" w:rsidRDefault="00D641C9" w:rsidP="00460C69">
            <w:pPr>
              <w:pStyle w:val="TableTitle"/>
              <w:rPr>
                <w:b/>
              </w:rPr>
            </w:pPr>
            <w:r w:rsidRPr="007018A7">
              <w:t>Table I.2.1:</w:t>
            </w:r>
            <w:r w:rsidRPr="007018A7">
              <w:rPr>
                <w:b/>
              </w:rPr>
              <w:tab/>
              <w:t>Decomposition of annual average potential GDP growth rates, 2016-2070 (%)</w:t>
            </w:r>
          </w:p>
        </w:tc>
      </w:tr>
      <w:tr w:rsidR="00D641C9" w:rsidRPr="007018A7" w14:paraId="56621FB5" w14:textId="77777777" w:rsidTr="00460C69">
        <w:trPr>
          <w:cantSplit/>
        </w:trPr>
        <w:tc>
          <w:tcPr>
            <w:tcW w:w="8505" w:type="dxa"/>
            <w:shd w:val="clear" w:color="auto" w:fill="auto"/>
          </w:tcPr>
          <w:p w14:paraId="587D34DE" w14:textId="77777777" w:rsidR="00D641C9" w:rsidRPr="007018A7" w:rsidRDefault="00D641C9" w:rsidP="00460C69">
            <w:pPr>
              <w:pStyle w:val="TableShape"/>
              <w:rPr>
                <w:sz w:val="2"/>
              </w:rPr>
            </w:pPr>
            <w:r>
              <w:rPr>
                <w:noProof/>
                <w:sz w:val="2"/>
                <w:lang w:val="hr-HR" w:eastAsia="hr-HR"/>
              </w:rPr>
              <w:drawing>
                <wp:inline distT="0" distB="0" distL="0" distR="0" wp14:anchorId="78A7044D" wp14:editId="3A5CE945">
                  <wp:extent cx="5400929" cy="3805921"/>
                  <wp:effectExtent l="0" t="0" r="0" b="4445"/>
                  <wp:docPr id="31" name="Picture 31" descr="&lt;nbr&gt;&lt;GETTEXTFROMWORD&gt;&lt;/nbr&gt;&#10;&lt;title&gt;&lt;GETTEXTFROMWORD&gt;&lt;/title&gt;&#10;&lt;id&gt;1564502d-2678-4249-84b1-8d957ff81063&lt;/id&gt;&#10;&lt;srcType&gt;EXCEL&lt;/srcType&gt;&#10;&lt;srcPath&gt;U:\Budgetary projections 2018\Reports\2018 AR\Tables_and_graphs\Part I Chapter 2\&lt;/srcPath&gt;&#10;&lt;srcName&gt;Graphs.xlsx&lt;/srcName&gt;&#10;&lt;type&gt;table&lt;/type&gt;&#10; &lt;srcSheet&gt;Table 6&lt;/srcSheet&gt;&#10; &lt;srcRange&gt;R2C2:R36C12&lt;/srcRange&gt;&#10;&lt;pos&gt;top&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2:49: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00929" cy="3805921"/>
                          </a:xfrm>
                          <a:prstGeom prst="rect">
                            <a:avLst/>
                          </a:prstGeom>
                          <a:noFill/>
                          <a:ln>
                            <a:noFill/>
                          </a:ln>
                        </pic:spPr>
                      </pic:pic>
                    </a:graphicData>
                  </a:graphic>
                </wp:inline>
              </w:drawing>
            </w:r>
          </w:p>
        </w:tc>
      </w:tr>
      <w:tr w:rsidR="00D641C9" w:rsidRPr="007018A7" w14:paraId="50271B60" w14:textId="77777777" w:rsidTr="00460C69">
        <w:trPr>
          <w:cantSplit/>
        </w:trPr>
        <w:tc>
          <w:tcPr>
            <w:tcW w:w="8505" w:type="dxa"/>
            <w:shd w:val="clear" w:color="auto" w:fill="auto"/>
          </w:tcPr>
          <w:p w14:paraId="0D6754A6" w14:textId="77777777" w:rsidR="00D641C9" w:rsidRPr="007018A7" w:rsidRDefault="00D641C9" w:rsidP="00460C69">
            <w:pPr>
              <w:pStyle w:val="TableSource"/>
            </w:pPr>
            <w:r w:rsidRPr="007018A7">
              <w:rPr>
                <w:b/>
                <w:i/>
              </w:rPr>
              <w:t>Source:</w:t>
            </w:r>
            <w:r w:rsidRPr="007018A7">
              <w:t xml:space="preserve"> Commission services, EPC.</w:t>
            </w:r>
          </w:p>
        </w:tc>
      </w:tr>
      <w:tr w:rsidR="00D641C9" w:rsidRPr="007018A7" w14:paraId="7480BBA7" w14:textId="77777777" w:rsidTr="00460C69">
        <w:trPr>
          <w:cantSplit/>
          <w:trHeight w:val="20"/>
        </w:trPr>
        <w:tc>
          <w:tcPr>
            <w:tcW w:w="8505" w:type="dxa"/>
            <w:shd w:val="clear" w:color="auto" w:fill="auto"/>
          </w:tcPr>
          <w:p w14:paraId="07521F20" w14:textId="77777777" w:rsidR="00D641C9" w:rsidRPr="007018A7" w:rsidRDefault="00D641C9" w:rsidP="00460C69">
            <w:pPr>
              <w:pStyle w:val="SlimCell"/>
            </w:pPr>
          </w:p>
        </w:tc>
      </w:tr>
    </w:tbl>
    <w:p w14:paraId="09ABFC3E" w14:textId="77777777" w:rsidR="00D641C9" w:rsidRPr="007018A7" w:rsidRDefault="00D641C9" w:rsidP="00460C69">
      <w:pPr>
        <w:pStyle w:val="NumberedHeading2"/>
        <w:tabs>
          <w:tab w:val="left" w:pos="567"/>
        </w:tabs>
      </w:pPr>
      <w:r w:rsidRPr="007018A7">
        <w:t>2.3.2.</w:t>
      </w:r>
      <w:r w:rsidRPr="007018A7">
        <w:tab/>
        <w:t>Main results of the projections under the TFP risk scenario</w:t>
      </w:r>
    </w:p>
    <w:p w14:paraId="25F892B1" w14:textId="77777777" w:rsidR="00D641C9" w:rsidRPr="007018A7" w:rsidRDefault="00D641C9" w:rsidP="00460C69">
      <w:r w:rsidRPr="007018A7">
        <w:t xml:space="preserve">A so called "TFP risk scenario" has also been developed that indicates the potential effects on potential GDP growth of a lower rise in TFP than assumed in the baseline scenario. Specifically, the risk scenario assumes that TFP growth converges to 0.8% by 2070, (instead of 1.0% in the baseline). </w:t>
      </w:r>
    </w:p>
    <w:p w14:paraId="4C2064AB" w14:textId="77777777" w:rsidR="00D641C9" w:rsidRPr="007018A7" w:rsidRDefault="00D641C9" w:rsidP="00460C69">
      <w:r w:rsidRPr="007018A7">
        <w:t xml:space="preserve">In this scenario, potential GDP in the EU would grow by 1.1% on average per year up to 2070, compared to 1.4% in the baseline (Graph </w:t>
      </w:r>
      <w:r w:rsidRPr="007018A7">
        <w:fldChar w:fldCharType="begin"/>
      </w:r>
      <w:r w:rsidRPr="007018A7">
        <w:instrText xml:space="preserve"> QUOTE "I.2.15"</w:instrText>
      </w:r>
      <w:r w:rsidRPr="007018A7">
        <w:fldChar w:fldCharType="begin">
          <w:fldData xml:space="preserve">QwBSAE8AUwBTAFIARQBGAEUAUgBFAE4AQwBFACoARwBSAEEAUABIACoAMwBhAGUAMwBjADMANgBj
AC0AZABkADIAMAAtADQAYQA3AGMALQA5ADYANgAyAC0ANwAyAGMAOAA0AGEANwBjADcAZQAwADEA
</w:fldData>
        </w:fldChar>
      </w:r>
      <w:r w:rsidRPr="007018A7">
        <w:instrText xml:space="preserve"> ADDIN </w:instrText>
      </w:r>
      <w:r w:rsidRPr="007018A7">
        <w:fldChar w:fldCharType="end"/>
      </w:r>
      <w:r w:rsidRPr="007018A7">
        <w:instrText xml:space="preserve"> </w:instrText>
      </w:r>
      <w:r w:rsidRPr="007018A7">
        <w:fldChar w:fldCharType="separate"/>
      </w:r>
      <w:r w:rsidR="009F3ED8" w:rsidRPr="007018A7">
        <w:t>I.2.15</w:t>
      </w:r>
      <w:r w:rsidRPr="007018A7">
        <w:fldChar w:fldCharType="end"/>
      </w:r>
      <w:r w:rsidRPr="007018A7">
        <w:t>), while that of the euro area would fall from 1.3% to 1.1% (</w:t>
      </w:r>
      <w:r w:rsidRPr="007018A7">
        <w:rPr>
          <w:rStyle w:val="Referencafusnote"/>
        </w:rPr>
        <w:footnoteReference w:id="36"/>
      </w:r>
      <w:r w:rsidRPr="007018A7">
        <w:t xml:space="preserve">). </w:t>
      </w:r>
    </w:p>
    <w:p w14:paraId="11C2E232" w14:textId="77777777" w:rsidR="00D641C9" w:rsidRPr="007018A7" w:rsidRDefault="00D641C9" w:rsidP="00460C69">
      <w:r w:rsidRPr="007018A7">
        <w:t xml:space="preserve">The implications of the risk scenario for the potential GDP growth rates of Member States vary. On one side of the spectrum are Hungary, Latvia and Lithuania whose average annual GDP growth rates are projected to be at least 0.5 pps. of GDP lower than under the baseline. On the other hand, Ireland's average annual potential GDP growth rate is only 0.1 pps. lower under the TFP risk scenario.  </w:t>
      </w:r>
    </w:p>
    <w:p w14:paraId="7C6C451E" w14:textId="77777777" w:rsidR="00D641C9" w:rsidRPr="007018A7" w:rsidRDefault="00D641C9" w:rsidP="00460C69">
      <w:pPr>
        <w:pStyle w:val="NumberedHeading1"/>
        <w:tabs>
          <w:tab w:val="left" w:pos="567"/>
        </w:tabs>
      </w:pPr>
      <w:bookmarkStart w:id="79" w:name="_Toc511664418"/>
      <w:r w:rsidRPr="007018A7">
        <w:t>2.4.</w:t>
      </w:r>
      <w:r w:rsidRPr="007018A7">
        <w:tab/>
        <w:t>Comparison with the 2015 Ageing Report</w:t>
      </w:r>
      <w:bookmarkEnd w:id="79"/>
    </w:p>
    <w:p w14:paraId="60A48F80" w14:textId="77777777" w:rsidR="00D641C9" w:rsidRPr="007018A7" w:rsidRDefault="00D641C9" w:rsidP="00460C69">
      <w:pPr>
        <w:pStyle w:val="NumberedHeading2"/>
        <w:tabs>
          <w:tab w:val="left" w:pos="567"/>
        </w:tabs>
      </w:pPr>
      <w:r w:rsidRPr="007018A7">
        <w:t>2.4.1.</w:t>
      </w:r>
      <w:r w:rsidRPr="007018A7">
        <w:tab/>
        <w:t>Labour force developments</w:t>
      </w:r>
    </w:p>
    <w:p w14:paraId="2422083B" w14:textId="77777777" w:rsidR="00D641C9" w:rsidRPr="007018A7" w:rsidRDefault="00D641C9" w:rsidP="00460C69">
      <w:pPr>
        <w:rPr>
          <w:b/>
          <w:i/>
        </w:rPr>
      </w:pPr>
      <w:r w:rsidRPr="007018A7">
        <w:rPr>
          <w:b/>
          <w:i/>
        </w:rPr>
        <w:t xml:space="preserve">Employment rates have been revised up compared with the 2015 AR, both in 2016 (by 1.1 pps.) and in 2060 (by 0.8 pps.). </w:t>
      </w:r>
    </w:p>
    <w:p w14:paraId="48A27408" w14:textId="77777777" w:rsidR="00D641C9" w:rsidRPr="007018A7" w:rsidRDefault="00D641C9" w:rsidP="00460C69">
      <w:r w:rsidRPr="007018A7">
        <w:t xml:space="preserve">For the EU as a whole, the recovery from the great recession is visible in the upward revision of employment rate in 2016 by 1.1 pps., compared with the 2015 Ageing Report. Moreover, the employment rate is revised upwards by 0.8 pps. for the EU in 2060, reflecting the closure of the output gap and the impact of planned pension reforms, which together with cohort effects, are expected to raise the employment rate of older workers </w:t>
      </w:r>
      <w:r w:rsidRPr="007018A7">
        <w:lastRenderedPageBreak/>
        <w:fldChar w:fldCharType="begin"/>
      </w:r>
      <w:r w:rsidRPr="009F3ED8">
        <w:instrText xml:space="preserve"> TC "</w:instrText>
      </w:r>
      <w:bookmarkStart w:id="80" w:name="_Toc511664646"/>
      <w:r w:rsidRPr="009F3ED8">
        <w:instrText>I.2.15.</w:instrText>
      </w:r>
      <w:r w:rsidRPr="009F3ED8">
        <w:tab/>
        <w:instrText>Average annual potential GDP growth rates under baseline and TFP risk scenarios, 2013-2070 (%)</w:instrText>
      </w:r>
      <w:bookmarkEnd w:id="80"/>
      <w:r w:rsidRPr="009F3ED8">
        <w:instrText xml:space="preserve">" \fgraph \l 5 </w:instrText>
      </w:r>
      <w:r w:rsidRPr="007018A7">
        <w:fldChar w:fldCharType="end"/>
      </w:r>
      <w:r w:rsidRPr="007018A7">
        <w:t xml:space="preserve">(persons aged 55-64) by 0.6 pps. in 2060 (see Table </w:t>
      </w:r>
      <w:r w:rsidRPr="007018A7">
        <w:fldChar w:fldCharType="begin"/>
      </w:r>
      <w:r w:rsidRPr="007018A7">
        <w:instrText xml:space="preserve"> QUOTE "I.2.2"</w:instrText>
      </w:r>
      <w:r w:rsidRPr="007018A7">
        <w:fldChar w:fldCharType="begin">
          <w:fldData xml:space="preserve">QwBSAE8AUwBTAFIARQBGAEUAUgBFAE4AQwBFACoAVABBAEIATABFACoAZQBlADcAZABlAGQAYgA3
AC0AYQA4AGYAOQAtADQAYgA0AGIALQBiAGEAYgBmAC0AOQA4ADkAMwAxAGQAYgBjAGEAZgBiADMA
</w:fldData>
        </w:fldChar>
      </w:r>
      <w:r w:rsidRPr="007018A7">
        <w:instrText xml:space="preserve"> ADDIN </w:instrText>
      </w:r>
      <w:r w:rsidRPr="007018A7">
        <w:fldChar w:fldCharType="end"/>
      </w:r>
      <w:r w:rsidRPr="007018A7">
        <w:instrText xml:space="preserve"> </w:instrText>
      </w:r>
      <w:r w:rsidRPr="007018A7">
        <w:fldChar w:fldCharType="separate"/>
      </w:r>
      <w:r w:rsidR="009F3ED8" w:rsidRPr="007018A7">
        <w:t>I.2.2</w:t>
      </w:r>
      <w:r w:rsidRPr="007018A7">
        <w:fldChar w:fldCharType="end"/>
      </w:r>
      <w:r w:rsidRPr="007018A7">
        <w:t xml:space="preserve">). </w:t>
      </w:r>
    </w:p>
    <w:p w14:paraId="1B4A4461" w14:textId="77777777" w:rsidR="00D641C9" w:rsidRPr="007018A7" w:rsidRDefault="00D641C9" w:rsidP="00460C69">
      <w:r w:rsidRPr="007018A7">
        <w:t xml:space="preserve">Unemployment rates in 2016 have been revised downwards by -1.3 pps. in the EU as a whole, reflecting improving labour markets in a number of Member States, in particular in Bulgaria, Croatia, Cyprus, Spain, Portugal, Hungary, Poland and Slovakia. Given that unemployment rates in underperforming labour markets are capped at 7.9% (slightly higher than in the 2015 Ageing Report), the unemployment rate for the EU as a whole in 2060 is almost unchanged (0.1 pps. lower in the 2018 exercise). </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D641C9" w:rsidRPr="007018A7" w14:paraId="7EA33530" w14:textId="77777777" w:rsidTr="00460C69">
        <w:trPr>
          <w:cantSplit/>
        </w:trPr>
        <w:tc>
          <w:tcPr>
            <w:tcW w:w="8505" w:type="dxa"/>
            <w:shd w:val="clear" w:color="auto" w:fill="auto"/>
          </w:tcPr>
          <w:p w14:paraId="0B2DFF2E" w14:textId="77777777" w:rsidR="00D641C9" w:rsidRPr="007018A7" w:rsidRDefault="00D641C9" w:rsidP="00460C69">
            <w:pPr>
              <w:pStyle w:val="GraphTitle"/>
              <w:rPr>
                <w:b/>
              </w:rPr>
            </w:pPr>
            <w:r w:rsidRPr="007018A7">
              <w:t>Graph I.2.15:</w:t>
            </w:r>
            <w:r w:rsidRPr="007018A7">
              <w:rPr>
                <w:b/>
              </w:rPr>
              <w:tab/>
              <w:t>Average annual potential GDP growth rates under baseline and TFP risk scenarios, 2013-2070 (%)</w:t>
            </w:r>
          </w:p>
        </w:tc>
      </w:tr>
      <w:tr w:rsidR="00D641C9" w:rsidRPr="007018A7" w14:paraId="697F5E75" w14:textId="77777777" w:rsidTr="00460C69">
        <w:trPr>
          <w:cantSplit/>
        </w:trPr>
        <w:tc>
          <w:tcPr>
            <w:tcW w:w="8505" w:type="dxa"/>
            <w:shd w:val="clear" w:color="auto" w:fill="auto"/>
          </w:tcPr>
          <w:p w14:paraId="563C7C74" w14:textId="77777777" w:rsidR="00D641C9" w:rsidRPr="007018A7" w:rsidRDefault="00D641C9" w:rsidP="00460C69">
            <w:pPr>
              <w:pStyle w:val="GraphShape"/>
              <w:rPr>
                <w:sz w:val="2"/>
              </w:rPr>
            </w:pPr>
            <w:r>
              <w:rPr>
                <w:noProof/>
                <w:sz w:val="2"/>
                <w:lang w:val="hr-HR" w:eastAsia="hr-HR"/>
              </w:rPr>
              <w:drawing>
                <wp:inline distT="0" distB="0" distL="0" distR="0" wp14:anchorId="196DDA1B" wp14:editId="2654EFB6">
                  <wp:extent cx="5400929" cy="2557799"/>
                  <wp:effectExtent l="0" t="0" r="9525" b="0"/>
                  <wp:docPr id="804" name="Picture 804" descr="&lt;nbr&gt;&lt;GETTEXTFROMWORD&gt;&lt;/nbr&gt;&#10;&lt;title&gt;&lt;GETTEXTFROMWORD&gt;&lt;/title&gt;&#10;&lt;id&gt;3ae3c36c-dd20-4a7c-9662-72c84a7c7e01&lt;/id&gt;&#10;&lt;srcType&gt;EXCEL&lt;/srcType&gt;&#10;&lt;srcPath&gt;U:\Budgetary projections 2018\Reports\2018 AR\Tables_and_graphs\Part I Chapter 2\&lt;/srcPath&gt;&#10;&lt;srcName&gt;Graphs.xlsx&lt;/srcName&gt;&#10;&lt;type&gt;graph&lt;/type&gt;&#10; &lt;srcSheet&gt;Graph I.2.18&lt;/srcSheet&gt;&#10; &lt;srcChartTitle&gt;Chart 1&lt;/srcChartTitle&gt;&#10;&lt;pos&gt;top&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2:49: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00929" cy="2557799"/>
                          </a:xfrm>
                          <a:prstGeom prst="rect">
                            <a:avLst/>
                          </a:prstGeom>
                          <a:noFill/>
                          <a:ln>
                            <a:noFill/>
                          </a:ln>
                        </pic:spPr>
                      </pic:pic>
                    </a:graphicData>
                  </a:graphic>
                </wp:inline>
              </w:drawing>
            </w:r>
          </w:p>
        </w:tc>
      </w:tr>
      <w:tr w:rsidR="00D641C9" w:rsidRPr="007018A7" w14:paraId="78B17725" w14:textId="77777777" w:rsidTr="00460C69">
        <w:trPr>
          <w:cantSplit/>
        </w:trPr>
        <w:tc>
          <w:tcPr>
            <w:tcW w:w="8505" w:type="dxa"/>
            <w:shd w:val="clear" w:color="auto" w:fill="auto"/>
          </w:tcPr>
          <w:p w14:paraId="5657930E" w14:textId="77777777" w:rsidR="00D641C9" w:rsidRPr="007018A7" w:rsidRDefault="00D641C9" w:rsidP="00460C69">
            <w:pPr>
              <w:pStyle w:val="GraphSource"/>
              <w:keepNext/>
            </w:pPr>
            <w:r w:rsidRPr="007018A7">
              <w:rPr>
                <w:b/>
                <w:i/>
              </w:rPr>
              <w:t>Source:</w:t>
            </w:r>
            <w:r w:rsidRPr="007018A7">
              <w:t xml:space="preserve"> Commission services, EPC.</w:t>
            </w:r>
          </w:p>
        </w:tc>
      </w:tr>
    </w:tbl>
    <w:p w14:paraId="4B34B855" w14:textId="77777777" w:rsidR="00D641C9" w:rsidRPr="007018A7" w:rsidRDefault="00D641C9" w:rsidP="00460C69">
      <w:pPr>
        <w:pStyle w:val="NumberedHeading2"/>
        <w:tabs>
          <w:tab w:val="left" w:pos="567"/>
        </w:tabs>
      </w:pPr>
      <w:r w:rsidRPr="007018A7">
        <w:t>2.4.2.</w:t>
      </w:r>
      <w:r w:rsidRPr="007018A7">
        <w:tab/>
        <w:t>Labour productivity and GDP developments</w:t>
      </w:r>
    </w:p>
    <w:p w14:paraId="40907251" w14:textId="77777777" w:rsidR="00D641C9" w:rsidRPr="007018A7" w:rsidRDefault="00D641C9" w:rsidP="00460C69">
      <w:pPr>
        <w:rPr>
          <w:b/>
          <w:i/>
        </w:rPr>
      </w:pPr>
      <w:r w:rsidRPr="007018A7">
        <w:rPr>
          <w:b/>
          <w:i/>
        </w:rPr>
        <w:t>Potential GDP growth is slightly lower in the current projection exercise compared with the 2015 AR, mainly influenced by lower productivity growth up to 2035.</w:t>
      </w:r>
    </w:p>
    <w:p w14:paraId="007E5450" w14:textId="77777777" w:rsidR="00D641C9" w:rsidRPr="007018A7" w:rsidRDefault="00D641C9" w:rsidP="00460C69">
      <w:r w:rsidRPr="007018A7">
        <w:t xml:space="preserve">The 2018 Ageing Report brings about marginal changes regarding potential GDP growth and its drivers in the EU as a whole (Table </w:t>
      </w:r>
      <w:r w:rsidRPr="007018A7">
        <w:fldChar w:fldCharType="begin"/>
      </w:r>
      <w:r w:rsidRPr="007018A7">
        <w:instrText xml:space="preserve"> QUOTE "I.2.3"</w:instrText>
      </w:r>
      <w:r w:rsidRPr="007018A7">
        <w:fldChar w:fldCharType="begin">
          <w:fldData xml:space="preserve">QwBSAE8AUwBTAFIARQBGAEUAUgBFAE4AQwBFACoAVABBAEIATABFACoAOQA3ADQANQBiADIAMgA2
AC0ANgBjADMAZgAtADQAZAAxADEALQBiADAANwA4AC0AYQBjADcAMQAxAGQAOQBmADQAZQA5ADYA
</w:fldData>
        </w:fldChar>
      </w:r>
      <w:r w:rsidRPr="007018A7">
        <w:instrText xml:space="preserve"> ADDIN </w:instrText>
      </w:r>
      <w:r w:rsidRPr="007018A7">
        <w:fldChar w:fldCharType="end"/>
      </w:r>
      <w:r w:rsidRPr="007018A7">
        <w:instrText xml:space="preserve"> </w:instrText>
      </w:r>
      <w:r w:rsidRPr="007018A7">
        <w:fldChar w:fldCharType="separate"/>
      </w:r>
      <w:r w:rsidR="009F3ED8" w:rsidRPr="007018A7">
        <w:t>I.2.3</w:t>
      </w:r>
      <w:r w:rsidRPr="007018A7">
        <w:fldChar w:fldCharType="end"/>
      </w:r>
      <w:r w:rsidRPr="007018A7">
        <w:t>).</w:t>
      </w:r>
    </w:p>
    <w:p w14:paraId="09752E19" w14:textId="77777777" w:rsidR="00D641C9" w:rsidRPr="007018A7" w:rsidRDefault="00D641C9" w:rsidP="00460C69">
      <w:r w:rsidRPr="007018A7">
        <w:t xml:space="preserve">Potential GDP is projected to rise on an annual average growth rate of 1.4% in the EU in the period 2016-2060, -0.1 pps. lower than the 2015 exercise (see also Graph </w:t>
      </w:r>
      <w:r w:rsidRPr="007018A7">
        <w:fldChar w:fldCharType="begin"/>
      </w:r>
      <w:r w:rsidRPr="007018A7">
        <w:instrText xml:space="preserve"> QUOTE "I.2.16"</w:instrText>
      </w:r>
      <w:r w:rsidRPr="007018A7">
        <w:fldChar w:fldCharType="begin">
          <w:fldData xml:space="preserve">QwBSAE8AUwBTAFIARQBGAEUAUgBFAE4AQwBFACoARwBSAEEAUABIACoAMwBiADUAYgA5ADUANABh
AC0AMQBkADUANQAtADQAOABkAGEALQA4AGIAMAA1AC0AYgA3AGQAYgBkAGYAZgBkADAANgA0ADEA
</w:fldData>
        </w:fldChar>
      </w:r>
      <w:r w:rsidRPr="007018A7">
        <w:instrText xml:space="preserve"> ADDIN </w:instrText>
      </w:r>
      <w:r w:rsidRPr="007018A7">
        <w:fldChar w:fldCharType="end"/>
      </w:r>
      <w:r w:rsidRPr="007018A7">
        <w:instrText xml:space="preserve"> </w:instrText>
      </w:r>
      <w:r w:rsidRPr="007018A7">
        <w:fldChar w:fldCharType="separate"/>
      </w:r>
      <w:r w:rsidR="009F3ED8" w:rsidRPr="007018A7">
        <w:t>I.2.16</w:t>
      </w:r>
      <w:r w:rsidRPr="007018A7">
        <w:fldChar w:fldCharType="end"/>
      </w:r>
      <w:r w:rsidRPr="007018A7">
        <w:t xml:space="preserve">). The potential GDP growth rate in the euro area is expected to be 1.3%, again -0.1 pps. lower compared with the 2015 Ageing Report. In the EU, this reduction results from a decline in productivity per hour worked (-0.1 pps.) that is not offset by higher labour input. </w:t>
      </w:r>
    </w:p>
    <w:p w14:paraId="6F762EED" w14:textId="77777777" w:rsidR="00D641C9" w:rsidRPr="007018A7" w:rsidRDefault="00D641C9" w:rsidP="00460C69">
      <w:r w:rsidRPr="007018A7">
        <w:t>The following countries are projected to see a decline in their average annual potential GDP growth rate of 0.2 pps. or more in the period 2016-2060: Belgium, Czech Republic, Denmark, Greece, Spain, Croatia, Italy, Cyprus, Luxembourg, Finland and Norway. By contrast, Germany, Ireland, Latvia, Malta, Romania and Slovakia are projected to see an improvement of 0.2 pps. or more in their average annual potential GDP growth rate in the period 2016-2060.</w:t>
      </w:r>
    </w:p>
    <w:tbl>
      <w:tblPr>
        <w:tblW w:w="0" w:type="auto"/>
        <w:tblLayout w:type="fixed"/>
        <w:tblCellMar>
          <w:left w:w="0" w:type="dxa"/>
          <w:right w:w="0" w:type="dxa"/>
        </w:tblCellMar>
        <w:tblLook w:val="0000" w:firstRow="0" w:lastRow="0" w:firstColumn="0" w:lastColumn="0" w:noHBand="0" w:noVBand="0"/>
      </w:tblPr>
      <w:tblGrid>
        <w:gridCol w:w="4110"/>
      </w:tblGrid>
      <w:tr w:rsidR="00D641C9" w:rsidRPr="007018A7" w14:paraId="42575D1E" w14:textId="77777777" w:rsidTr="00460C69">
        <w:trPr>
          <w:cantSplit/>
        </w:trPr>
        <w:tc>
          <w:tcPr>
            <w:tcW w:w="4110" w:type="dxa"/>
            <w:shd w:val="clear" w:color="auto" w:fill="auto"/>
          </w:tcPr>
          <w:p w14:paraId="23F32822" w14:textId="77777777" w:rsidR="00D641C9" w:rsidRPr="007018A7" w:rsidRDefault="00D641C9" w:rsidP="00460C69">
            <w:pPr>
              <w:pStyle w:val="GraphTitle"/>
              <w:rPr>
                <w:b/>
              </w:rPr>
            </w:pPr>
            <w:r w:rsidRPr="007018A7">
              <w:t>Graph I.2.16:</w:t>
            </w:r>
            <w:r w:rsidRPr="007018A7">
              <w:rPr>
                <w:b/>
              </w:rPr>
              <w:tab/>
              <w:t>Annual GDP growth rates 2016-2060 in the 2018 and 2015 baseline scenario projections - period average (%)</w:t>
            </w:r>
          </w:p>
        </w:tc>
      </w:tr>
      <w:tr w:rsidR="00D641C9" w:rsidRPr="007018A7" w14:paraId="7E902CC4" w14:textId="77777777" w:rsidTr="00460C69">
        <w:trPr>
          <w:cantSplit/>
        </w:trPr>
        <w:tc>
          <w:tcPr>
            <w:tcW w:w="4110" w:type="dxa"/>
            <w:shd w:val="clear" w:color="auto" w:fill="auto"/>
          </w:tcPr>
          <w:p w14:paraId="2C9C2DA7" w14:textId="77777777" w:rsidR="00D641C9" w:rsidRPr="007018A7" w:rsidRDefault="00D641C9" w:rsidP="00460C69">
            <w:pPr>
              <w:pStyle w:val="GraphShape"/>
              <w:rPr>
                <w:sz w:val="2"/>
              </w:rPr>
            </w:pPr>
            <w:r w:rsidRPr="007018A7">
              <w:fldChar w:fldCharType="begin"/>
            </w:r>
            <w:r w:rsidRPr="009F3ED8">
              <w:instrText xml:space="preserve"> TC "</w:instrText>
            </w:r>
            <w:bookmarkStart w:id="81" w:name="_Toc511664647"/>
            <w:r w:rsidRPr="009F3ED8">
              <w:instrText>I.2.16.</w:instrText>
            </w:r>
            <w:r w:rsidRPr="009F3ED8">
              <w:tab/>
              <w:instrText>Annual GDP growth rates 2016-2060 in the 2018 and 2015 baseline scenario projections - period average (%)</w:instrText>
            </w:r>
            <w:bookmarkEnd w:id="81"/>
            <w:r w:rsidRPr="009F3ED8">
              <w:instrText xml:space="preserve">" \fgraph \l 5 </w:instrText>
            </w:r>
            <w:r w:rsidRPr="007018A7">
              <w:fldChar w:fldCharType="end"/>
            </w:r>
            <w:r w:rsidRPr="007018A7">
              <w:rPr>
                <w:noProof/>
                <w:sz w:val="2"/>
                <w:lang w:val="hr-HR" w:eastAsia="hr-HR"/>
              </w:rPr>
              <w:drawing>
                <wp:inline distT="0" distB="0" distL="0" distR="0" wp14:anchorId="237CF1E9" wp14:editId="0B59347D">
                  <wp:extent cx="2597595" cy="1569802"/>
                  <wp:effectExtent l="0" t="0" r="0" b="0"/>
                  <wp:docPr id="7" name="Picture 7" descr="&lt;nbr&gt;&lt;GETTEXTFROMWORD&gt;&lt;/nbr&gt;&#10;&lt;title&gt;&lt;GETTEXTFROMWORD&gt;&lt;/title&gt;&#10;&lt;id&gt;3b5b954a-1d55-48da-8b05-b7dbdffd0641&lt;/id&gt;&#10;&lt;srcType&gt;EXCEL&lt;/srcType&gt;&#10;&lt;srcPath&gt;U:\Budgetary projections 2018\Reports\2018 AR\Tables_and_graphs\Part I Chapter 2\&lt;/srcPath&gt;&#10;&lt;srcName&gt;Graphs.xlsx&lt;/srcName&gt;&#10;&lt;type&gt;graph&lt;/type&gt;&#10; &lt;srcSheet&gt;Graph 1.2.16 v2&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2:49: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97595" cy="1569802"/>
                          </a:xfrm>
                          <a:prstGeom prst="rect">
                            <a:avLst/>
                          </a:prstGeom>
                          <a:noFill/>
                          <a:ln>
                            <a:noFill/>
                          </a:ln>
                        </pic:spPr>
                      </pic:pic>
                    </a:graphicData>
                  </a:graphic>
                </wp:inline>
              </w:drawing>
            </w:r>
          </w:p>
        </w:tc>
      </w:tr>
      <w:tr w:rsidR="00D641C9" w:rsidRPr="007018A7" w14:paraId="66C25C88" w14:textId="77777777" w:rsidTr="00460C69">
        <w:trPr>
          <w:cantSplit/>
        </w:trPr>
        <w:tc>
          <w:tcPr>
            <w:tcW w:w="4110" w:type="dxa"/>
            <w:shd w:val="clear" w:color="auto" w:fill="auto"/>
            <w:tcMar>
              <w:bottom w:w="240" w:type="dxa"/>
            </w:tcMar>
          </w:tcPr>
          <w:p w14:paraId="7C1257E1" w14:textId="77777777" w:rsidR="00D641C9" w:rsidRPr="007018A7" w:rsidRDefault="00D641C9" w:rsidP="00460C69">
            <w:pPr>
              <w:pStyle w:val="GraphSource"/>
              <w:keepNext/>
            </w:pPr>
            <w:r w:rsidRPr="007018A7">
              <w:rPr>
                <w:b/>
                <w:i/>
              </w:rPr>
              <w:t>Source:</w:t>
            </w:r>
            <w:r w:rsidRPr="007018A7">
              <w:t xml:space="preserve"> Commission services, EPC.</w:t>
            </w:r>
          </w:p>
        </w:tc>
      </w:tr>
    </w:tbl>
    <w:p w14:paraId="4964A8BE" w14:textId="77777777" w:rsidR="00D641C9" w:rsidRPr="007018A7" w:rsidRDefault="00D641C9" w:rsidP="00460C69">
      <w:pPr>
        <w:pStyle w:val="MultipageDelimiter"/>
      </w:pPr>
    </w:p>
    <w:tbl>
      <w:tblPr>
        <w:tblpPr w:horzAnchor="margin" w:tblpYSpec="top"/>
        <w:tblOverlap w:val="never"/>
        <w:tblW w:w="0" w:type="auto"/>
        <w:tblLayout w:type="fixed"/>
        <w:tblCellMar>
          <w:left w:w="0" w:type="dxa"/>
          <w:right w:w="0" w:type="dxa"/>
        </w:tblCellMar>
        <w:tblLook w:val="0000" w:firstRow="0" w:lastRow="0" w:firstColumn="0" w:lastColumn="0" w:noHBand="0" w:noVBand="0"/>
      </w:tblPr>
      <w:tblGrid>
        <w:gridCol w:w="20"/>
        <w:gridCol w:w="273"/>
        <w:gridCol w:w="7555"/>
        <w:gridCol w:w="273"/>
        <w:gridCol w:w="398"/>
      </w:tblGrid>
      <w:tr w:rsidR="00D641C9" w:rsidRPr="007018A7" w14:paraId="53E7706F" w14:textId="77777777" w:rsidTr="00460C69">
        <w:trPr>
          <w:cantSplit/>
          <w:trHeight w:val="12632"/>
        </w:trPr>
        <w:tc>
          <w:tcPr>
            <w:tcW w:w="6" w:type="dxa"/>
            <w:shd w:val="clear" w:color="auto" w:fill="auto"/>
            <w:textDirection w:val="btLr"/>
          </w:tcPr>
          <w:p w14:paraId="35AA6AF9" w14:textId="77777777" w:rsidR="00D641C9" w:rsidRPr="007018A7" w:rsidRDefault="00D641C9" w:rsidP="00460C69">
            <w:pPr>
              <w:pStyle w:val="SlimCell"/>
            </w:pPr>
            <w:r w:rsidRPr="007018A7">
              <w:lastRenderedPageBreak/>
              <w:fldChar w:fldCharType="begin"/>
            </w:r>
            <w:r w:rsidRPr="009F3ED8">
              <w:instrText xml:space="preserve"> TC "</w:instrText>
            </w:r>
            <w:bookmarkStart w:id="82" w:name="_Toc511664516"/>
            <w:r w:rsidRPr="009F3ED8">
              <w:instrText>I.2.2.</w:instrText>
            </w:r>
            <w:r w:rsidRPr="009F3ED8">
              <w:tab/>
              <w:instrText>Long-term projections compared (2015 and 2018 projections): labour force developments</w:instrText>
            </w:r>
            <w:bookmarkEnd w:id="82"/>
            <w:r w:rsidRPr="009F3ED8">
              <w:instrText xml:space="preserve">" \ftable \l 5 </w:instrText>
            </w:r>
            <w:r w:rsidRPr="007018A7">
              <w:fldChar w:fldCharType="end"/>
            </w:r>
          </w:p>
        </w:tc>
        <w:tc>
          <w:tcPr>
            <w:tcW w:w="273" w:type="dxa"/>
            <w:shd w:val="clear" w:color="auto" w:fill="auto"/>
            <w:textDirection w:val="btLr"/>
          </w:tcPr>
          <w:p w14:paraId="65D6A626" w14:textId="77777777" w:rsidR="00D641C9" w:rsidRPr="007018A7" w:rsidRDefault="00D641C9" w:rsidP="00460C69">
            <w:pPr>
              <w:pStyle w:val="TableTitle"/>
              <w:rPr>
                <w:b/>
              </w:rPr>
            </w:pPr>
            <w:r w:rsidRPr="007018A7">
              <w:t>Table I.2.2:</w:t>
            </w:r>
            <w:r w:rsidRPr="007018A7">
              <w:rPr>
                <w:b/>
              </w:rPr>
              <w:tab/>
              <w:t>Long-term projections compared (2015 and 2018 projections): labour force developments</w:t>
            </w:r>
          </w:p>
        </w:tc>
        <w:tc>
          <w:tcPr>
            <w:tcW w:w="7555" w:type="dxa"/>
            <w:shd w:val="clear" w:color="auto" w:fill="auto"/>
            <w:textDirection w:val="btLr"/>
          </w:tcPr>
          <w:p w14:paraId="76B0FBE2" w14:textId="77777777" w:rsidR="00D641C9" w:rsidRPr="007018A7" w:rsidRDefault="00D641C9" w:rsidP="00460C69">
            <w:pPr>
              <w:pStyle w:val="TableShape"/>
              <w:jc w:val="right"/>
              <w:rPr>
                <w:sz w:val="2"/>
              </w:rPr>
            </w:pPr>
            <w:r>
              <w:rPr>
                <w:noProof/>
                <w:sz w:val="2"/>
                <w:lang w:val="hr-HR" w:eastAsia="hr-HR"/>
              </w:rPr>
              <w:drawing>
                <wp:inline distT="0" distB="0" distL="0" distR="0" wp14:anchorId="783F65C4" wp14:editId="332FFF8C">
                  <wp:extent cx="7985515" cy="4793957"/>
                  <wp:effectExtent l="0" t="4445" r="0" b="0"/>
                  <wp:docPr id="805" name="Picture 805" descr="&lt;nbr&gt;&lt;GETTEXTFROMWORD&gt;&lt;/nbr&gt;&#10;&lt;title&gt;&lt;GETTEXTFROMWORD&gt;&lt;/title&gt;&#10;&lt;id&gt;ee7dedb7-a8f9-4b4b-babf-98931dbcafb3&lt;/id&gt;&#10;&lt;srcType&gt;EXCEL&lt;/srcType&gt;&#10;&lt;srcPath&gt;U:\Budgetary projections 2018\Reports\2018 AR\Tables_and_graphs\Part I Chapter 2\&lt;/srcPath&gt;&#10;&lt;srcName&gt;Graphs.xlsx&lt;/srcName&gt;&#10;&lt;type&gt;table&lt;/type&gt;&#10; &lt;srcSheet&gt;Table I.2.3&lt;/srcSheet&gt;&#10; &lt;srcRange&gt;R2C2:R37C34&lt;/srcRange&gt;&#10;&lt;pos&gt;landscape&lt;/pos&gt;&#10;&lt;numbering&gt;internal&lt;/numbering&gt;&#10;&lt;manNumb&gt;no&lt;/manNumb&gt;&#10; &lt;insFtn&gt;no&lt;/insFtn&gt;&#10; &lt;insSrc&gt;yes&lt;/insSrc&gt;&#10; &lt;shpSrc&gt;&lt;GETTEXTFROMWORD&gt;&lt;/shpSrc&gt;&#10;&lt;multi&gt;no&lt;/multi&gt;&#10;&lt;statAnn&gt;no&lt;/statAnn&gt;&#10;&lt;float&gt;yes&lt;/float&gt;&#10;&lt;bottomShapePageNumber&gt;-1&lt;/bottomShapePageNumber&gt;&#10;&lt;version&gt;2&lt;/version&gt;&#10;&lt;scrFileTime&gt;2018-04-13T12:49: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6200000">
                            <a:off x="0" y="0"/>
                            <a:ext cx="7985515" cy="4793957"/>
                          </a:xfrm>
                          <a:prstGeom prst="rect">
                            <a:avLst/>
                          </a:prstGeom>
                          <a:noFill/>
                          <a:ln>
                            <a:noFill/>
                          </a:ln>
                        </pic:spPr>
                      </pic:pic>
                    </a:graphicData>
                  </a:graphic>
                </wp:inline>
              </w:drawing>
            </w:r>
          </w:p>
        </w:tc>
        <w:tc>
          <w:tcPr>
            <w:tcW w:w="273" w:type="dxa"/>
            <w:shd w:val="clear" w:color="auto" w:fill="auto"/>
            <w:textDirection w:val="btLr"/>
          </w:tcPr>
          <w:p w14:paraId="7EBC0582" w14:textId="77777777" w:rsidR="00D641C9" w:rsidRPr="007018A7" w:rsidRDefault="00D641C9" w:rsidP="00460C69">
            <w:pPr>
              <w:pStyle w:val="TableSource"/>
            </w:pPr>
            <w:r w:rsidRPr="007018A7">
              <w:rPr>
                <w:b/>
                <w:i/>
              </w:rPr>
              <w:t>Source:</w:t>
            </w:r>
            <w:r w:rsidRPr="007018A7">
              <w:t xml:space="preserve"> Commission services, EPC.</w:t>
            </w:r>
          </w:p>
        </w:tc>
        <w:tc>
          <w:tcPr>
            <w:tcW w:w="398" w:type="dxa"/>
            <w:shd w:val="clear" w:color="auto" w:fill="auto"/>
            <w:textDirection w:val="btLr"/>
          </w:tcPr>
          <w:p w14:paraId="0E2C4889" w14:textId="77777777" w:rsidR="00D641C9" w:rsidRPr="007018A7" w:rsidRDefault="00D641C9" w:rsidP="00460C69">
            <w:pPr>
              <w:pStyle w:val="SlimCell"/>
            </w:pPr>
          </w:p>
        </w:tc>
      </w:tr>
    </w:tbl>
    <w:p w14:paraId="70D122CB" w14:textId="77777777" w:rsidR="00D641C9" w:rsidRPr="007018A7" w:rsidRDefault="00D641C9" w:rsidP="00460C69">
      <w:r w:rsidRPr="007018A7">
        <w:lastRenderedPageBreak/>
        <w:br w:type="page"/>
      </w:r>
      <w:r w:rsidRPr="007018A7">
        <w:fldChar w:fldCharType="begin"/>
      </w:r>
      <w:r w:rsidRPr="009F3ED8">
        <w:instrText xml:space="preserve"> TC "</w:instrText>
      </w:r>
      <w:bookmarkStart w:id="83" w:name="_Toc511664517"/>
      <w:r w:rsidRPr="009F3ED8">
        <w:instrText>I.2.3.</w:instrText>
      </w:r>
      <w:r w:rsidRPr="009F3ED8">
        <w:tab/>
        <w:instrText>Long-term projections compared (2015 and 2018): potential GDP growth and its determinants</w:instrText>
      </w:r>
      <w:bookmarkEnd w:id="83"/>
      <w:r w:rsidRPr="009F3ED8">
        <w:instrText xml:space="preserve">" \ftable \l 5 </w:instrText>
      </w:r>
      <w:r w:rsidRPr="007018A7">
        <w:fldChar w:fldCharType="end"/>
      </w:r>
    </w:p>
    <w:tbl>
      <w:tblPr>
        <w:tblpPr w:horzAnchor="margin" w:tblpYSpec="top"/>
        <w:tblOverlap w:val="never"/>
        <w:tblW w:w="0" w:type="auto"/>
        <w:tblLayout w:type="fixed"/>
        <w:tblCellMar>
          <w:left w:w="0" w:type="dxa"/>
          <w:right w:w="0" w:type="dxa"/>
        </w:tblCellMar>
        <w:tblLook w:val="0000" w:firstRow="0" w:lastRow="0" w:firstColumn="0" w:lastColumn="0" w:noHBand="0" w:noVBand="0"/>
      </w:tblPr>
      <w:tblGrid>
        <w:gridCol w:w="20"/>
        <w:gridCol w:w="273"/>
        <w:gridCol w:w="7664"/>
        <w:gridCol w:w="273"/>
        <w:gridCol w:w="275"/>
      </w:tblGrid>
      <w:tr w:rsidR="00D641C9" w:rsidRPr="007018A7" w14:paraId="7B737C68" w14:textId="77777777" w:rsidTr="00460C69">
        <w:trPr>
          <w:cantSplit/>
          <w:trHeight w:val="12632"/>
        </w:trPr>
        <w:tc>
          <w:tcPr>
            <w:tcW w:w="6" w:type="dxa"/>
            <w:shd w:val="clear" w:color="auto" w:fill="auto"/>
            <w:textDirection w:val="btLr"/>
          </w:tcPr>
          <w:p w14:paraId="2230C919" w14:textId="77777777" w:rsidR="00D641C9" w:rsidRPr="007018A7" w:rsidRDefault="00D641C9" w:rsidP="00460C69">
            <w:pPr>
              <w:pStyle w:val="SlimCell"/>
            </w:pPr>
          </w:p>
        </w:tc>
        <w:tc>
          <w:tcPr>
            <w:tcW w:w="273" w:type="dxa"/>
            <w:shd w:val="clear" w:color="auto" w:fill="auto"/>
            <w:textDirection w:val="btLr"/>
          </w:tcPr>
          <w:p w14:paraId="449F8798" w14:textId="77777777" w:rsidR="00D641C9" w:rsidRPr="007018A7" w:rsidRDefault="00D641C9" w:rsidP="00460C69">
            <w:pPr>
              <w:pStyle w:val="TableTitle"/>
              <w:rPr>
                <w:b/>
              </w:rPr>
            </w:pPr>
            <w:r w:rsidRPr="007018A7">
              <w:t>Table I.2.3:</w:t>
            </w:r>
            <w:r w:rsidRPr="007018A7">
              <w:rPr>
                <w:b/>
              </w:rPr>
              <w:tab/>
              <w:t>Long-term projections compared (2015 and 2018): potential GDP growth and its determinants</w:t>
            </w:r>
          </w:p>
        </w:tc>
        <w:tc>
          <w:tcPr>
            <w:tcW w:w="7664" w:type="dxa"/>
            <w:shd w:val="clear" w:color="auto" w:fill="auto"/>
            <w:textDirection w:val="btLr"/>
          </w:tcPr>
          <w:p w14:paraId="37219EF2" w14:textId="77777777" w:rsidR="00D641C9" w:rsidRPr="007018A7" w:rsidRDefault="00D641C9" w:rsidP="00460C69">
            <w:pPr>
              <w:pStyle w:val="TableShape"/>
              <w:jc w:val="right"/>
              <w:rPr>
                <w:sz w:val="2"/>
              </w:rPr>
            </w:pPr>
            <w:r>
              <w:rPr>
                <w:noProof/>
                <w:sz w:val="2"/>
                <w:lang w:val="hr-HR" w:eastAsia="hr-HR"/>
              </w:rPr>
              <w:drawing>
                <wp:inline distT="0" distB="0" distL="0" distR="0" wp14:anchorId="536B74B3" wp14:editId="5C68E4DF">
                  <wp:extent cx="7985515" cy="4863124"/>
                  <wp:effectExtent l="0" t="952" r="0" b="0"/>
                  <wp:docPr id="806" name="Picture 806" descr="&lt;nbr&gt;&lt;GETTEXTFROMWORD&gt;&lt;/nbr&gt;&#10;&lt;title&gt;&lt;GETTEXTFROMWORD&gt;&lt;/title&gt;&#10;&lt;id&gt;9745b226-6c3f-4d11-b078-ac711d9f4e96&lt;/id&gt;&#10;&lt;srcType&gt;EXCEL&lt;/srcType&gt;&#10;&lt;srcPath&gt;U:\Budgetary projections 2018\Reports\2018 AR\Tables_and_graphs\Part I Chapter 2\&lt;/srcPath&gt;&#10;&lt;srcName&gt;Graphs.xlsx&lt;/srcName&gt;&#10;&lt;type&gt;table&lt;/type&gt;&#10; &lt;srcSheet&gt;Table I.2.4&lt;/srcSheet&gt;&#10; &lt;srcRange&gt;R2C2:R38C24&lt;/srcRange&gt;&#10;&lt;pos&gt;landscape&lt;/pos&gt;&#10;&lt;numbering&gt;internal&lt;/numbering&gt;&#10;&lt;manNumb&gt;no&lt;/manNumb&gt;&#10; &lt;insFtn&gt;no&lt;/insFtn&gt;&#10; &lt;insSrc&gt;yes&lt;/insSrc&gt;&#10; &lt;shpSrc&gt;&lt;GETTEXTFROMWORD&gt;&lt;/shpSrc&gt;&#10;&lt;multi&gt;no&lt;/multi&gt;&#10;&lt;statAnn&gt;no&lt;/statAnn&gt;&#10;&lt;float&gt;yes&lt;/float&gt;&#10;&lt;bottomShapePageNumber&gt;-1&lt;/bottomShapePageNumber&gt;&#10;&lt;version&gt;2&lt;/version&gt;&#10;&lt;scrFileTime&gt;2018-04-13T12:49: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16200000">
                            <a:off x="0" y="0"/>
                            <a:ext cx="7985515" cy="4863124"/>
                          </a:xfrm>
                          <a:prstGeom prst="rect">
                            <a:avLst/>
                          </a:prstGeom>
                          <a:noFill/>
                          <a:ln>
                            <a:noFill/>
                          </a:ln>
                        </pic:spPr>
                      </pic:pic>
                    </a:graphicData>
                  </a:graphic>
                </wp:inline>
              </w:drawing>
            </w:r>
          </w:p>
        </w:tc>
        <w:tc>
          <w:tcPr>
            <w:tcW w:w="273" w:type="dxa"/>
            <w:shd w:val="clear" w:color="auto" w:fill="auto"/>
            <w:textDirection w:val="btLr"/>
          </w:tcPr>
          <w:p w14:paraId="1FDB83C1" w14:textId="77777777" w:rsidR="00D641C9" w:rsidRPr="007018A7" w:rsidRDefault="00D641C9" w:rsidP="00460C69">
            <w:pPr>
              <w:pStyle w:val="TableSource"/>
            </w:pPr>
            <w:r w:rsidRPr="007018A7">
              <w:rPr>
                <w:b/>
                <w:i/>
              </w:rPr>
              <w:t>Source:</w:t>
            </w:r>
            <w:r w:rsidRPr="007018A7">
              <w:t xml:space="preserve"> Commission services, EPC.</w:t>
            </w:r>
          </w:p>
        </w:tc>
        <w:tc>
          <w:tcPr>
            <w:tcW w:w="275" w:type="dxa"/>
            <w:shd w:val="clear" w:color="auto" w:fill="auto"/>
            <w:textDirection w:val="btLr"/>
          </w:tcPr>
          <w:p w14:paraId="435A54C9" w14:textId="77777777" w:rsidR="00D641C9" w:rsidRPr="007018A7" w:rsidRDefault="00D641C9" w:rsidP="00460C69">
            <w:pPr>
              <w:pStyle w:val="SlimCell"/>
            </w:pPr>
          </w:p>
        </w:tc>
      </w:tr>
      <w:bookmarkEnd w:id="59"/>
    </w:tbl>
    <w:p w14:paraId="1878965F" w14:textId="77777777" w:rsidR="00D641C9" w:rsidRPr="00D641C9" w:rsidRDefault="00D641C9" w:rsidP="00460C69">
      <w:pPr>
        <w:sectPr w:rsidR="00D641C9" w:rsidRPr="00D641C9" w:rsidSect="00D641C9">
          <w:headerReference w:type="even" r:id="rId91"/>
          <w:headerReference w:type="default" r:id="rId92"/>
          <w:footerReference w:type="even" r:id="rId93"/>
          <w:footerReference w:type="default" r:id="rId94"/>
          <w:headerReference w:type="first" r:id="rId95"/>
          <w:footerReference w:type="first" r:id="rId96"/>
          <w:endnotePr>
            <w:numFmt w:val="decimal"/>
            <w:numRestart w:val="eachSect"/>
          </w:endnotePr>
          <w:pgSz w:w="11907" w:h="16839"/>
          <w:pgMar w:top="2693" w:right="1701" w:bottom="1417" w:left="1701" w:header="709" w:footer="1191" w:gutter="0"/>
          <w:cols w:num="2" w:space="283"/>
          <w:titlePg/>
          <w:docGrid w:linePitch="360"/>
        </w:sectPr>
      </w:pPr>
    </w:p>
    <w:bookmarkStart w:id="84" w:name="GUID0B5816012BF742CE81687BD61D271BF7"/>
    <w:p w14:paraId="652D8643" w14:textId="77777777" w:rsidR="00E7609F" w:rsidRPr="009F3ED8" w:rsidRDefault="00E7609F" w:rsidP="00460C69">
      <w:pPr>
        <w:pStyle w:val="EPKitTCFrame"/>
      </w:pPr>
      <w:r w:rsidRPr="009F3ED8">
        <w:lastRenderedPageBreak/>
        <w:fldChar w:fldCharType="begin"/>
      </w:r>
      <w:r w:rsidRPr="009F3ED8">
        <w:rPr>
          <w:vanish w:val="0"/>
        </w:rPr>
        <w:instrText xml:space="preserve"> TC "</w:instrText>
      </w:r>
      <w:bookmarkStart w:id="85" w:name="_Toc511664419"/>
      <w:r w:rsidRPr="009F3ED8">
        <w:rPr>
          <w:vanish w:val="0"/>
        </w:rPr>
        <w:instrText>3.</w:instrText>
      </w:r>
      <w:r w:rsidRPr="009F3ED8">
        <w:rPr>
          <w:vanish w:val="0"/>
        </w:rPr>
        <w:tab/>
        <w:instrText>Sensitivity tests</w:instrText>
      </w:r>
      <w:bookmarkEnd w:id="85"/>
      <w:r w:rsidRPr="009F3ED8">
        <w:rPr>
          <w:vanish w:val="0"/>
        </w:rPr>
        <w:instrText xml:space="preserve">" \f \l 2 </w:instrText>
      </w:r>
      <w:r w:rsidRPr="009F3ED8">
        <w:fldChar w:fldCharType="end"/>
      </w:r>
    </w:p>
    <w:p w14:paraId="1E84AAAF" w14:textId="77777777" w:rsidR="00E7609F" w:rsidRPr="00425E1F" w:rsidRDefault="00E7609F" w:rsidP="00460C69">
      <w:pPr>
        <w:pStyle w:val="NumberedHeading1"/>
        <w:tabs>
          <w:tab w:val="left" w:pos="567"/>
        </w:tabs>
      </w:pPr>
      <w:bookmarkStart w:id="86" w:name="_Toc511664420"/>
      <w:r w:rsidRPr="00425E1F">
        <w:t>3.1.</w:t>
      </w:r>
      <w:r w:rsidRPr="00425E1F">
        <w:tab/>
        <w:t>Overview of the sensitivity tests and alternative scenarios</w:t>
      </w:r>
      <w:bookmarkEnd w:id="86"/>
    </w:p>
    <w:p w14:paraId="6294B617" w14:textId="77777777" w:rsidR="00E7609F" w:rsidRPr="00425E1F" w:rsidRDefault="00E7609F" w:rsidP="00460C69">
      <w:pPr>
        <w:rPr>
          <w:b/>
          <w:i/>
        </w:rPr>
      </w:pPr>
      <w:r w:rsidRPr="00425E1F">
        <w:rPr>
          <w:b/>
          <w:i/>
        </w:rPr>
        <w:t>The baseline projections provide an illustration of how population ageing can influence economic and budgetary developments over the long term. However, given the inherent uncertainty of the assumptions underpinning any long-run projections, it is essential to carry out a number of sensitivity tests so as to quantify the responsiveness of projection results to changes in key underlying assumptions.</w:t>
      </w:r>
    </w:p>
    <w:p w14:paraId="7E1A8B3C" w14:textId="77777777" w:rsidR="00E7609F" w:rsidRPr="00425E1F" w:rsidRDefault="00E7609F" w:rsidP="00460C69">
      <w:r w:rsidRPr="00425E1F">
        <w:t xml:space="preserve">In order to assess the impact of varying the assumptions for the macroeconomic and budgetary variables, an additional set of sensitivity scenarios and one policy scenario are considered in addition to the baseline scenario projections agreed by the AWG. Sensitivity tests are an indispensable element of long-term projections to quantify the responsiveness of age-related expenditure projection results to changes in key drivers, such as macroeconomic and population variables, together with policy assumptions. This section </w:t>
      </w:r>
      <w:r w:rsidRPr="00425E1F">
        <w:lastRenderedPageBreak/>
        <w:t xml:space="preserve">describes the impact of the sensitivity scenarios on potential GDP growth. The impact on age-related expenditure is described in Part II of this report. </w:t>
      </w:r>
    </w:p>
    <w:tbl>
      <w:tblPr>
        <w:tblpPr w:horzAnchor="margin" w:tblpYSpec="bottom"/>
        <w:tblOverlap w:val="never"/>
        <w:tblW w:w="0" w:type="auto"/>
        <w:tblLayout w:type="fixed"/>
        <w:tblCellMar>
          <w:left w:w="0" w:type="dxa"/>
          <w:right w:w="0" w:type="dxa"/>
        </w:tblCellMar>
        <w:tblLook w:val="0000" w:firstRow="0" w:lastRow="0" w:firstColumn="0" w:lastColumn="0" w:noHBand="0" w:noVBand="0"/>
      </w:tblPr>
      <w:tblGrid>
        <w:gridCol w:w="8505"/>
      </w:tblGrid>
      <w:tr w:rsidR="00E7609F" w:rsidRPr="00425E1F" w14:paraId="059341FE" w14:textId="77777777" w:rsidTr="00460C69">
        <w:trPr>
          <w:cantSplit/>
          <w:trHeight w:val="20"/>
        </w:trPr>
        <w:tc>
          <w:tcPr>
            <w:tcW w:w="8505" w:type="dxa"/>
            <w:shd w:val="clear" w:color="auto" w:fill="auto"/>
          </w:tcPr>
          <w:p w14:paraId="5B5C78CD" w14:textId="77777777" w:rsidR="00E7609F" w:rsidRPr="00425E1F" w:rsidRDefault="00E7609F" w:rsidP="00460C69">
            <w:pPr>
              <w:pStyle w:val="SlimCell"/>
              <w:keepNext/>
            </w:pPr>
          </w:p>
        </w:tc>
      </w:tr>
      <w:tr w:rsidR="00E7609F" w:rsidRPr="00425E1F" w14:paraId="1D388B23" w14:textId="77777777" w:rsidTr="00460C69">
        <w:trPr>
          <w:cantSplit/>
        </w:trPr>
        <w:tc>
          <w:tcPr>
            <w:tcW w:w="8505" w:type="dxa"/>
            <w:shd w:val="clear" w:color="auto" w:fill="auto"/>
          </w:tcPr>
          <w:p w14:paraId="7D5767DD" w14:textId="77777777" w:rsidR="00E7609F" w:rsidRPr="00425E1F" w:rsidRDefault="00E7609F" w:rsidP="00460C69">
            <w:pPr>
              <w:pStyle w:val="TableTitle"/>
              <w:rPr>
                <w:b/>
              </w:rPr>
            </w:pPr>
            <w:r w:rsidRPr="00425E1F">
              <w:t>Table I.3.1:</w:t>
            </w:r>
            <w:r w:rsidRPr="00425E1F">
              <w:rPr>
                <w:b/>
              </w:rPr>
              <w:tab/>
              <w:t>Overview of sensitivity tests and policy scenario</w:t>
            </w:r>
          </w:p>
        </w:tc>
      </w:tr>
      <w:tr w:rsidR="00E7609F" w:rsidRPr="00425E1F" w14:paraId="040CC27D" w14:textId="77777777" w:rsidTr="00460C69">
        <w:trPr>
          <w:cantSplit/>
        </w:trPr>
        <w:tc>
          <w:tcPr>
            <w:tcW w:w="8505" w:type="dxa"/>
            <w:shd w:val="clear" w:color="auto" w:fill="auto"/>
          </w:tcPr>
          <w:p w14:paraId="1D3E8F50" w14:textId="77777777" w:rsidR="00E7609F" w:rsidRPr="00425E1F" w:rsidRDefault="00E7609F" w:rsidP="00460C69">
            <w:pPr>
              <w:pStyle w:val="TableShape"/>
              <w:rPr>
                <w:sz w:val="2"/>
              </w:rPr>
            </w:pPr>
            <w:r>
              <w:rPr>
                <w:noProof/>
                <w:sz w:val="2"/>
                <w:lang w:val="hr-HR" w:eastAsia="hr-HR"/>
              </w:rPr>
              <w:drawing>
                <wp:inline distT="0" distB="0" distL="0" distR="0" wp14:anchorId="3F2123CA" wp14:editId="7566E1FC">
                  <wp:extent cx="5400929" cy="3469076"/>
                  <wp:effectExtent l="0" t="0" r="9525" b="0"/>
                  <wp:docPr id="467" name="Picture 467" descr="&lt;nbr&gt;&lt;GETTEXTFROMWORD&gt;&lt;/nbr&gt;&#10;&lt;title&gt;&lt;GETTEXTFROMWORD&gt;&lt;/title&gt;&#10;&lt;id&gt;ae25c2ce-da7f-441e-8e3b-876685b6d8a4&lt;/id&gt;&#10;&lt;srcType&gt;EXCEL&lt;/srcType&gt;&#10;&lt;srcPath&gt;U:\Budgetary projections 2018\Reports\2018 AR\Tables_and_graphs\Part I Chapter 3\&lt;/srcPath&gt;&#10;&lt;srcName&gt;Joao - Tables &amp; charts - CHAP 1.xlsx&lt;/srcName&gt;&#10;&lt;type&gt;table&lt;/type&gt;&#10; &lt;srcSheet&gt;Table 7&lt;/srcSheet&gt;&#10; &lt;srcRange&gt;R2C2:R6C9&lt;/srcRange&gt;&#10;&lt;pos&gt;bottom_maintext&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3-23T10:08:21&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00929" cy="3469076"/>
                          </a:xfrm>
                          <a:prstGeom prst="rect">
                            <a:avLst/>
                          </a:prstGeom>
                          <a:noFill/>
                          <a:ln>
                            <a:noFill/>
                          </a:ln>
                        </pic:spPr>
                      </pic:pic>
                    </a:graphicData>
                  </a:graphic>
                </wp:inline>
              </w:drawing>
            </w:r>
          </w:p>
        </w:tc>
      </w:tr>
      <w:tr w:rsidR="00E7609F" w:rsidRPr="00425E1F" w14:paraId="5F0BA130" w14:textId="77777777" w:rsidTr="00460C69">
        <w:trPr>
          <w:cantSplit/>
        </w:trPr>
        <w:tc>
          <w:tcPr>
            <w:tcW w:w="8505" w:type="dxa"/>
            <w:shd w:val="clear" w:color="auto" w:fill="auto"/>
          </w:tcPr>
          <w:p w14:paraId="788DE164" w14:textId="77777777" w:rsidR="00E7609F" w:rsidRDefault="00E7609F" w:rsidP="00460C69">
            <w:pPr>
              <w:pStyle w:val="TableFootnote"/>
            </w:pPr>
            <w:r>
              <w:t>Note: for details on the sensitivity scenarios, see Part I, Chapter 5 in European Commission (DG ECFIN) and Economic Policy Committee (Ageing Working Group) (2017).</w:t>
            </w:r>
          </w:p>
          <w:p w14:paraId="760CAB11" w14:textId="77777777" w:rsidR="00E7609F" w:rsidRPr="00425E1F" w:rsidRDefault="00E7609F" w:rsidP="00460C69">
            <w:pPr>
              <w:pStyle w:val="TableSource"/>
            </w:pPr>
            <w:r w:rsidRPr="00425E1F">
              <w:rPr>
                <w:b/>
                <w:i/>
              </w:rPr>
              <w:t>Source:</w:t>
            </w:r>
            <w:r w:rsidRPr="00425E1F">
              <w:t xml:space="preserve"> Commission services, EPC.</w:t>
            </w:r>
          </w:p>
        </w:tc>
      </w:tr>
      <w:tr w:rsidR="00E7609F" w:rsidRPr="00425E1F" w14:paraId="407E57C6" w14:textId="77777777" w:rsidTr="00460C69">
        <w:trPr>
          <w:cantSplit/>
          <w:trHeight w:val="20"/>
        </w:trPr>
        <w:tc>
          <w:tcPr>
            <w:tcW w:w="8505" w:type="dxa"/>
            <w:shd w:val="clear" w:color="auto" w:fill="auto"/>
          </w:tcPr>
          <w:p w14:paraId="5C338B92" w14:textId="77777777" w:rsidR="00E7609F" w:rsidRPr="00425E1F" w:rsidRDefault="00E7609F" w:rsidP="00460C69">
            <w:pPr>
              <w:pStyle w:val="SlimCell"/>
            </w:pPr>
          </w:p>
        </w:tc>
      </w:tr>
    </w:tbl>
    <w:p w14:paraId="49FA2ACF" w14:textId="77777777" w:rsidR="00E7609F" w:rsidRPr="00425E1F" w:rsidRDefault="00E7609F" w:rsidP="00460C69">
      <w:r w:rsidRPr="00425E1F">
        <w:t xml:space="preserve">In addition to seven variables for which sensitivity scenarios are carried out, a policy change scenario has also been considered, namely linking retirement ages with increases in life expectancy (see Table </w:t>
      </w:r>
      <w:r w:rsidRPr="00425E1F">
        <w:fldChar w:fldCharType="begin"/>
      </w:r>
      <w:r w:rsidRPr="00425E1F">
        <w:instrText xml:space="preserve"> QUOTE "I.3.1"</w:instrText>
      </w:r>
      <w:r w:rsidRPr="00425E1F">
        <w:fldChar w:fldCharType="begin">
          <w:fldData xml:space="preserve">QwBSAE8AUwBTAFIARQBGAEUAUgBFAE4AQwBFACoAVABBAEIATABFACoAYQBlADIANQBjADIAYwBl
AC0AZABhADcAZgAtADQANAAxAGUALQA4AGUAMwBiAC0AOAA3ADYANgA4ADUAYgA2AGQAOABhADQA
</w:fldData>
        </w:fldChar>
      </w:r>
      <w:r w:rsidRPr="00425E1F">
        <w:instrText xml:space="preserve"> ADDIN </w:instrText>
      </w:r>
      <w:r w:rsidRPr="00425E1F">
        <w:fldChar w:fldCharType="end"/>
      </w:r>
      <w:r w:rsidRPr="00425E1F">
        <w:instrText xml:space="preserve"> </w:instrText>
      </w:r>
      <w:r w:rsidRPr="00425E1F">
        <w:fldChar w:fldCharType="separate"/>
      </w:r>
      <w:r w:rsidR="009F3ED8" w:rsidRPr="00425E1F">
        <w:t>I.3.1</w:t>
      </w:r>
      <w:r w:rsidRPr="00425E1F">
        <w:fldChar w:fldCharType="end"/>
      </w:r>
      <w:r w:rsidRPr="00425E1F">
        <w:t>).</w:t>
      </w:r>
    </w:p>
    <w:p w14:paraId="1D4925E9" w14:textId="77777777" w:rsidR="00E7609F" w:rsidRPr="00425E1F" w:rsidRDefault="00E7609F" w:rsidP="00460C69">
      <w:r w:rsidRPr="00425E1F">
        <w:t xml:space="preserve">Drawing on past experience, the sensitivity scenarios considered in the 2015 AR proved being well suited for a sensitivity analysis of age-related expenditure. Reproducing these sensitivity tests would ensure consistency and would allow for comparison between projection exercises. At the same time, experience warrants a number of modifications. </w:t>
      </w:r>
    </w:p>
    <w:p w14:paraId="1A4025E7" w14:textId="77777777" w:rsidR="00E7609F" w:rsidRPr="00425E1F" w:rsidRDefault="00E7609F" w:rsidP="00460C69">
      <w:r w:rsidRPr="00425E1F">
        <w:fldChar w:fldCharType="begin"/>
      </w:r>
      <w:r w:rsidRPr="009F3ED8">
        <w:instrText xml:space="preserve"> TC "</w:instrText>
      </w:r>
      <w:bookmarkStart w:id="87" w:name="_Toc511664518"/>
      <w:r w:rsidRPr="009F3ED8">
        <w:instrText>I.3.1.</w:instrText>
      </w:r>
      <w:r w:rsidRPr="009F3ED8">
        <w:tab/>
        <w:instrText>Overview of sensitivity tests and policy scenario</w:instrText>
      </w:r>
      <w:bookmarkEnd w:id="87"/>
      <w:r w:rsidRPr="009F3ED8">
        <w:instrText xml:space="preserve">" \ftable \l 5 </w:instrText>
      </w:r>
      <w:r w:rsidRPr="00425E1F">
        <w:fldChar w:fldCharType="end"/>
      </w:r>
      <w:r w:rsidRPr="00425E1F">
        <w:t xml:space="preserve">First, there is considerable uncertainty as regards future migration flows, and it is therefore important that the impact of higher or lower net migration is appropriately analysed. It is proposed </w:t>
      </w:r>
      <w:r w:rsidRPr="00425E1F">
        <w:fldChar w:fldCharType="begin"/>
      </w:r>
      <w:r w:rsidRPr="009F3ED8">
        <w:instrText xml:space="preserve"> TC "</w:instrText>
      </w:r>
      <w:bookmarkStart w:id="88" w:name="_Toc511664519"/>
      <w:r w:rsidRPr="009F3ED8">
        <w:instrText>I.3.2.</w:instrText>
      </w:r>
      <w:r w:rsidRPr="009F3ED8">
        <w:tab/>
        <w:instrText>Decomposition of average annual potential GDP growth of the European Union, 2016-2070 (%)</w:instrText>
      </w:r>
      <w:bookmarkEnd w:id="88"/>
      <w:r w:rsidRPr="009F3ED8">
        <w:instrText xml:space="preserve">" \ftable \l 5 </w:instrText>
      </w:r>
      <w:r w:rsidRPr="00425E1F">
        <w:fldChar w:fldCharType="end"/>
      </w:r>
      <w:r w:rsidRPr="00425E1F">
        <w:t xml:space="preserve">therefore that the migration scenario is two-sided in order to cater for both positive and negative </w:t>
      </w:r>
      <w:r w:rsidRPr="00425E1F">
        <w:lastRenderedPageBreak/>
        <w:t xml:space="preserve">shocks in the net migration flows, and the size of the sensitivity scenarios are also increased to take account of the considerable uncertainty concerning migration flows. Moreover, as small changes in the trend in fertility can generate large variations in the future size of the population, an additional demographic scenario based on </w:t>
      </w:r>
      <w:r w:rsidRPr="00425E1F">
        <w:rPr>
          <w:i/>
        </w:rPr>
        <w:t>lower fertility</w:t>
      </w:r>
      <w:r w:rsidRPr="00425E1F">
        <w:t xml:space="preserve"> is done. Furthermore, given the considerable uncertainty as regards future TFP (and labour productivity) growth a 'high' and a 'low' TFP growth scenario are carried out. Finally, a lower employment rates scenarios was additionally run.</w:t>
      </w:r>
    </w:p>
    <w:p w14:paraId="29FAC29F" w14:textId="77777777" w:rsidR="00E7609F" w:rsidRPr="00425E1F" w:rsidRDefault="00E7609F" w:rsidP="00460C69">
      <w:pPr>
        <w:pStyle w:val="NumberedHeading1"/>
        <w:tabs>
          <w:tab w:val="left" w:pos="567"/>
        </w:tabs>
      </w:pPr>
      <w:bookmarkStart w:id="89" w:name="_Toc511664421"/>
      <w:r w:rsidRPr="00425E1F">
        <w:t>3.2.</w:t>
      </w:r>
      <w:r w:rsidRPr="00425E1F">
        <w:tab/>
        <w:t>Potential GDP Projection results</w:t>
      </w:r>
      <w:bookmarkEnd w:id="89"/>
    </w:p>
    <w:p w14:paraId="14090DFA" w14:textId="77777777" w:rsidR="00E7609F" w:rsidRPr="00425E1F" w:rsidRDefault="00E7609F" w:rsidP="00460C69">
      <w:pPr>
        <w:rPr>
          <w:b/>
          <w:i/>
        </w:rPr>
      </w:pPr>
      <w:r w:rsidRPr="00425E1F">
        <w:rPr>
          <w:b/>
          <w:i/>
        </w:rPr>
        <w:t>The sensitivity analysis shows that there are severe downside risks to GDP growth, linked both to employment and labour productivity growth assumptions. Additionally, upside risks exist, including the policy scenario, which strengthen GDP growth perspectives.</w:t>
      </w:r>
    </w:p>
    <w:p w14:paraId="3A69FCD9" w14:textId="77777777" w:rsidR="00E7609F" w:rsidRPr="00425E1F" w:rsidRDefault="00E7609F" w:rsidP="00460C69">
      <w:r w:rsidRPr="00425E1F">
        <w:t xml:space="preserve">GDP growth can be broken down into labour productivity per hour worked and labour input (Table </w:t>
      </w:r>
      <w:r w:rsidRPr="00425E1F">
        <w:fldChar w:fldCharType="begin"/>
      </w:r>
      <w:r w:rsidRPr="00425E1F">
        <w:instrText xml:space="preserve"> QUOTE "I.3.2"</w:instrText>
      </w:r>
      <w:r w:rsidRPr="00425E1F">
        <w:fldChar w:fldCharType="begin">
          <w:fldData xml:space="preserve">QwBSAE8AUwBTAFIARQBGAEUAUgBFAE4AQwBFACoAVABBAEIATABFACoAOAAzAGIAYgA4ADAANQA2
AC0ANAA1ADUAYgAtADQAOQA3ADcALQBiADAAMABlAC0ANgBkADQANQAxAGEAMABkADMAOQA1AGMA
</w:fldData>
        </w:fldChar>
      </w:r>
      <w:r w:rsidRPr="00425E1F">
        <w:instrText xml:space="preserve"> ADDIN </w:instrText>
      </w:r>
      <w:r w:rsidRPr="00425E1F">
        <w:fldChar w:fldCharType="end"/>
      </w:r>
      <w:r w:rsidRPr="00425E1F">
        <w:instrText xml:space="preserve"> </w:instrText>
      </w:r>
      <w:r w:rsidRPr="00425E1F">
        <w:fldChar w:fldCharType="separate"/>
      </w:r>
      <w:r w:rsidR="009F3ED8" w:rsidRPr="00425E1F">
        <w:t>I.3.2</w:t>
      </w:r>
      <w:r w:rsidRPr="00425E1F">
        <w:fldChar w:fldCharType="end"/>
      </w:r>
      <w:r w:rsidRPr="00425E1F">
        <w:t xml:space="preserve">). The former turns out to be the key determining factor of (potential) long-term growth. </w:t>
      </w:r>
    </w:p>
    <w:p w14:paraId="0F15E02F" w14:textId="77777777" w:rsidR="00E7609F" w:rsidRPr="00425E1F" w:rsidRDefault="00E7609F" w:rsidP="00460C69">
      <w:r w:rsidRPr="00425E1F">
        <w:t xml:space="preserve">Looking at the impact of the different assumptions for GDP growth over the period 2016-2070, annual average potential GDP growth rates range from 1.0% in the lower TFP growth scenario to 1.8% in the higher TFP one in the EU, i.e. a 80 basis points difference. This basically reflects changes in labour productivity per hour worked, as changes in labour input growth are smaller, ranging from a minimum of -0.4% in the lower fertility scenario to a  maximum of 0.03% in the higher migration one, i.e. a 43 basis points difference (see Graph </w:t>
      </w:r>
      <w:r w:rsidRPr="00425E1F">
        <w:fldChar w:fldCharType="begin"/>
      </w:r>
      <w:r w:rsidRPr="00425E1F">
        <w:instrText xml:space="preserve"> QUOTE "I.3.1"</w:instrText>
      </w:r>
      <w:r w:rsidRPr="00425E1F">
        <w:fldChar w:fldCharType="begin">
          <w:fldData xml:space="preserve">QwBSAE8AUwBTAFIARQBGAEUAUgBFAE4AQwBFACoARwBSAEEAUABIACoAYgA0ADkANQA2AGQAZgBh
AC0AYwAzADMAZQAtADQAMQA2ADMALQA5ADUAMgA0AC0AMgA1ADkAOQA0ADUAYQAxADIAOQA0ADcA
</w:fldData>
        </w:fldChar>
      </w:r>
      <w:r w:rsidRPr="00425E1F">
        <w:instrText xml:space="preserve"> ADDIN </w:instrText>
      </w:r>
      <w:r w:rsidRPr="00425E1F">
        <w:fldChar w:fldCharType="end"/>
      </w:r>
      <w:r w:rsidRPr="00425E1F">
        <w:instrText xml:space="preserve"> </w:instrText>
      </w:r>
      <w:r w:rsidRPr="00425E1F">
        <w:fldChar w:fldCharType="separate"/>
      </w:r>
      <w:r w:rsidR="009F3ED8" w:rsidRPr="00425E1F">
        <w:t>I.3.1</w:t>
      </w:r>
      <w:r w:rsidRPr="00425E1F">
        <w:fldChar w:fldCharType="end"/>
      </w:r>
      <w:r w:rsidRPr="00425E1F">
        <w:t xml:space="preserve"> and Table </w:t>
      </w:r>
      <w:r w:rsidRPr="00425E1F">
        <w:fldChar w:fldCharType="begin"/>
      </w:r>
      <w:r w:rsidRPr="00425E1F">
        <w:instrText xml:space="preserve"> QUOTE "I.3.2"</w:instrText>
      </w:r>
      <w:r w:rsidRPr="00425E1F">
        <w:fldChar w:fldCharType="begin">
          <w:fldData xml:space="preserve">QwBSAE8AUwBTAFIARQBGAEUAUgBFAE4AQwBFACoAVABBAEIATABFACoAOAAzAGIAYgA4ADAANQA2
AC0ANAA1ADUAYgAtADQAOQA3ADcALQBiADAAMABlAC0ANgBkADQANQAxAGEAMABkADMAOQA1AGMA
</w:fldData>
        </w:fldChar>
      </w:r>
      <w:r w:rsidRPr="00425E1F">
        <w:instrText xml:space="preserve"> ADDIN </w:instrText>
      </w:r>
      <w:r w:rsidRPr="00425E1F">
        <w:fldChar w:fldCharType="end"/>
      </w:r>
      <w:r w:rsidRPr="00425E1F">
        <w:instrText xml:space="preserve"> </w:instrText>
      </w:r>
      <w:r w:rsidRPr="00425E1F">
        <w:fldChar w:fldCharType="separate"/>
      </w:r>
      <w:r w:rsidR="009F3ED8" w:rsidRPr="00425E1F">
        <w:t>I.3.2</w:t>
      </w:r>
      <w:r w:rsidRPr="00425E1F">
        <w:fldChar w:fldCharType="end"/>
      </w:r>
      <w:r w:rsidRPr="00425E1F">
        <w:t>).</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E7609F" w:rsidRPr="00425E1F" w14:paraId="001CE13B" w14:textId="77777777" w:rsidTr="00460C69">
        <w:trPr>
          <w:cantSplit/>
          <w:trHeight w:val="20"/>
        </w:trPr>
        <w:tc>
          <w:tcPr>
            <w:tcW w:w="8505" w:type="dxa"/>
            <w:shd w:val="clear" w:color="auto" w:fill="auto"/>
          </w:tcPr>
          <w:p w14:paraId="55462C43" w14:textId="77777777" w:rsidR="00E7609F" w:rsidRPr="00425E1F" w:rsidRDefault="00E7609F" w:rsidP="00460C69">
            <w:pPr>
              <w:pStyle w:val="SlimCell"/>
              <w:keepNext/>
            </w:pPr>
          </w:p>
        </w:tc>
      </w:tr>
      <w:tr w:rsidR="00E7609F" w:rsidRPr="00425E1F" w14:paraId="6E2E5176" w14:textId="77777777" w:rsidTr="00460C69">
        <w:trPr>
          <w:cantSplit/>
        </w:trPr>
        <w:tc>
          <w:tcPr>
            <w:tcW w:w="8505" w:type="dxa"/>
            <w:shd w:val="clear" w:color="auto" w:fill="auto"/>
          </w:tcPr>
          <w:p w14:paraId="6EF95492" w14:textId="77777777" w:rsidR="00E7609F" w:rsidRPr="00425E1F" w:rsidRDefault="00E7609F" w:rsidP="00460C69">
            <w:pPr>
              <w:pStyle w:val="TableTitle"/>
              <w:rPr>
                <w:b/>
              </w:rPr>
            </w:pPr>
            <w:r w:rsidRPr="00425E1F">
              <w:t>Table I.3.2:</w:t>
            </w:r>
            <w:r w:rsidRPr="00425E1F">
              <w:rPr>
                <w:b/>
              </w:rPr>
              <w:tab/>
              <w:t>Decomposition of average annual potential GDP growth of the European Union, 2016-2070 (%)</w:t>
            </w:r>
          </w:p>
        </w:tc>
      </w:tr>
      <w:tr w:rsidR="00E7609F" w:rsidRPr="00425E1F" w14:paraId="21D06489" w14:textId="77777777" w:rsidTr="00460C69">
        <w:trPr>
          <w:cantSplit/>
        </w:trPr>
        <w:tc>
          <w:tcPr>
            <w:tcW w:w="8505" w:type="dxa"/>
            <w:shd w:val="clear" w:color="auto" w:fill="auto"/>
          </w:tcPr>
          <w:p w14:paraId="01F7FDCD" w14:textId="77777777" w:rsidR="00E7609F" w:rsidRPr="00425E1F" w:rsidRDefault="00E7609F" w:rsidP="00460C69">
            <w:pPr>
              <w:pStyle w:val="TableShape"/>
              <w:rPr>
                <w:sz w:val="2"/>
              </w:rPr>
            </w:pPr>
            <w:r>
              <w:rPr>
                <w:noProof/>
                <w:sz w:val="2"/>
                <w:lang w:val="hr-HR" w:eastAsia="hr-HR"/>
              </w:rPr>
              <w:drawing>
                <wp:inline distT="0" distB="0" distL="0" distR="0" wp14:anchorId="06F86614" wp14:editId="0270C58A">
                  <wp:extent cx="5400929" cy="1480081"/>
                  <wp:effectExtent l="0" t="0" r="0" b="6350"/>
                  <wp:docPr id="468" name="Picture 468" descr="&lt;nbr&gt;&lt;GETTEXTFROMWORD&gt;&lt;/nbr&gt;&#10;&lt;title&gt;&lt;GETTEXTFROMWORD&gt;&lt;/title&gt;&#10;&lt;id&gt;83bb8056-455b-4977-b00e-6d451a0d395c&lt;/id&gt;&#10;&lt;srcType&gt;EXCEL&lt;/srcType&gt;&#10;&lt;srcPath&gt;U:\Budgetary projections 2018\Reports\2018 AR\Tables_and_graphs\Part I Chapter 3\&lt;/srcPath&gt;&#10;&lt;srcName&gt;Joao - Tables &amp; charts - CHAP 1.xlsx&lt;/srcName&gt;&#10;&lt;type&gt;table&lt;/type&gt;&#10; &lt;srcSheet&gt;EU28 decomposition&lt;/srcSheet&gt;&#10; &lt;srcRange&gt;R2C2:R19C14&lt;/srcRange&gt;&#10;&lt;pos&gt;top&lt;/pos&gt;&#10;&lt;numbering&gt;internal&lt;/numbering&gt;&#10;&lt;manNumb&gt;no&lt;/manNumb&gt;&#10; &lt;insFtn&gt;no&lt;/insFtn&gt;&#10; &lt;insSrc&gt;yes&lt;/insSrc&gt;&#10; &lt;shpSrc&gt;&lt;GETTEXTFROMWORD&gt;&lt;/shpSrc&gt;&#10;&lt;multi&gt;no&lt;/multi&gt;&#10;&lt;statAnn&gt;no&lt;/statAnn&gt;&#10;&lt;float&gt;yes&lt;/float&gt;&#10;&lt;bottomShapePageNumber&gt;-1&lt;/bottomShapePageNumber&gt;&#10;&lt;version&gt;2&lt;/version&gt;&#10;&lt;scrFileTime&gt;2018-03-23T10:08:21&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400929" cy="1480081"/>
                          </a:xfrm>
                          <a:prstGeom prst="rect">
                            <a:avLst/>
                          </a:prstGeom>
                          <a:noFill/>
                          <a:ln>
                            <a:noFill/>
                          </a:ln>
                        </pic:spPr>
                      </pic:pic>
                    </a:graphicData>
                  </a:graphic>
                </wp:inline>
              </w:drawing>
            </w:r>
          </w:p>
        </w:tc>
      </w:tr>
      <w:tr w:rsidR="00E7609F" w:rsidRPr="00425E1F" w14:paraId="6AA1C6ED" w14:textId="77777777" w:rsidTr="00460C69">
        <w:trPr>
          <w:cantSplit/>
        </w:trPr>
        <w:tc>
          <w:tcPr>
            <w:tcW w:w="8505" w:type="dxa"/>
            <w:shd w:val="clear" w:color="auto" w:fill="auto"/>
          </w:tcPr>
          <w:p w14:paraId="52ADA50D" w14:textId="77777777" w:rsidR="00E7609F" w:rsidRPr="00425E1F" w:rsidRDefault="00E7609F" w:rsidP="00460C69">
            <w:pPr>
              <w:pStyle w:val="TableSource"/>
            </w:pPr>
            <w:r w:rsidRPr="00425E1F">
              <w:rPr>
                <w:b/>
                <w:i/>
              </w:rPr>
              <w:t>Source:</w:t>
            </w:r>
            <w:r w:rsidRPr="00425E1F">
              <w:t xml:space="preserve"> Commission services, EPC.</w:t>
            </w:r>
          </w:p>
        </w:tc>
      </w:tr>
      <w:tr w:rsidR="00E7609F" w:rsidRPr="00425E1F" w14:paraId="0E976746" w14:textId="77777777" w:rsidTr="00460C69">
        <w:trPr>
          <w:cantSplit/>
          <w:trHeight w:val="20"/>
        </w:trPr>
        <w:tc>
          <w:tcPr>
            <w:tcW w:w="8505" w:type="dxa"/>
            <w:shd w:val="clear" w:color="auto" w:fill="auto"/>
          </w:tcPr>
          <w:p w14:paraId="5B595ED1" w14:textId="77777777" w:rsidR="00E7609F" w:rsidRPr="00425E1F" w:rsidRDefault="00E7609F" w:rsidP="00460C69">
            <w:pPr>
              <w:pStyle w:val="SlimCell"/>
            </w:pPr>
          </w:p>
        </w:tc>
      </w:tr>
    </w:tbl>
    <w:p w14:paraId="616198C2" w14:textId="77777777" w:rsidR="00E7609F" w:rsidRPr="00425E1F" w:rsidRDefault="00E7609F" w:rsidP="00460C69">
      <w:r w:rsidRPr="00425E1F">
        <w:t xml:space="preserve">In the EU as a whole, average annual GDP per capita growth between 2016 and 2070 is projected to fall from 1.3% in the baseline scenario to 0.9% in the lower TFP scenario, while rising to 1.4% in the policy scenario, and to 1.7% in the high TFP growth scenario. </w:t>
      </w:r>
    </w:p>
    <w:tbl>
      <w:tblPr>
        <w:tblW w:w="0" w:type="auto"/>
        <w:tblLayout w:type="fixed"/>
        <w:tblCellMar>
          <w:left w:w="0" w:type="dxa"/>
          <w:right w:w="0" w:type="dxa"/>
        </w:tblCellMar>
        <w:tblLook w:val="0000" w:firstRow="0" w:lastRow="0" w:firstColumn="0" w:lastColumn="0" w:noHBand="0" w:noVBand="0"/>
      </w:tblPr>
      <w:tblGrid>
        <w:gridCol w:w="4110"/>
      </w:tblGrid>
      <w:tr w:rsidR="00E7609F" w:rsidRPr="00425E1F" w14:paraId="1E1CDEA0" w14:textId="77777777" w:rsidTr="00460C69">
        <w:trPr>
          <w:cantSplit/>
        </w:trPr>
        <w:tc>
          <w:tcPr>
            <w:tcW w:w="4110" w:type="dxa"/>
            <w:shd w:val="clear" w:color="auto" w:fill="auto"/>
          </w:tcPr>
          <w:p w14:paraId="782E2A62" w14:textId="77777777" w:rsidR="00E7609F" w:rsidRPr="00425E1F" w:rsidRDefault="00E7609F" w:rsidP="00460C69">
            <w:pPr>
              <w:pStyle w:val="GraphTitle"/>
              <w:rPr>
                <w:b/>
              </w:rPr>
            </w:pPr>
            <w:r w:rsidRPr="00425E1F">
              <w:t>Graph I.3.1:</w:t>
            </w:r>
            <w:r w:rsidRPr="00425E1F">
              <w:rPr>
                <w:b/>
              </w:rPr>
              <w:tab/>
              <w:t>Average annual potential GDP growth rates, 2016-70 (%)</w:t>
            </w:r>
          </w:p>
        </w:tc>
      </w:tr>
      <w:tr w:rsidR="00E7609F" w:rsidRPr="00425E1F" w14:paraId="015E797B" w14:textId="77777777" w:rsidTr="00460C69">
        <w:trPr>
          <w:cantSplit/>
        </w:trPr>
        <w:tc>
          <w:tcPr>
            <w:tcW w:w="4110" w:type="dxa"/>
            <w:shd w:val="clear" w:color="auto" w:fill="auto"/>
          </w:tcPr>
          <w:p w14:paraId="54955EB0" w14:textId="77777777" w:rsidR="00E7609F" w:rsidRPr="00425E1F" w:rsidRDefault="00E7609F" w:rsidP="00460C69">
            <w:pPr>
              <w:pStyle w:val="GraphShape"/>
              <w:rPr>
                <w:sz w:val="2"/>
              </w:rPr>
            </w:pPr>
            <w:r w:rsidRPr="00425E1F">
              <w:fldChar w:fldCharType="begin"/>
            </w:r>
            <w:r w:rsidRPr="009F3ED8">
              <w:instrText xml:space="preserve"> TC "</w:instrText>
            </w:r>
            <w:bookmarkStart w:id="90" w:name="_Toc511664648"/>
            <w:r w:rsidRPr="009F3ED8">
              <w:instrText>I.3.1.</w:instrText>
            </w:r>
            <w:r w:rsidRPr="009F3ED8">
              <w:tab/>
              <w:instrText>Average annual potential GDP growth rates, 2016-70 (%)</w:instrText>
            </w:r>
            <w:bookmarkEnd w:id="90"/>
            <w:r w:rsidRPr="009F3ED8">
              <w:instrText xml:space="preserve">" \fgraph \l 5 </w:instrText>
            </w:r>
            <w:r w:rsidRPr="00425E1F">
              <w:fldChar w:fldCharType="end"/>
            </w:r>
            <w:r>
              <w:rPr>
                <w:noProof/>
                <w:sz w:val="2"/>
                <w:lang w:val="hr-HR" w:eastAsia="hr-HR"/>
              </w:rPr>
              <w:drawing>
                <wp:inline distT="0" distB="0" distL="0" distR="0" wp14:anchorId="3B57026B" wp14:editId="1404A110">
                  <wp:extent cx="2597595" cy="1973387"/>
                  <wp:effectExtent l="0" t="0" r="0" b="8255"/>
                  <wp:docPr id="469" name="Picture 469" descr="&lt;nbr&gt;&lt;GETTEXTFROMWORD&gt;&lt;/nbr&gt;&#10;&lt;title&gt;&lt;GETTEXTFROMWORD&gt;&lt;/title&gt;&#10;&lt;id&gt;b4956dfa-c33e-4163-9524-259945a12947&lt;/id&gt;&#10;&lt;srcType&gt;EXCEL&lt;/srcType&gt;&#10;&lt;srcPath&gt;U:\Budgetary projections 2018\Reports\2018 AR\Tables_and_graphs\Part I Chapter 3\&lt;/srcPath&gt;&#10;&lt;srcName&gt;Joao - Tables &amp; charts - CHAP 1.xlsx&lt;/srcName&gt;&#10;&lt;type&gt;graph&lt;/type&gt;&#10; &lt;srcSheet&gt;pot growth&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23T10:08:21&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97595" cy="1973387"/>
                          </a:xfrm>
                          <a:prstGeom prst="rect">
                            <a:avLst/>
                          </a:prstGeom>
                          <a:noFill/>
                          <a:ln>
                            <a:noFill/>
                          </a:ln>
                        </pic:spPr>
                      </pic:pic>
                    </a:graphicData>
                  </a:graphic>
                </wp:inline>
              </w:drawing>
            </w:r>
          </w:p>
        </w:tc>
      </w:tr>
      <w:tr w:rsidR="00E7609F" w:rsidRPr="00425E1F" w14:paraId="2E748B9F" w14:textId="77777777" w:rsidTr="00460C69">
        <w:trPr>
          <w:cantSplit/>
        </w:trPr>
        <w:tc>
          <w:tcPr>
            <w:tcW w:w="4110" w:type="dxa"/>
            <w:shd w:val="clear" w:color="auto" w:fill="auto"/>
            <w:tcMar>
              <w:bottom w:w="240" w:type="dxa"/>
            </w:tcMar>
          </w:tcPr>
          <w:p w14:paraId="20671A9C" w14:textId="77777777" w:rsidR="00E7609F" w:rsidRPr="00425E1F" w:rsidRDefault="00E7609F" w:rsidP="00460C69">
            <w:pPr>
              <w:pStyle w:val="GraphSource"/>
              <w:keepNext/>
            </w:pPr>
            <w:r w:rsidRPr="00425E1F">
              <w:rPr>
                <w:b/>
                <w:i/>
              </w:rPr>
              <w:t>Source:</w:t>
            </w:r>
            <w:r w:rsidRPr="00425E1F">
              <w:t xml:space="preserve"> Commission services, EPC.</w:t>
            </w:r>
          </w:p>
        </w:tc>
      </w:tr>
    </w:tbl>
    <w:p w14:paraId="481D1389" w14:textId="77777777" w:rsidR="00E7609F" w:rsidRPr="00425E1F" w:rsidRDefault="00E7609F" w:rsidP="00460C69">
      <w:r w:rsidRPr="00425E1F">
        <w:t xml:space="preserve">The policy scenario, linking retirement ages with increases in life expectancy, partially insures against the risk of a negative productivity shock (i.e. the lower TFP scenario). In fact, in the EU as a whole, in the lower TFP scenario potential GDP growth is expected to increase only by 1% per year (on average over the period 2016-2070) down from 1.4% in the baseline scenario, whereas in the policy scenario, annual potential GDP growth is expected to be 1.5%. Conversely, in the high TFP growth scenario, annual potential GDP growth is </w:t>
      </w:r>
      <w:r w:rsidRPr="00425E1F">
        <w:lastRenderedPageBreak/>
        <w:t xml:space="preserve">project to be 1.8% on average during the projection horizon. </w:t>
      </w:r>
    </w:p>
    <w:p w14:paraId="1E835CE1" w14:textId="77777777" w:rsidR="00E7609F" w:rsidRPr="00425E1F" w:rsidRDefault="00E7609F" w:rsidP="00460C69">
      <w:r w:rsidRPr="00425E1F">
        <w:t xml:space="preserve">The contribution of labour input is projected to be negative over the period 2016-2070 in the EU and euro area in the baseline scenario (-0.1%), and also in all sensitivity scenarios except the higher migration and higher employment of older workers scenarios (Graph </w:t>
      </w:r>
      <w:r w:rsidRPr="00425E1F">
        <w:fldChar w:fldCharType="begin"/>
      </w:r>
      <w:r w:rsidRPr="00425E1F">
        <w:instrText xml:space="preserve"> QUOTE "I.3.2"</w:instrText>
      </w:r>
      <w:r w:rsidRPr="00425E1F">
        <w:fldChar w:fldCharType="begin">
          <w:fldData xml:space="preserve">QwBSAE8AUwBTAFIARQBGAEUAUgBFAE4AQwBFACoARwBSAEEAUABIACoAYQAxADUAOQAzAGIAYgBj
AC0AOQA2ADYAOAAtADQAZQBhAGQALQA5AGUAZQBiAC0AYQAzADcANwA4AGUAMwAyAGYAOQAxAGMA
</w:fldData>
        </w:fldChar>
      </w:r>
      <w:r w:rsidRPr="00425E1F">
        <w:instrText xml:space="preserve"> ADDIN </w:instrText>
      </w:r>
      <w:r w:rsidRPr="00425E1F">
        <w:fldChar w:fldCharType="end"/>
      </w:r>
      <w:r w:rsidRPr="00425E1F">
        <w:instrText xml:space="preserve"> </w:instrText>
      </w:r>
      <w:r w:rsidRPr="00425E1F">
        <w:fldChar w:fldCharType="separate"/>
      </w:r>
      <w:r w:rsidR="009F3ED8" w:rsidRPr="00425E1F">
        <w:t>I.3.2</w:t>
      </w:r>
      <w:r w:rsidRPr="00425E1F">
        <w:fldChar w:fldCharType="end"/>
      </w:r>
      <w:r w:rsidRPr="00425E1F">
        <w:t xml:space="preserve">). </w:t>
      </w:r>
    </w:p>
    <w:tbl>
      <w:tblPr>
        <w:tblW w:w="0" w:type="auto"/>
        <w:tblLayout w:type="fixed"/>
        <w:tblCellMar>
          <w:left w:w="0" w:type="dxa"/>
          <w:right w:w="0" w:type="dxa"/>
        </w:tblCellMar>
        <w:tblLook w:val="0000" w:firstRow="0" w:lastRow="0" w:firstColumn="0" w:lastColumn="0" w:noHBand="0" w:noVBand="0"/>
      </w:tblPr>
      <w:tblGrid>
        <w:gridCol w:w="4110"/>
      </w:tblGrid>
      <w:tr w:rsidR="00E7609F" w:rsidRPr="00425E1F" w14:paraId="754D2ED8" w14:textId="77777777" w:rsidTr="00460C69">
        <w:trPr>
          <w:cantSplit/>
        </w:trPr>
        <w:tc>
          <w:tcPr>
            <w:tcW w:w="4110" w:type="dxa"/>
            <w:shd w:val="clear" w:color="auto" w:fill="auto"/>
          </w:tcPr>
          <w:p w14:paraId="308EE753" w14:textId="77777777" w:rsidR="00E7609F" w:rsidRPr="00425E1F" w:rsidRDefault="00E7609F" w:rsidP="00460C69">
            <w:pPr>
              <w:pStyle w:val="GraphTitle"/>
              <w:rPr>
                <w:b/>
              </w:rPr>
            </w:pPr>
            <w:r w:rsidRPr="00425E1F">
              <w:t>Graph I.3.2:</w:t>
            </w:r>
            <w:r w:rsidRPr="00425E1F">
              <w:rPr>
                <w:b/>
              </w:rPr>
              <w:tab/>
              <w:t>Labour input (annual average growth rates) 2016-2070 (%)</w:t>
            </w:r>
          </w:p>
        </w:tc>
      </w:tr>
      <w:tr w:rsidR="00E7609F" w:rsidRPr="00425E1F" w14:paraId="1C86C346" w14:textId="77777777" w:rsidTr="00460C69">
        <w:trPr>
          <w:cantSplit/>
        </w:trPr>
        <w:tc>
          <w:tcPr>
            <w:tcW w:w="4110" w:type="dxa"/>
            <w:shd w:val="clear" w:color="auto" w:fill="auto"/>
          </w:tcPr>
          <w:p w14:paraId="2D0B108D" w14:textId="77777777" w:rsidR="00E7609F" w:rsidRPr="00425E1F" w:rsidRDefault="00E7609F" w:rsidP="00460C69">
            <w:pPr>
              <w:pStyle w:val="GraphShape"/>
              <w:rPr>
                <w:sz w:val="2"/>
              </w:rPr>
            </w:pPr>
            <w:r w:rsidRPr="00425E1F">
              <w:fldChar w:fldCharType="begin"/>
            </w:r>
            <w:r w:rsidRPr="009F3ED8">
              <w:instrText xml:space="preserve"> TC "</w:instrText>
            </w:r>
            <w:bookmarkStart w:id="91" w:name="_Toc511664649"/>
            <w:r w:rsidRPr="009F3ED8">
              <w:instrText>I.3.2.</w:instrText>
            </w:r>
            <w:r w:rsidRPr="009F3ED8">
              <w:tab/>
              <w:instrText>Labour input (annual average growth rates) 2016-2070 (%)</w:instrText>
            </w:r>
            <w:bookmarkEnd w:id="91"/>
            <w:r w:rsidRPr="009F3ED8">
              <w:instrText xml:space="preserve">" \fgraph \l 5 </w:instrText>
            </w:r>
            <w:r w:rsidRPr="00425E1F">
              <w:fldChar w:fldCharType="end"/>
            </w:r>
            <w:r>
              <w:rPr>
                <w:noProof/>
                <w:sz w:val="2"/>
                <w:lang w:val="hr-HR" w:eastAsia="hr-HR"/>
              </w:rPr>
              <w:drawing>
                <wp:inline distT="0" distB="0" distL="0" distR="0" wp14:anchorId="10A3934B" wp14:editId="6E566BBA">
                  <wp:extent cx="2597595" cy="2165506"/>
                  <wp:effectExtent l="0" t="0" r="0" b="6350"/>
                  <wp:docPr id="470" name="Picture 470" descr="&lt;nbr&gt;&lt;GETTEXTFROMWORD&gt;&lt;/nbr&gt;&#10;&lt;title&gt;&lt;GETTEXTFROMWORD&gt;&lt;/title&gt;&#10;&lt;id&gt;a1593bbc-9668-4ead-9eeb-a3778e32f91c&lt;/id&gt;&#10;&lt;srcType&gt;EXCEL&lt;/srcType&gt;&#10;&lt;srcPath&gt;U:\Budgetary projections 2018\Reports\2018 AR\Tables_and_graphs\Part I Chapter 3\&lt;/srcPath&gt;&#10;&lt;srcName&gt;Joao - Tables &amp; charts - CHAP 1.xlsx&lt;/srcName&gt;&#10;&lt;type&gt;graph&lt;/type&gt;&#10; &lt;srcSheet&gt;lab input&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23T10:08:21&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97595" cy="2165506"/>
                          </a:xfrm>
                          <a:prstGeom prst="rect">
                            <a:avLst/>
                          </a:prstGeom>
                          <a:noFill/>
                          <a:ln>
                            <a:noFill/>
                          </a:ln>
                        </pic:spPr>
                      </pic:pic>
                    </a:graphicData>
                  </a:graphic>
                </wp:inline>
              </w:drawing>
            </w:r>
          </w:p>
        </w:tc>
      </w:tr>
      <w:tr w:rsidR="00E7609F" w:rsidRPr="00425E1F" w14:paraId="43E9C7CF" w14:textId="77777777" w:rsidTr="00460C69">
        <w:trPr>
          <w:cantSplit/>
        </w:trPr>
        <w:tc>
          <w:tcPr>
            <w:tcW w:w="4110" w:type="dxa"/>
            <w:shd w:val="clear" w:color="auto" w:fill="auto"/>
            <w:tcMar>
              <w:bottom w:w="240" w:type="dxa"/>
            </w:tcMar>
          </w:tcPr>
          <w:p w14:paraId="78FE03EE" w14:textId="77777777" w:rsidR="00E7609F" w:rsidRPr="00425E1F" w:rsidRDefault="00E7609F" w:rsidP="00460C69">
            <w:pPr>
              <w:pStyle w:val="GraphSource"/>
              <w:keepNext/>
            </w:pPr>
            <w:r w:rsidRPr="00425E1F">
              <w:rPr>
                <w:b/>
                <w:i/>
              </w:rPr>
              <w:t>Source:</w:t>
            </w:r>
            <w:r w:rsidRPr="00425E1F">
              <w:t xml:space="preserve"> Commission services, EPC.</w:t>
            </w:r>
          </w:p>
        </w:tc>
      </w:tr>
    </w:tbl>
    <w:p w14:paraId="7AA31DE6" w14:textId="77777777" w:rsidR="00E7609F" w:rsidRPr="00425E1F" w:rsidRDefault="00E7609F" w:rsidP="00460C69">
      <w:r w:rsidRPr="00425E1F">
        <w:t>In the higher migration scenario, the average annual contribution of labour input in 2016-2070 will be 0.03% for the EU and 0.07% in the euro area. In the higher employment arte of older workers scenario, the average annual contribution of labour input in 2016-2070 will be 0.01% for the EU and 0.04% in the euro area.</w:t>
      </w:r>
    </w:p>
    <w:p w14:paraId="5EBEE841" w14:textId="77777777" w:rsidR="00E7609F" w:rsidRPr="00425E1F" w:rsidRDefault="00E7609F" w:rsidP="00460C69">
      <w:r w:rsidRPr="00425E1F">
        <w:t xml:space="preserve">Graph </w:t>
      </w:r>
      <w:r w:rsidRPr="00425E1F">
        <w:fldChar w:fldCharType="begin"/>
      </w:r>
      <w:r w:rsidRPr="00425E1F">
        <w:instrText xml:space="preserve"> QUOTE "I.3.3"</w:instrText>
      </w:r>
      <w:r w:rsidRPr="00425E1F">
        <w:fldChar w:fldCharType="begin">
          <w:fldData xml:space="preserve">QwBSAE8AUwBTAFIARQBGAEUAUgBFAE4AQwBFACoARwBSAEEAUABIACoANABhADcAZgA2AGYAYgBj
AC0AZAA3ADMAOQAtADQANQBkAGMALQBhAGYANgA5AC0AOQA5ADAANAA4ADkANABkAGYANQBhADAA
</w:fldData>
        </w:fldChar>
      </w:r>
      <w:r w:rsidRPr="00425E1F">
        <w:instrText xml:space="preserve"> ADDIN </w:instrText>
      </w:r>
      <w:r w:rsidRPr="00425E1F">
        <w:fldChar w:fldCharType="end"/>
      </w:r>
      <w:r w:rsidRPr="00425E1F">
        <w:instrText xml:space="preserve"> </w:instrText>
      </w:r>
      <w:r w:rsidRPr="00425E1F">
        <w:fldChar w:fldCharType="separate"/>
      </w:r>
      <w:r w:rsidR="009F3ED8" w:rsidRPr="00425E1F">
        <w:t>I.3.3</w:t>
      </w:r>
      <w:r w:rsidRPr="00425E1F">
        <w:fldChar w:fldCharType="end"/>
      </w:r>
      <w:r w:rsidRPr="00425E1F">
        <w:t xml:space="preserve"> shows the importance of TFP for labour productivity growth rates over the projection horizon, and by extension its impact on potential GDP growth. In all scenarios except those relating to TFP shocks, labour productivity growth rates are on average around 1.5% per year. In the higher TFP growth scenario, labour productivity growth grows by 1.9% on average per year in the EU and 1.7% in the euro area. </w:t>
      </w:r>
    </w:p>
    <w:p w14:paraId="5CE0EE70" w14:textId="77777777" w:rsidR="00E7609F" w:rsidRPr="00425E1F" w:rsidRDefault="00E7609F" w:rsidP="00460C69">
      <w:r w:rsidRPr="00425E1F">
        <w:t xml:space="preserve">In the lower TFP growth scenario, labour productivity is growing by 1.1% per year in the EU and 1% per year in the euro area. </w:t>
      </w:r>
    </w:p>
    <w:p w14:paraId="3C281CF3" w14:textId="77777777" w:rsidR="00E7609F" w:rsidRPr="00425E1F" w:rsidRDefault="00E7609F" w:rsidP="00460C69">
      <w:r w:rsidRPr="00425E1F">
        <w:lastRenderedPageBreak/>
        <w:t xml:space="preserve">Finally, in the TFP risk scenario, labour productivity is growing by 1.2% per year in the EU and 1.1% in the euro area. </w:t>
      </w:r>
    </w:p>
    <w:tbl>
      <w:tblPr>
        <w:tblW w:w="0" w:type="auto"/>
        <w:tblLayout w:type="fixed"/>
        <w:tblCellMar>
          <w:left w:w="0" w:type="dxa"/>
          <w:right w:w="0" w:type="dxa"/>
        </w:tblCellMar>
        <w:tblLook w:val="0000" w:firstRow="0" w:lastRow="0" w:firstColumn="0" w:lastColumn="0" w:noHBand="0" w:noVBand="0"/>
      </w:tblPr>
      <w:tblGrid>
        <w:gridCol w:w="4110"/>
      </w:tblGrid>
      <w:tr w:rsidR="00E7609F" w:rsidRPr="00425E1F" w14:paraId="055EE16C" w14:textId="77777777" w:rsidTr="00460C69">
        <w:trPr>
          <w:cantSplit/>
        </w:trPr>
        <w:tc>
          <w:tcPr>
            <w:tcW w:w="4110" w:type="dxa"/>
            <w:shd w:val="clear" w:color="auto" w:fill="auto"/>
          </w:tcPr>
          <w:p w14:paraId="69EB5D15" w14:textId="77777777" w:rsidR="00E7609F" w:rsidRPr="00425E1F" w:rsidRDefault="00E7609F" w:rsidP="00460C69">
            <w:pPr>
              <w:pStyle w:val="GraphTitle"/>
              <w:rPr>
                <w:b/>
              </w:rPr>
            </w:pPr>
            <w:r w:rsidRPr="00425E1F">
              <w:t>Graph I.3.3:</w:t>
            </w:r>
            <w:r w:rsidRPr="00425E1F">
              <w:rPr>
                <w:b/>
              </w:rPr>
              <w:tab/>
              <w:t>Average annual growth rate in labour productivity, 2016-2070 (%)</w:t>
            </w:r>
          </w:p>
        </w:tc>
      </w:tr>
      <w:tr w:rsidR="00E7609F" w:rsidRPr="00425E1F" w14:paraId="626048AE" w14:textId="77777777" w:rsidTr="00460C69">
        <w:trPr>
          <w:cantSplit/>
        </w:trPr>
        <w:tc>
          <w:tcPr>
            <w:tcW w:w="4110" w:type="dxa"/>
            <w:shd w:val="clear" w:color="auto" w:fill="auto"/>
          </w:tcPr>
          <w:p w14:paraId="23FAAA34" w14:textId="77777777" w:rsidR="00E7609F" w:rsidRPr="00425E1F" w:rsidRDefault="00E7609F" w:rsidP="00460C69">
            <w:pPr>
              <w:pStyle w:val="GraphShape"/>
              <w:rPr>
                <w:sz w:val="2"/>
              </w:rPr>
            </w:pPr>
            <w:r w:rsidRPr="00425E1F">
              <w:fldChar w:fldCharType="begin"/>
            </w:r>
            <w:r w:rsidRPr="009F3ED8">
              <w:instrText xml:space="preserve"> TC "</w:instrText>
            </w:r>
            <w:bookmarkStart w:id="92" w:name="_Toc511664650"/>
            <w:r w:rsidRPr="009F3ED8">
              <w:instrText>I.3.3.</w:instrText>
            </w:r>
            <w:r w:rsidRPr="009F3ED8">
              <w:tab/>
              <w:instrText>Average annual growth rate in labour productivity, 2016-2070 (%)</w:instrText>
            </w:r>
            <w:bookmarkEnd w:id="92"/>
            <w:r w:rsidRPr="009F3ED8">
              <w:instrText xml:space="preserve">" \fgraph \l 5 </w:instrText>
            </w:r>
            <w:r w:rsidRPr="00425E1F">
              <w:fldChar w:fldCharType="end"/>
            </w:r>
            <w:r>
              <w:rPr>
                <w:noProof/>
                <w:sz w:val="2"/>
                <w:lang w:val="hr-HR" w:eastAsia="hr-HR"/>
              </w:rPr>
              <w:drawing>
                <wp:inline distT="0" distB="0" distL="0" distR="0" wp14:anchorId="046FA35A" wp14:editId="49DA7302">
                  <wp:extent cx="2597595" cy="2004184"/>
                  <wp:effectExtent l="0" t="0" r="0" b="0"/>
                  <wp:docPr id="471" name="Picture 471" descr="&lt;nbr&gt;&lt;GETTEXTFROMWORD&gt;&lt;/nbr&gt;&#10;&lt;title&gt;&lt;GETTEXTFROMWORD&gt;&lt;/title&gt;&#10;&lt;id&gt;4a7f6fbc-d739-45dc-af69-9904894df5a0&lt;/id&gt;&#10;&lt;srcType&gt;EXCEL&lt;/srcType&gt;&#10;&lt;srcPath&gt;U:\Budgetary projections 2018\Reports\2018 AR\Tables_and_graphs\Part I Chapter 3\&lt;/srcPath&gt;&#10;&lt;srcName&gt;Joao - Tables &amp; charts - CHAP 1.xlsx&lt;/srcName&gt;&#10;&lt;type&gt;graph&lt;/type&gt;&#10; &lt;srcSheet&gt;lab prod&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23T10:08:21&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97595" cy="2004184"/>
                          </a:xfrm>
                          <a:prstGeom prst="rect">
                            <a:avLst/>
                          </a:prstGeom>
                          <a:noFill/>
                          <a:ln>
                            <a:noFill/>
                          </a:ln>
                        </pic:spPr>
                      </pic:pic>
                    </a:graphicData>
                  </a:graphic>
                </wp:inline>
              </w:drawing>
            </w:r>
          </w:p>
        </w:tc>
      </w:tr>
      <w:tr w:rsidR="00E7609F" w:rsidRPr="00425E1F" w14:paraId="4F96668B" w14:textId="77777777" w:rsidTr="00460C69">
        <w:trPr>
          <w:cantSplit/>
        </w:trPr>
        <w:tc>
          <w:tcPr>
            <w:tcW w:w="4110" w:type="dxa"/>
            <w:shd w:val="clear" w:color="auto" w:fill="auto"/>
            <w:tcMar>
              <w:bottom w:w="240" w:type="dxa"/>
            </w:tcMar>
          </w:tcPr>
          <w:p w14:paraId="22D13978" w14:textId="77777777" w:rsidR="00E7609F" w:rsidRPr="00425E1F" w:rsidRDefault="00E7609F" w:rsidP="00460C69">
            <w:pPr>
              <w:pStyle w:val="GraphSource"/>
              <w:keepNext/>
            </w:pPr>
            <w:r w:rsidRPr="00425E1F">
              <w:rPr>
                <w:b/>
                <w:i/>
              </w:rPr>
              <w:t>Source:</w:t>
            </w:r>
            <w:r w:rsidRPr="00425E1F">
              <w:t xml:space="preserve"> Commission services, EPC.</w:t>
            </w:r>
          </w:p>
        </w:tc>
      </w:tr>
      <w:bookmarkEnd w:id="84"/>
    </w:tbl>
    <w:p w14:paraId="57E8B3F1" w14:textId="77777777" w:rsidR="00E7609F" w:rsidRPr="00E7609F" w:rsidRDefault="00E7609F" w:rsidP="00460C69">
      <w:pPr>
        <w:sectPr w:rsidR="00E7609F" w:rsidRPr="00E7609F" w:rsidSect="00E7609F">
          <w:headerReference w:type="even" r:id="rId102"/>
          <w:headerReference w:type="default" r:id="rId103"/>
          <w:footerReference w:type="even" r:id="rId104"/>
          <w:footerReference w:type="default" r:id="rId105"/>
          <w:headerReference w:type="first" r:id="rId106"/>
          <w:footerReference w:type="first" r:id="rId107"/>
          <w:endnotePr>
            <w:numFmt w:val="decimal"/>
            <w:numRestart w:val="eachSect"/>
          </w:endnotePr>
          <w:pgSz w:w="11907" w:h="16839"/>
          <w:pgMar w:top="2693" w:right="1701" w:bottom="1417" w:left="1701" w:header="709" w:footer="1191" w:gutter="0"/>
          <w:cols w:num="2" w:space="283"/>
          <w:titlePg/>
          <w:docGrid w:linePitch="360"/>
        </w:sectPr>
      </w:pPr>
    </w:p>
    <w:bookmarkStart w:id="93" w:name="GUIDBA14471359B846328998D3EF28CE7376"/>
    <w:p w14:paraId="154C0F67" w14:textId="77777777" w:rsidR="00FB1300" w:rsidRPr="009F3ED8" w:rsidRDefault="00FB1300" w:rsidP="00FB1300">
      <w:pPr>
        <w:pStyle w:val="EPKitTCFrame"/>
      </w:pPr>
      <w:r w:rsidRPr="009F3ED8">
        <w:lastRenderedPageBreak/>
        <w:fldChar w:fldCharType="begin"/>
      </w:r>
      <w:r w:rsidRPr="009F3ED8">
        <w:rPr>
          <w:vanish w:val="0"/>
        </w:rPr>
        <w:instrText xml:space="preserve"> TC "</w:instrText>
      </w:r>
      <w:bookmarkStart w:id="94" w:name="_Toc511664422"/>
      <w:r w:rsidRPr="009F3ED8">
        <w:rPr>
          <w:vanish w:val="0"/>
        </w:rPr>
        <w:instrText>Part II:</w:instrText>
      </w:r>
      <w:r w:rsidRPr="009F3ED8">
        <w:rPr>
          <w:vanish w:val="0"/>
        </w:rPr>
        <w:tab/>
        <w:instrText>Long-term projections of age-related expenditure and unemployment benefits</w:instrText>
      </w:r>
      <w:bookmarkEnd w:id="94"/>
      <w:r w:rsidRPr="009F3ED8">
        <w:rPr>
          <w:vanish w:val="0"/>
        </w:rPr>
        <w:instrText xml:space="preserve">" \f \l 1 </w:instrText>
      </w:r>
      <w:r w:rsidRPr="009F3ED8">
        <w:fldChar w:fldCharType="end"/>
      </w:r>
    </w:p>
    <w:p w14:paraId="21F796A5" w14:textId="77777777" w:rsidR="00FB1300" w:rsidRDefault="00FB1300" w:rsidP="00FB1300"/>
    <w:bookmarkEnd w:id="93"/>
    <w:p w14:paraId="325B0292" w14:textId="77777777" w:rsidR="00FB1300" w:rsidRDefault="00FB1300" w:rsidP="00FB1300">
      <w:pPr>
        <w:sectPr w:rsidR="00FB1300" w:rsidSect="00FB1300">
          <w:headerReference w:type="even" r:id="rId108"/>
          <w:headerReference w:type="default" r:id="rId109"/>
          <w:footerReference w:type="even" r:id="rId110"/>
          <w:footerReference w:type="default" r:id="rId111"/>
          <w:headerReference w:type="first" r:id="rId112"/>
          <w:footerReference w:type="first" r:id="rId113"/>
          <w:endnotePr>
            <w:numFmt w:val="decimal"/>
          </w:endnotePr>
          <w:type w:val="oddPage"/>
          <w:pgSz w:w="11907" w:h="16839"/>
          <w:pgMar w:top="2693" w:right="1701" w:bottom="1417" w:left="1701" w:header="709" w:footer="1191" w:gutter="0"/>
          <w:cols w:space="708"/>
          <w:titlePg/>
          <w:docGrid w:linePitch="360"/>
        </w:sectPr>
      </w:pPr>
    </w:p>
    <w:bookmarkStart w:id="95" w:name="GUID4B5B752FAD3E422F8A75BF9F38DC752E"/>
    <w:p w14:paraId="687E7194" w14:textId="77777777" w:rsidR="009F3ED8" w:rsidRPr="009F3ED8" w:rsidRDefault="009F3ED8" w:rsidP="00B131B3">
      <w:pPr>
        <w:pStyle w:val="EPKitTCFrame"/>
      </w:pPr>
      <w:r w:rsidRPr="009F3ED8">
        <w:lastRenderedPageBreak/>
        <w:fldChar w:fldCharType="begin"/>
      </w:r>
      <w:r w:rsidRPr="009F3ED8">
        <w:rPr>
          <w:vanish w:val="0"/>
        </w:rPr>
        <w:instrText xml:space="preserve"> TC "</w:instrText>
      </w:r>
      <w:bookmarkStart w:id="96" w:name="_Toc511664423"/>
      <w:r w:rsidRPr="009F3ED8">
        <w:rPr>
          <w:vanish w:val="0"/>
        </w:rPr>
        <w:instrText>1.</w:instrText>
      </w:r>
      <w:r w:rsidRPr="009F3ED8">
        <w:rPr>
          <w:vanish w:val="0"/>
        </w:rPr>
        <w:tab/>
        <w:instrText>Pensions</w:instrText>
      </w:r>
      <w:bookmarkEnd w:id="96"/>
      <w:r w:rsidRPr="009F3ED8">
        <w:rPr>
          <w:vanish w:val="0"/>
        </w:rPr>
        <w:instrText xml:space="preserve">" \f \l 2 </w:instrText>
      </w:r>
      <w:r w:rsidRPr="009F3ED8">
        <w:fldChar w:fldCharType="end"/>
      </w:r>
    </w:p>
    <w:p w14:paraId="55D83319" w14:textId="77777777" w:rsidR="009F3ED8" w:rsidRPr="00B131B3" w:rsidRDefault="009F3ED8" w:rsidP="00B131B3">
      <w:pPr>
        <w:pStyle w:val="NumberedHeading1"/>
        <w:tabs>
          <w:tab w:val="left" w:pos="567"/>
        </w:tabs>
      </w:pPr>
      <w:bookmarkStart w:id="97" w:name="_Toc511664424"/>
      <w:r w:rsidRPr="00B131B3">
        <w:t>1.1.</w:t>
      </w:r>
      <w:r w:rsidRPr="00B131B3">
        <w:tab/>
        <w:t>Introduction</w:t>
      </w:r>
      <w:bookmarkEnd w:id="97"/>
    </w:p>
    <w:p w14:paraId="622D3B58" w14:textId="77777777" w:rsidR="009F3ED8" w:rsidRPr="00B131B3" w:rsidRDefault="009F3ED8" w:rsidP="00B131B3">
      <w:r w:rsidRPr="00B131B3">
        <w:t>The State plays a prominent role in pension provision in the EU countries, reason why the main emphasis of the projections is on public pensions (</w:t>
      </w:r>
      <w:r w:rsidRPr="00B131B3">
        <w:rPr>
          <w:rStyle w:val="Referencafusnote"/>
        </w:rPr>
        <w:footnoteReference w:id="37"/>
      </w:r>
      <w:r w:rsidRPr="00B131B3">
        <w:t>). A broad definition of public schemes and other public pensions includes those schemes that are statutory and that the general government sector administers. Public pension schemes affect public finances as they are considered to belong to the general government sector in the national account system. Ultimately, the government bears the costs and risks attached to the scheme.</w:t>
      </w:r>
    </w:p>
    <w:p w14:paraId="7C4A8312" w14:textId="77777777" w:rsidR="009F3ED8" w:rsidRPr="00B131B3" w:rsidRDefault="009F3ED8" w:rsidP="00B131B3">
      <w:r w:rsidRPr="00B131B3">
        <w:t>One of the crucial parts of the EC-EPC budgetary projection exercise is to assess the impact of ageing populations on pension expenditure.</w:t>
      </w:r>
    </w:p>
    <w:p w14:paraId="51933D27" w14:textId="77777777" w:rsidR="009F3ED8" w:rsidRPr="00B131B3" w:rsidRDefault="009F3ED8" w:rsidP="00B131B3">
      <w:r w:rsidRPr="00B131B3">
        <w:t xml:space="preserve">Public pension set-ups vary significantly across the EU, which makes cross-country comparisons more challenging. System differences stem from various traditions on how to provide retirement income as well as from different phases of the of the pension systems' reform process. However, a strong public sector involvement in the pension system is a common feature for all EU countries. </w:t>
      </w:r>
    </w:p>
    <w:p w14:paraId="189DE580" w14:textId="77777777" w:rsidR="009F3ED8" w:rsidRPr="00B131B3" w:rsidRDefault="009F3ED8" w:rsidP="00B131B3">
      <w:pPr>
        <w:pStyle w:val="NumberedHeading1"/>
        <w:tabs>
          <w:tab w:val="left" w:pos="567"/>
        </w:tabs>
      </w:pPr>
      <w:bookmarkStart w:id="98" w:name="_Toc511664425"/>
      <w:r w:rsidRPr="00B131B3">
        <w:t>1.2.</w:t>
      </w:r>
      <w:r w:rsidRPr="00B131B3">
        <w:tab/>
        <w:t>Taxonomy of main pension schemes in EU countries (</w:t>
      </w:r>
      <w:r w:rsidRPr="00B131B3">
        <w:rPr>
          <w:rStyle w:val="Referencafusnote"/>
        </w:rPr>
        <w:footnoteReference w:id="38"/>
      </w:r>
      <w:r w:rsidRPr="00B131B3">
        <w:t>)</w:t>
      </w:r>
      <w:bookmarkEnd w:id="98"/>
    </w:p>
    <w:p w14:paraId="7C7A1B4A" w14:textId="77777777" w:rsidR="009F3ED8" w:rsidRPr="00B131B3" w:rsidRDefault="009F3ED8" w:rsidP="00B131B3">
      <w:r w:rsidRPr="00B131B3">
        <w:t xml:space="preserve">Public pension systems can be classified according to different criteria, of which two of the most common ones are the funding source and the specific risk assessed. By funding source pensions can be either based on contributions (i.e. earnings-related or contributory) or based on taxes or other sources (i.e. non- earnings-related or non-contributory). By the specific risk assessed, pension schemes are generally classified as old-age and early pension, disability, survivor, minimum/basic or other schemes such as special pensions. When crossing the two classification criteria, one may further refine contributory </w:t>
      </w:r>
      <w:r w:rsidRPr="00B131B3">
        <w:lastRenderedPageBreak/>
        <w:t xml:space="preserve">schemes into old-age and early pension, disability, survivor or other, and non-contributory schemes into forms such as disability, survivor, minimum (or basic) pensions or other. </w:t>
      </w:r>
    </w:p>
    <w:p w14:paraId="7375E422" w14:textId="77777777" w:rsidR="009F3ED8" w:rsidRPr="00B131B3" w:rsidRDefault="009F3ED8" w:rsidP="00B131B3">
      <w:r w:rsidRPr="00B131B3">
        <w:t xml:space="preserve">In the EU publicly provided earnings-related pension systems accumulate entitlements following three broad schemes: defined-benefit (DB), notional defined contribution (NDC), and point systems (PS) (Table </w:t>
      </w:r>
      <w:r w:rsidRPr="00B131B3">
        <w:fldChar w:fldCharType="begin"/>
      </w:r>
      <w:r w:rsidRPr="00B131B3">
        <w:instrText xml:space="preserve"> QUOTE "II.1.1"</w:instrText>
      </w:r>
      <w:r w:rsidRPr="00B131B3">
        <w:fldChar w:fldCharType="begin">
          <w:fldData xml:space="preserve">QwBSAE8AUwBTAFIARQBGAEUAUgBFAE4AQwBFACoAVABBAEIATABFACoAYQBjAGIAMABkADUAOQA3
AC0AMgBmADEAOAAtADQANgA5ADkALQA5ADYAMgBlAC0ANwAyADYAYQA1ADcAZgA0ADAAMgAwADAA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w:t>
      </w:r>
      <w:r w:rsidRPr="00B131B3">
        <w:fldChar w:fldCharType="end"/>
      </w:r>
      <w:r w:rsidRPr="00B131B3">
        <w:t>). In a few EU countries, notably Ireland, Greece, Malta, the Netherlands and the UK, the public pension system provides a flat-rate pension, which can be supplemented by public or private occupational pension schemes. In the UK there is a public earnings-related pension scheme – State Second Pension – and in Ireland, an earnings-related pension scheme for public service employees, while other countries rely on earnings-related private occupational pension schemes.</w:t>
      </w:r>
    </w:p>
    <w:p w14:paraId="0CBDEF1B" w14:textId="77777777" w:rsidR="009F3ED8" w:rsidRPr="00B131B3" w:rsidRDefault="009F3ED8" w:rsidP="00B131B3">
      <w:r w:rsidRPr="00B131B3">
        <w:t xml:space="preserve">The public pension system is based in most countries on statutory earnings or contributions-related old-age pension schemes, which can take the form of a common scheme for all employees or several parallel schemes in different sectors or occupational groups. </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77E70E84" w14:textId="77777777" w:rsidTr="00B131B3">
        <w:trPr>
          <w:cantSplit/>
          <w:trHeight w:val="20"/>
        </w:trPr>
        <w:tc>
          <w:tcPr>
            <w:tcW w:w="4110" w:type="dxa"/>
            <w:shd w:val="clear" w:color="auto" w:fill="auto"/>
          </w:tcPr>
          <w:p w14:paraId="6D8A90EF" w14:textId="77777777" w:rsidR="009F3ED8" w:rsidRPr="00B131B3" w:rsidRDefault="009F3ED8" w:rsidP="00B131B3">
            <w:pPr>
              <w:pStyle w:val="SlimCell"/>
              <w:keepNext/>
            </w:pPr>
          </w:p>
        </w:tc>
      </w:tr>
      <w:tr w:rsidR="009F3ED8" w:rsidRPr="00B131B3" w14:paraId="7EF87B73" w14:textId="77777777" w:rsidTr="00B131B3">
        <w:trPr>
          <w:cantSplit/>
        </w:trPr>
        <w:tc>
          <w:tcPr>
            <w:tcW w:w="4110" w:type="dxa"/>
            <w:shd w:val="clear" w:color="auto" w:fill="auto"/>
          </w:tcPr>
          <w:p w14:paraId="7624DB28" w14:textId="77777777" w:rsidR="009F3ED8" w:rsidRPr="00B131B3" w:rsidRDefault="009F3ED8" w:rsidP="00B131B3">
            <w:pPr>
              <w:pStyle w:val="TableTitle"/>
              <w:rPr>
                <w:b/>
              </w:rPr>
            </w:pPr>
            <w:r w:rsidRPr="00B131B3">
              <w:t>Table II.1.1:</w:t>
            </w:r>
            <w:r w:rsidRPr="00B131B3">
              <w:rPr>
                <w:b/>
              </w:rPr>
              <w:tab/>
              <w:t>Main public pension scheme types in the EU</w:t>
            </w:r>
          </w:p>
        </w:tc>
      </w:tr>
      <w:tr w:rsidR="009F3ED8" w:rsidRPr="00B131B3" w14:paraId="57C9941B" w14:textId="77777777" w:rsidTr="00B131B3">
        <w:trPr>
          <w:cantSplit/>
        </w:trPr>
        <w:tc>
          <w:tcPr>
            <w:tcW w:w="4110" w:type="dxa"/>
            <w:shd w:val="clear" w:color="auto" w:fill="auto"/>
          </w:tcPr>
          <w:p w14:paraId="1DA4D69A" w14:textId="77777777" w:rsidR="009F3ED8" w:rsidRPr="00B131B3" w:rsidRDefault="009F3ED8" w:rsidP="00B131B3">
            <w:pPr>
              <w:pStyle w:val="TableShape"/>
              <w:rPr>
                <w:sz w:val="2"/>
              </w:rPr>
            </w:pPr>
            <w:r w:rsidRPr="00B131B3">
              <w:fldChar w:fldCharType="begin"/>
            </w:r>
            <w:r w:rsidRPr="009F3ED8">
              <w:instrText xml:space="preserve"> TC "</w:instrText>
            </w:r>
            <w:bookmarkStart w:id="99" w:name="_Toc511664520"/>
            <w:r w:rsidRPr="009F3ED8">
              <w:instrText>II.1.1.</w:instrText>
            </w:r>
            <w:r w:rsidRPr="009F3ED8">
              <w:tab/>
              <w:instrText>Main public pension scheme types in the EU</w:instrText>
            </w:r>
            <w:bookmarkEnd w:id="99"/>
            <w:r w:rsidRPr="009F3ED8">
              <w:instrText xml:space="preserve">" \ftable \l 5 </w:instrText>
            </w:r>
            <w:r w:rsidRPr="00B131B3">
              <w:fldChar w:fldCharType="end"/>
            </w:r>
            <w:r>
              <w:rPr>
                <w:noProof/>
                <w:sz w:val="2"/>
                <w:lang w:val="hr-HR" w:eastAsia="hr-HR"/>
              </w:rPr>
              <w:drawing>
                <wp:inline distT="0" distB="0" distL="0" distR="0" wp14:anchorId="5C7B0039" wp14:editId="75C46524">
                  <wp:extent cx="2597595" cy="2360357"/>
                  <wp:effectExtent l="0" t="0" r="0" b="1905"/>
                  <wp:docPr id="149" name="Picture 149" descr="&lt;nbr&gt;&lt;GETTEXTFROMWORD&gt;&lt;/nbr&gt;&#10;&lt;title&gt;&lt;GETTEXTFROMWORD&gt;&lt;/title&gt;&#10;&lt;id&gt;acb0d597-2f18-4699-962e-726a57f40200&lt;/id&gt;&#10;&lt;srcType&gt;EXCEL&lt;/srcType&gt;&#10;&lt;srcPath&gt;U:\Budgetary projections 2018\Reports\2018 AR\Tables_and_graphs\Part II Chapter 1\&lt;/srcPath&gt;&#10;&lt;srcName&gt;overview of pension system annex 2.xlsx&lt;/srcName&gt;&#10;&lt;type&gt;table&lt;/type&gt;&#10; &lt;srcSheet&gt;Taxonomy&lt;/srcSheet&gt;&#10; &lt;srcRange&gt;R2C2:R17C5&lt;/srcRang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6T16:29:44&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97595" cy="2360357"/>
                          </a:xfrm>
                          <a:prstGeom prst="rect">
                            <a:avLst/>
                          </a:prstGeom>
                          <a:noFill/>
                          <a:ln>
                            <a:noFill/>
                          </a:ln>
                        </pic:spPr>
                      </pic:pic>
                    </a:graphicData>
                  </a:graphic>
                </wp:inline>
              </w:drawing>
            </w:r>
          </w:p>
        </w:tc>
      </w:tr>
      <w:tr w:rsidR="009F3ED8" w:rsidRPr="00B131B3" w14:paraId="0BCA9E88" w14:textId="77777777" w:rsidTr="00B131B3">
        <w:trPr>
          <w:cantSplit/>
        </w:trPr>
        <w:tc>
          <w:tcPr>
            <w:tcW w:w="4110" w:type="dxa"/>
            <w:shd w:val="clear" w:color="auto" w:fill="auto"/>
          </w:tcPr>
          <w:p w14:paraId="6B43B88E" w14:textId="77777777" w:rsidR="009F3ED8" w:rsidRDefault="009F3ED8" w:rsidP="00B131B3">
            <w:pPr>
              <w:pStyle w:val="TableFootnote"/>
            </w:pPr>
            <w:r>
              <w:t xml:space="preserve">(1) The NDC is an auxiliary mandatory pension scheme; </w:t>
            </w:r>
            <w:r>
              <w:br/>
              <w:t>(2) PS refers to the complementary schemes AGIRC and ARRCO.</w:t>
            </w:r>
          </w:p>
          <w:p w14:paraId="200C1D3E"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18E16D8B" w14:textId="77777777" w:rsidTr="00B131B3">
        <w:trPr>
          <w:cantSplit/>
          <w:trHeight w:val="20"/>
        </w:trPr>
        <w:tc>
          <w:tcPr>
            <w:tcW w:w="4110" w:type="dxa"/>
            <w:shd w:val="clear" w:color="auto" w:fill="auto"/>
            <w:tcMar>
              <w:bottom w:w="240" w:type="dxa"/>
            </w:tcMar>
          </w:tcPr>
          <w:p w14:paraId="7730740F" w14:textId="77777777" w:rsidR="009F3ED8" w:rsidRPr="00B131B3" w:rsidRDefault="009F3ED8" w:rsidP="00B131B3">
            <w:pPr>
              <w:pStyle w:val="SlimCell"/>
            </w:pPr>
          </w:p>
        </w:tc>
      </w:tr>
    </w:tbl>
    <w:p w14:paraId="1B343E59" w14:textId="77777777" w:rsidR="009F3ED8" w:rsidRPr="00B131B3" w:rsidRDefault="009F3ED8" w:rsidP="00B131B3">
      <w:r w:rsidRPr="00B131B3">
        <w:t xml:space="preserve">The type of benefits provided by the public pension systems varies across countries. Besides </w:t>
      </w:r>
      <w:r w:rsidRPr="00B131B3">
        <w:lastRenderedPageBreak/>
        <w:t>old-age pension schemes, most pension schemes provide also early retirement, disability and survivors’ pensions (Table II.AII.1). Some countries, however, have specific schemes for some of these benefit types; in particular, in some countries disability benefits are not considered pensions (although they are granted for long periods of time), and in some cases they are covered by the sickness insurance scheme.</w:t>
      </w:r>
    </w:p>
    <w:p w14:paraId="3E488F6F" w14:textId="77777777" w:rsidR="009F3ED8" w:rsidRPr="00B131B3" w:rsidRDefault="009F3ED8" w:rsidP="00B131B3">
      <w:r w:rsidRPr="00B131B3">
        <w:t>In addition, most public pension systems also provide a (quasi-)minimum guaranteed or basic pension to those who do not qualify for the earnings-related scheme or have accrued only a small earnings-related pension (Table II.AII.1). Minimum guaranteed pensions are either provided through earnings-related schemes or are means-tested and provided by a specific minimum pension scheme or through a general social assistance scheme.</w:t>
      </w:r>
    </w:p>
    <w:p w14:paraId="00B36A86" w14:textId="77777777" w:rsidR="009F3ED8" w:rsidRPr="00B131B3" w:rsidRDefault="009F3ED8" w:rsidP="00B131B3">
      <w:r w:rsidRPr="00B131B3">
        <w:t xml:space="preserve">Another group of public, chiefly non-contributory pensions are the special pensions, which are present in most EU countries. This group is taken stock of for the first time in this edition of the Ageing Report (Box </w:t>
      </w:r>
      <w:r w:rsidRPr="00B131B3">
        <w:fldChar w:fldCharType="begin"/>
      </w:r>
      <w:r w:rsidRPr="00B131B3">
        <w:instrText xml:space="preserve"> QUOTE "II.1.2"</w:instrText>
      </w:r>
      <w:r w:rsidRPr="00B131B3">
        <w:fldChar w:fldCharType="begin">
          <w:fldData xml:space="preserve">QwBSAE8AUwBTAFIARQBGAEUAUgBFAE4AQwBFACoAQgBPAFgAKgA0ADkAZAA1AGMAYwBlADEALQA2
AGIAMgAwAC0ANAA4ADAAOQAtADkANQAwADEALQA1ADkAMgA3ADgAOQBkADgAMABjADMAYgA=
</w:fldData>
        </w:fldChar>
      </w:r>
      <w:r w:rsidRPr="00B131B3">
        <w:instrText xml:space="preserve"> ADDIN </w:instrText>
      </w:r>
      <w:r w:rsidRPr="00B131B3">
        <w:fldChar w:fldCharType="end"/>
      </w:r>
      <w:r w:rsidRPr="00B131B3">
        <w:instrText xml:space="preserve"> </w:instrText>
      </w:r>
      <w:r w:rsidRPr="00B131B3">
        <w:fldChar w:fldCharType="separate"/>
      </w:r>
      <w:r w:rsidRPr="00B131B3">
        <w:t>II.1.2</w:t>
      </w:r>
      <w:r w:rsidRPr="00B131B3">
        <w:fldChar w:fldCharType="end"/>
      </w:r>
      <w:r w:rsidRPr="00B131B3">
        <w:t>).</w:t>
      </w:r>
    </w:p>
    <w:p w14:paraId="7E0A37F2" w14:textId="77777777" w:rsidR="009F3ED8" w:rsidRPr="00B131B3" w:rsidRDefault="009F3ED8" w:rsidP="00B131B3">
      <w:r w:rsidRPr="00B131B3">
        <w:t>Pensions provided by occupational schemes are those that, rather than being statutory by law, are linked to an employment relationship with the scheme provider, and are often private. However, in some countries, the occupational pension provision is broadly equivalent to earnings-related public pension schemes. Several countries, including Sweden and some new Member States such as Bulgaria, Estonia, Croatia, Latvia, Lithuania, Hungary, Poland and Slovakia, have switched part of their public pension schemes into (quasi-) mandatory private funded schemes. This provision is typically statutory, but the insurance policy is concluded between the individual and the pension fund. Consequently, the insured persons have the ownership of pension assets. This means that the owner enjoys the rewards and bears the risks regarding the value of the assets. Participation in a funded scheme is conditional on participation in the public pension scheme and is mandatory for new entrants to the labour market (in Sweden for all non-retired taxpayers), while it is voluntary for older workers (in Lithuania it is voluntary for all).</w:t>
      </w:r>
    </w:p>
    <w:p w14:paraId="691131A1" w14:textId="77777777" w:rsidR="009F3ED8" w:rsidRPr="00B131B3" w:rsidRDefault="009F3ED8" w:rsidP="00B131B3">
      <w:r w:rsidRPr="00B131B3">
        <w:lastRenderedPageBreak/>
        <w:t xml:space="preserve">However, some of these countries (Hungary, Slovakia and Poland) have recently decided to shift back a part of the private schemes again to public schemes. </w:t>
      </w:r>
    </w:p>
    <w:p w14:paraId="53A9D676" w14:textId="77777777" w:rsidR="009F3ED8" w:rsidRPr="00B131B3" w:rsidRDefault="009F3ED8" w:rsidP="00B131B3">
      <w:r w:rsidRPr="00B131B3">
        <w:t>The financing arrangements of pension systems also differ across countries. Employment-related systems are financed entirely or largely from contributions made by employers (usually a percentage of earnings), workers, or both, and are generally compulsory for defined categories of workers and their employers. Most public pension schemes work on a pay-as-you-go (PAYG) basis, whereby current contribution revenues are used for the payments of current pensions.</w:t>
      </w:r>
    </w:p>
    <w:p w14:paraId="35955911" w14:textId="77777777" w:rsidR="009F3ED8" w:rsidRPr="00B131B3" w:rsidRDefault="009F3ED8" w:rsidP="00B131B3">
      <w:r w:rsidRPr="00B131B3">
        <w:t>The government is "pro forma" the ultimate guarantor of many pension benefits. There is a considerable variation between countries regarding the extent to which contribution revenues cover all pension expenditures or just a certain part of it. In many countries, the national government participates in the financing of employment-related as well as other social security programs. In most countries, guaranteed minimum pensions are covered by general taxes and earnings-related schemes are often subsidised to varying degrees from general government funds. The government may indeed contribute through an appropriation from general revenues based on a percentage of total wages paid to insured workers, finance part or all of the cost of a programme, or pay a subsidy to make up any deficit of an insurance fund. In some cases, the government pays the contributions for low-paid workers (</w:t>
      </w:r>
      <w:r w:rsidRPr="00B131B3">
        <w:rPr>
          <w:rStyle w:val="Referencafusnote"/>
        </w:rPr>
        <w:footnoteReference w:id="39"/>
      </w:r>
      <w:r w:rsidRPr="00B131B3">
        <w:t>). Social security contributions and other earmarked income are kept in a dedicated fund and are shown as a separate item in government accounts.</w:t>
      </w:r>
    </w:p>
    <w:p w14:paraId="3D869FBE" w14:textId="77777777" w:rsidR="009F3ED8" w:rsidRPr="00B131B3" w:rsidRDefault="009F3ED8" w:rsidP="00B131B3">
      <w:r w:rsidRPr="00B131B3">
        <w:t xml:space="preserve">Some specific schemes, notably public sector employees’ pensions, sometimes do not constitute a well identified pension scheme but, instead, disbursements for pensions appear directly as expenditure in the government budget. On the other hand, some predominantly PAYG pension schemes have statutory requirements for partial pre-funding and, in view of the increasing pension expenditure, many governments have started to </w:t>
      </w:r>
      <w:r w:rsidRPr="00B131B3">
        <w:lastRenderedPageBreak/>
        <w:t>collect reserve funds for their public pension schemes.</w:t>
      </w:r>
    </w:p>
    <w:p w14:paraId="70AB0932" w14:textId="77777777" w:rsidR="009F3ED8" w:rsidRPr="00B131B3" w:rsidRDefault="009F3ED8" w:rsidP="00B131B3">
      <w:r w:rsidRPr="00B131B3">
        <w:t>While occupational and private pension schemes are usually funded, the degree of their funding relative to the pension promises may differ, due to the fact that future pension benefits can be related either to the salary and career length (defined benefit system) or to paid contributions.</w:t>
      </w:r>
    </w:p>
    <w:p w14:paraId="6C8CC6D0" w14:textId="77777777" w:rsidR="009F3ED8" w:rsidRPr="00B131B3" w:rsidRDefault="009F3ED8" w:rsidP="00B131B3">
      <w:pPr>
        <w:pStyle w:val="NumberedHeading1"/>
        <w:tabs>
          <w:tab w:val="left" w:pos="567"/>
        </w:tabs>
      </w:pPr>
      <w:bookmarkStart w:id="100" w:name="_Toc511664426"/>
      <w:r w:rsidRPr="00B131B3">
        <w:t>1.3.</w:t>
      </w:r>
      <w:r w:rsidRPr="00B131B3">
        <w:tab/>
        <w:t>Coverage of pension projections</w:t>
      </w:r>
      <w:bookmarkEnd w:id="100"/>
    </w:p>
    <w:p w14:paraId="6FB3F8F2" w14:textId="77777777" w:rsidR="009F3ED8" w:rsidRPr="00B131B3" w:rsidRDefault="009F3ED8" w:rsidP="00B131B3">
      <w:r w:rsidRPr="00B131B3">
        <w:t xml:space="preserve">Pension systems and arrangements are very diverse, making it difficult to reliably project pension expenditure on the basis of one common model for all 28 EU countries. Similarly to past exercises, national projection models are used to reflect more in detail the budgetary impact of institutional features and reforms of the pension systems in individual countries. </w:t>
      </w:r>
    </w:p>
    <w:p w14:paraId="66623E98" w14:textId="77777777" w:rsidR="009F3ED8" w:rsidRPr="00B131B3" w:rsidRDefault="009F3ED8" w:rsidP="00B131B3">
      <w:r w:rsidRPr="00B131B3">
        <w:t>Using country-specific projection models introduces nevertheless an element of heterogeneity in the results. Therefore, to ensure high-quality and comparable pension projections, the AWG and the Commission appraised the results in-depth during five peer review meetings over September-December 2017. In particular, they checked the projected figures' adherence to the agreed methodology and macroeconomic assumptions described in Part I of this report and to the legislation in force in each country for which the cut-off date was December 1st, 2017 (</w:t>
      </w:r>
      <w:r w:rsidRPr="00B131B3">
        <w:rPr>
          <w:rStyle w:val="Referencafusnote"/>
        </w:rPr>
        <w:footnoteReference w:id="40"/>
      </w:r>
      <w:r w:rsidRPr="00B131B3">
        <w:t xml:space="preserve">); they also revised the projections where necessary and validated them. Annex II provides details on the coverage of the projections. </w:t>
      </w:r>
    </w:p>
    <w:p w14:paraId="62082F99" w14:textId="77777777" w:rsidR="009F3ED8" w:rsidRPr="00B131B3" w:rsidRDefault="009F3ED8" w:rsidP="00B131B3">
      <w:r w:rsidRPr="00B131B3">
        <w:t xml:space="preserve">In some cases the huge burden of data required and/or the common macroeconomic assumptions posed some challenges for the national projection models. An overview of the countries with scope for improvement in view of the next projection </w:t>
      </w:r>
      <w:r w:rsidRPr="00B131B3">
        <w:lastRenderedPageBreak/>
        <w:t xml:space="preserve">round is available in the Section 1.10 – Table </w:t>
      </w:r>
      <w:r w:rsidRPr="00B131B3">
        <w:fldChar w:fldCharType="begin"/>
      </w:r>
      <w:r w:rsidRPr="00B131B3">
        <w:instrText xml:space="preserve"> QUOTE "II.1.26"</w:instrText>
      </w:r>
      <w:r w:rsidRPr="00B131B3">
        <w:fldChar w:fldCharType="begin">
          <w:fldData xml:space="preserve">QwBSAE8AUwBTAFIARQBGAEUAUgBFAE4AQwBFACoAVABBAEIATABFACoAMwAzAGEAZgA0AGMAYQAz
AC0ANAA4AGMANwAtADQAOQBmADQALQBiAGYAYgAzAC0AYQBiADQANQAxADEANAAxADcANQAxADYA
</w:fldData>
        </w:fldChar>
      </w:r>
      <w:r w:rsidRPr="00B131B3">
        <w:instrText xml:space="preserve"> ADDIN </w:instrText>
      </w:r>
      <w:r w:rsidRPr="00B131B3">
        <w:fldChar w:fldCharType="end"/>
      </w:r>
      <w:r w:rsidRPr="00B131B3">
        <w:instrText xml:space="preserve"> </w:instrText>
      </w:r>
      <w:r w:rsidRPr="00B131B3">
        <w:fldChar w:fldCharType="separate"/>
      </w:r>
      <w:r w:rsidRPr="00B131B3">
        <w:t>II.1.26</w:t>
      </w:r>
      <w:r w:rsidRPr="00B131B3">
        <w:fldChar w:fldCharType="end"/>
      </w:r>
      <w:r w:rsidRPr="00B131B3">
        <w:t>.</w:t>
      </w:r>
    </w:p>
    <w:p w14:paraId="6F16ED60" w14:textId="77777777" w:rsidR="009F3ED8" w:rsidRPr="00B131B3" w:rsidRDefault="009F3ED8" w:rsidP="00B131B3"/>
    <w:p w14:paraId="5D9D722F" w14:textId="77777777" w:rsidR="009F3ED8" w:rsidRPr="00B131B3" w:rsidRDefault="009F3ED8" w:rsidP="00B131B3">
      <w:pPr>
        <w:pStyle w:val="NumberedHeading1"/>
        <w:tabs>
          <w:tab w:val="left" w:pos="567"/>
        </w:tabs>
      </w:pPr>
      <w:bookmarkStart w:id="101" w:name="_Toc511664427"/>
      <w:r w:rsidRPr="00B131B3">
        <w:t>1.4.</w:t>
      </w:r>
      <w:r w:rsidRPr="00B131B3">
        <w:tab/>
        <w:t>Features of pension systems in the EU</w:t>
      </w:r>
      <w:bookmarkEnd w:id="101"/>
    </w:p>
    <w:p w14:paraId="7C326E14" w14:textId="77777777" w:rsidR="009F3ED8" w:rsidRPr="00B131B3" w:rsidRDefault="009F3ED8" w:rsidP="00B131B3">
      <w:pPr>
        <w:pStyle w:val="NumberedHeading2"/>
        <w:tabs>
          <w:tab w:val="left" w:pos="567"/>
        </w:tabs>
      </w:pPr>
      <w:r w:rsidRPr="00B131B3">
        <w:t>1.4.1.</w:t>
      </w:r>
      <w:r w:rsidRPr="00B131B3">
        <w:tab/>
        <w:t>Pension benefit formulas</w:t>
      </w:r>
    </w:p>
    <w:p w14:paraId="35B602E2" w14:textId="77777777" w:rsidR="009F3ED8" w:rsidRPr="00B131B3" w:rsidRDefault="009F3ED8" w:rsidP="00B131B3">
      <w:r w:rsidRPr="00B131B3">
        <w:t>Publicly provided or 1st pillar pensions account for the lion's share of retirement income in EU countries. Consequently, the projection exercise focuses mainly on public pension expenditure in the first pillar with its main components (minimum, old-age, early retirement, disability and survivors’ pensions). On top of that, several countries have introduced occupational pension schemes and/or private mandatory and voluntary schemes in the 2nd and/or 3rd pillar of their pension systems.</w:t>
      </w:r>
    </w:p>
    <w:p w14:paraId="22995745" w14:textId="77777777" w:rsidR="009F3ED8" w:rsidRPr="00B131B3" w:rsidRDefault="009F3ED8" w:rsidP="00B131B3">
      <w:r w:rsidRPr="00B131B3">
        <w:t>The main characteristics of the existing pension schemes in Member States are presented in Table II.AII.1 in Annex II which shows whether pensions are provided on a flat-rate (probably means-tested) or on an earnings-related basis, whether the enrolment in the scheme is mandatory or voluntary, etc. It also informs about the coverage of current pension projections.</w:t>
      </w:r>
    </w:p>
    <w:p w14:paraId="6FB5AA43" w14:textId="77777777" w:rsidR="009F3ED8" w:rsidRPr="00B131B3" w:rsidRDefault="009F3ED8" w:rsidP="00B131B3">
      <w:r w:rsidRPr="00B131B3">
        <w:t>The coverage of public pensions is in the main complete. (</w:t>
      </w:r>
      <w:r w:rsidRPr="00B131B3">
        <w:rPr>
          <w:rStyle w:val="Referencafusnote"/>
        </w:rPr>
        <w:footnoteReference w:id="41"/>
      </w:r>
      <w:r w:rsidRPr="00B131B3">
        <w:t xml:space="preserve">) In some countries (e.g. Ireland, the United Kingdom and Hungary), disability benefits are not considered pensions. Special pensions are mostly covered by the projections and their proportion in GDP is at least known for the base year 2016 (Table II.AII.2 in Annex II). The latter is also mentioned in the respective pension country fiche and/or Box </w:t>
      </w:r>
      <w:r w:rsidRPr="00B131B3">
        <w:fldChar w:fldCharType="begin"/>
      </w:r>
      <w:r w:rsidRPr="00B131B3">
        <w:instrText xml:space="preserve"> QUOTE "II.1.2"</w:instrText>
      </w:r>
      <w:r w:rsidRPr="00B131B3">
        <w:fldChar w:fldCharType="begin">
          <w:fldData xml:space="preserve">QwBSAE8AUwBTAFIARQBGAEUAUgBFAE4AQwBFACoAQgBPAFgAKgA0ADkAZAA1AGMAYwBlADEALQA2
AGIAMgAwAC0ANAA4ADAAOQAtADkANQAwADEALQA1ADkAMgA3ADgAOQBkADgAMABjADMAYgA=
</w:fldData>
        </w:fldChar>
      </w:r>
      <w:r w:rsidRPr="00B131B3">
        <w:instrText xml:space="preserve"> ADDIN </w:instrText>
      </w:r>
      <w:r w:rsidRPr="00B131B3">
        <w:fldChar w:fldCharType="end"/>
      </w:r>
      <w:r w:rsidRPr="00B131B3">
        <w:instrText xml:space="preserve"> </w:instrText>
      </w:r>
      <w:r w:rsidRPr="00B131B3">
        <w:fldChar w:fldCharType="separate"/>
      </w:r>
      <w:r w:rsidRPr="00B131B3">
        <w:t>II.1.2</w:t>
      </w:r>
      <w:r w:rsidRPr="00B131B3">
        <w:fldChar w:fldCharType="end"/>
      </w:r>
      <w:r w:rsidRPr="00B131B3">
        <w:t>.</w:t>
      </w:r>
    </w:p>
    <w:p w14:paraId="2751AF06" w14:textId="77777777" w:rsidR="009F3ED8" w:rsidRPr="00B131B3" w:rsidRDefault="009F3ED8" w:rsidP="00B131B3">
      <w:r w:rsidRPr="00B131B3">
        <w:t>The size and development of public pension expenditure in the future is not only driven by demographic factors, but also by the generosity of the system, eligibility requirements determining the retirement age and accrual rates. Three important drivers of future spending are: i) the definition of pensionable earnings, ii) the valorisation rule, as well as iii) the indexation rule (Table II.AII.3 in Annex II).</w:t>
      </w:r>
    </w:p>
    <w:p w14:paraId="03B43534" w14:textId="77777777" w:rsidR="009F3ED8" w:rsidRPr="00B131B3" w:rsidRDefault="009F3ED8" w:rsidP="00B131B3">
      <w:r w:rsidRPr="00B131B3">
        <w:lastRenderedPageBreak/>
        <w:t xml:space="preserve">Following reforms over the last decade, many countries apply pension benefit formulas whereby full career earnings are the reference to calculate pension entitlements, hence establishing a close relationship between contributory career and pension benefit. In terms of financial sustainability, this leads, </w:t>
      </w:r>
      <w:r w:rsidRPr="00B131B3">
        <w:rPr>
          <w:i/>
        </w:rPr>
        <w:t>ceteris paribus,</w:t>
      </w:r>
      <w:r w:rsidRPr="00B131B3">
        <w:t xml:space="preserve"> to lower pension expenditures in comparison to countries where pension benefits are calculated with a pensionable earnings reference restricted to a subset of (best earnings) years or to the last years in one's career. A selection of best years or late career years presumably leads to higher pension entitlements as wages are generally higher at the end of the career than at its start. In countries where flat-rate pensions are a relatively large component, the pensionable earnings reference is irrelevant (Ireland, Netherlands and the UK).</w:t>
      </w:r>
    </w:p>
    <w:p w14:paraId="3369ABF6" w14:textId="77777777" w:rsidR="009F3ED8" w:rsidRPr="00B131B3" w:rsidRDefault="009F3ED8" w:rsidP="00B131B3">
      <w:r w:rsidRPr="00B131B3">
        <w:t>Valorisation rules define how pension contributions paid during the working life are capitalised before retirement. Several countries valorise pension contributions in relation to wage developments (Bulgaria, the Czech Republic, Germany, Spain, Cyprus, Lithuania, Luxemburg, Hungary, Austria, Slovenia, Slovakia, Sweden and Norway). Other countries apply a mix of wages and prices (Greece, Croatia, Romania, Finland, Portugal and UK) or a mix of wages (or comparable variables) and GDP growth (Italy) or a pure price valorisation (Belgium and France). Another way to look at pensionable earnings reference and valorisation rule is from the angle of the replacement rate and personal income distribution. Different mixes of the two will result in a higher or lower average initial pension benefit compared to the last average wage received when working (i.e. replacement rate) (</w:t>
      </w:r>
      <w:r w:rsidRPr="00B131B3">
        <w:rPr>
          <w:rStyle w:val="Referencafusnote"/>
        </w:rPr>
        <w:footnoteReference w:id="42"/>
      </w:r>
      <w:r w:rsidRPr="00B131B3">
        <w:t xml:space="preserve">). This determines whether pensioners will be, at retirement, on a higher or lower percentile of the income distribution compared to pre-retirement. Under the wage evolution assumptions described above, countries aiming to preserve the average relative position of new pensioners in the overall personal income distribution tend to use the full career wage as reference for the pensionable earnings and to apply a wage valorisation rule. Alternatively, using the best career wages or an average of recent years as reference for the </w:t>
      </w:r>
      <w:r w:rsidRPr="00B131B3">
        <w:lastRenderedPageBreak/>
        <w:t>pensionable earnings tends to preserve the relative income of the pensioners compared to the distribution of wages at retirement. Valorisation rules that disregard or only partially consider the increase in labour productivity lead to lower pension benefits and hence a lower position in the income distribution at retirement.</w:t>
      </w:r>
    </w:p>
    <w:p w14:paraId="77F6CC50" w14:textId="77777777" w:rsidR="009F3ED8" w:rsidRPr="00B131B3" w:rsidRDefault="009F3ED8" w:rsidP="00B131B3">
      <w:r w:rsidRPr="00B131B3">
        <w:t>Once the average replacement rate at retirement is determined, an additional matter is the indexation of pensions in payment, i.e. how pension preserves its value over time. The evolution of the average public pension in relation to the average wage (i.e. the benefit ratio) is therefore also influenced by, pension indexation, which will determine whether the pensioner can expect to maintain its relative position over the personal income distribution over time. In the projections, wages are assumed to evolve in line with price and labour productivity. A nominal wage indexation rule will enable pensioners to maintain their relative position in the income distribution. On the contrary, partial nominal wage indexation or price indexation will make the pensioners slide towards lower percentiles of the income distribution over time. Hence, overall, the generosity of a pension system is affected by:</w:t>
      </w:r>
    </w:p>
    <w:p w14:paraId="520911FF" w14:textId="77777777" w:rsidR="009F3ED8" w:rsidRPr="00B131B3" w:rsidRDefault="009F3ED8" w:rsidP="009F3ED8">
      <w:pPr>
        <w:pStyle w:val="NumberedList"/>
        <w:numPr>
          <w:ilvl w:val="0"/>
          <w:numId w:val="12"/>
        </w:numPr>
      </w:pPr>
      <w:r w:rsidRPr="00B131B3">
        <w:t>The average replacement rate at retirement (influenced by the valorisation rule) and</w:t>
      </w:r>
    </w:p>
    <w:p w14:paraId="41044412" w14:textId="77777777" w:rsidR="009F3ED8" w:rsidRPr="00B131B3" w:rsidRDefault="009F3ED8" w:rsidP="009F3ED8">
      <w:pPr>
        <w:pStyle w:val="NumberedList"/>
        <w:numPr>
          <w:ilvl w:val="0"/>
          <w:numId w:val="12"/>
        </w:numPr>
      </w:pPr>
      <w:r w:rsidRPr="00B131B3">
        <w:t>The evolution of the benefit ratio (influenced additionally by the indexation rule) (</w:t>
      </w:r>
      <w:r w:rsidRPr="00B131B3">
        <w:rPr>
          <w:rStyle w:val="Referencafusnote"/>
        </w:rPr>
        <w:footnoteReference w:id="43"/>
      </w:r>
      <w:r w:rsidRPr="00B131B3">
        <w:t>).</w:t>
      </w:r>
    </w:p>
    <w:p w14:paraId="5BB4379C" w14:textId="77777777" w:rsidR="009F3ED8" w:rsidRPr="00B131B3" w:rsidRDefault="009F3ED8" w:rsidP="00B131B3">
      <w:r w:rsidRPr="00B131B3">
        <w:t>Indexation rules applied in the EU are generally slightly different from valorisation rules. Most EU countries (23) apply indexation rules for pensions in payment that do not fully reflect a 1:1 relationship with nominal wage increases: some apply a price indexation rule (France, Italy, Hungary, Austria and Slovakia), others an indexation mix of wages (or comparable variables) and prices (Belgium, Bulgaria, the Czech Republic, Estonia, Croatia, Cyprus, Latvia, Malta, Poland, Romania (</w:t>
      </w:r>
      <w:r w:rsidRPr="00B131B3">
        <w:rPr>
          <w:rStyle w:val="Referencafusnote"/>
        </w:rPr>
        <w:footnoteReference w:id="44"/>
      </w:r>
      <w:r w:rsidRPr="00B131B3">
        <w:t xml:space="preserve">), Slovenia, and Finland), a mix of GDP growth and prices (Greece, Portugal) or automatic balancing mechanisms whereby pension indexation is linked to the sustainability of the social security system (Spain, Germany, </w:t>
      </w:r>
      <w:r w:rsidRPr="00B131B3">
        <w:lastRenderedPageBreak/>
        <w:t>Sweden). Since 2011, the United Kingdom has applied annually a "triple guarantee" (the so called "triple-lock" system), with pensions being increased by the highest of wage growth, inflation or 2.5%; however, indexation to wages, which is the minimum required by law, has been assumed in the projections.</w:t>
      </w:r>
    </w:p>
    <w:p w14:paraId="2BC64A0B" w14:textId="77777777" w:rsidR="009F3ED8" w:rsidRPr="00B131B3" w:rsidRDefault="009F3ED8" w:rsidP="00B131B3">
      <w:r w:rsidRPr="00B131B3">
        <w:t xml:space="preserve">In addition, some countries (Germany, Finland, Spain, Italy, Latvia, Poland, Portugal, Sweden and Norway) have introduced a “sustainability factor” and/or other "reduction coefficients” into the calculation mechanism that determines the amount of pension entitlements (Table </w:t>
      </w:r>
      <w:r w:rsidRPr="00B131B3">
        <w:fldChar w:fldCharType="begin"/>
      </w:r>
      <w:r w:rsidRPr="00B131B3">
        <w:instrText xml:space="preserve"> QUOTE "II.1.2"</w:instrText>
      </w:r>
      <w:r w:rsidRPr="00B131B3">
        <w:fldChar w:fldCharType="begin">
          <w:fldData xml:space="preserve">QwBSAE8AUwBTAFIARQBGAEUAUgBFAE4AQwBFACoAVABBAEIATABFACoAYgAwAGQAZgAxADYAZgBk
AC0AMwA2ADkANwAtADQAYwA0AGQALQA4ADQAZgAzAC0AZAAzADcAMQA0ADQAZgAxADgAZQAwADMA
</w:fldData>
        </w:fldChar>
      </w:r>
      <w:r w:rsidRPr="00B131B3">
        <w:instrText xml:space="preserve"> ADDIN </w:instrText>
      </w:r>
      <w:r w:rsidRPr="00B131B3">
        <w:fldChar w:fldCharType="end"/>
      </w:r>
      <w:r w:rsidRPr="00B131B3">
        <w:instrText xml:space="preserve"> </w:instrText>
      </w:r>
      <w:r w:rsidRPr="00B131B3">
        <w:fldChar w:fldCharType="separate"/>
      </w:r>
      <w:r w:rsidRPr="00B131B3">
        <w:t>II.1.2</w:t>
      </w:r>
      <w:r w:rsidRPr="00B131B3">
        <w:fldChar w:fldCharType="end"/>
      </w:r>
      <w:r w:rsidRPr="00B131B3">
        <w:t>). These factors change the size of the pension benefit, depending on expected demographic changes such as the life expectancy at the time of retirement or the ratio between contributions and pensions.</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0D109DC6" w14:textId="77777777" w:rsidTr="00B131B3">
        <w:trPr>
          <w:cantSplit/>
          <w:trHeight w:val="20"/>
        </w:trPr>
        <w:tc>
          <w:tcPr>
            <w:tcW w:w="4110" w:type="dxa"/>
            <w:shd w:val="clear" w:color="auto" w:fill="auto"/>
          </w:tcPr>
          <w:p w14:paraId="711350D3" w14:textId="77777777" w:rsidR="009F3ED8" w:rsidRPr="00B131B3" w:rsidRDefault="009F3ED8" w:rsidP="00B131B3">
            <w:pPr>
              <w:pStyle w:val="SlimCell"/>
              <w:keepNext/>
            </w:pPr>
          </w:p>
        </w:tc>
      </w:tr>
      <w:tr w:rsidR="009F3ED8" w:rsidRPr="00B131B3" w14:paraId="6EB7169F" w14:textId="77777777" w:rsidTr="00B131B3">
        <w:trPr>
          <w:cantSplit/>
        </w:trPr>
        <w:tc>
          <w:tcPr>
            <w:tcW w:w="4110" w:type="dxa"/>
            <w:shd w:val="clear" w:color="auto" w:fill="auto"/>
          </w:tcPr>
          <w:p w14:paraId="518176CA" w14:textId="77777777" w:rsidR="009F3ED8" w:rsidRPr="00B131B3" w:rsidRDefault="009F3ED8" w:rsidP="00B131B3">
            <w:pPr>
              <w:pStyle w:val="TableTitle"/>
              <w:rPr>
                <w:b/>
              </w:rPr>
            </w:pPr>
            <w:r w:rsidRPr="00B131B3">
              <w:t>Table II.1.2:</w:t>
            </w:r>
            <w:r w:rsidRPr="00B131B3">
              <w:rPr>
                <w:b/>
              </w:rPr>
              <w:tab/>
              <w:t>Automatic balancing mechanisms, sustainability factors and links to life expectancy in pension systems</w:t>
            </w:r>
          </w:p>
        </w:tc>
      </w:tr>
      <w:tr w:rsidR="009F3ED8" w:rsidRPr="00B131B3" w14:paraId="6E39ACA3" w14:textId="77777777" w:rsidTr="00B131B3">
        <w:trPr>
          <w:cantSplit/>
        </w:trPr>
        <w:tc>
          <w:tcPr>
            <w:tcW w:w="4110" w:type="dxa"/>
            <w:shd w:val="clear" w:color="auto" w:fill="auto"/>
          </w:tcPr>
          <w:p w14:paraId="00EBB98B" w14:textId="77777777" w:rsidR="009F3ED8" w:rsidRPr="00B131B3" w:rsidRDefault="009F3ED8" w:rsidP="00B131B3">
            <w:pPr>
              <w:pStyle w:val="TableShape"/>
              <w:rPr>
                <w:sz w:val="2"/>
              </w:rPr>
            </w:pPr>
            <w:r w:rsidRPr="00B131B3">
              <w:fldChar w:fldCharType="begin"/>
            </w:r>
            <w:r w:rsidRPr="009F3ED8">
              <w:instrText xml:space="preserve"> TC "</w:instrText>
            </w:r>
            <w:bookmarkStart w:id="102" w:name="_Toc511664521"/>
            <w:r w:rsidRPr="009F3ED8">
              <w:instrText>II.1.2.</w:instrText>
            </w:r>
            <w:r w:rsidRPr="009F3ED8">
              <w:tab/>
              <w:instrText>Automatic balancing mechanisms, sustainability factors and links to life expectancy in pension systems</w:instrText>
            </w:r>
            <w:bookmarkEnd w:id="102"/>
            <w:r w:rsidRPr="009F3ED8">
              <w:instrText xml:space="preserve">" \ftable \l 5 </w:instrText>
            </w:r>
            <w:r w:rsidRPr="00B131B3">
              <w:fldChar w:fldCharType="end"/>
            </w:r>
            <w:r>
              <w:rPr>
                <w:noProof/>
                <w:sz w:val="2"/>
                <w:lang w:val="hr-HR" w:eastAsia="hr-HR"/>
              </w:rPr>
              <w:drawing>
                <wp:inline distT="0" distB="0" distL="0" distR="0" wp14:anchorId="0A691F80" wp14:editId="7DEA2A11">
                  <wp:extent cx="2597595" cy="2254075"/>
                  <wp:effectExtent l="0" t="0" r="0" b="0"/>
                  <wp:docPr id="150" name="Picture 150" descr="&lt;nbr&gt;&lt;GETTEXTFROMWORD&gt;&lt;/nbr&gt;&#10;&lt;title&gt;&lt;GETTEXTFROMWORD&gt;&lt;/title&gt;&#10;&lt;id&gt;b0df16fd-3697-4c4d-84f3-d37144f18e03&lt;/id&gt;&#10;&lt;srcType&gt;EXCEL&lt;/srcType&gt;&#10;&lt;srcPath&gt;U:\Budgetary projections 2018\Reports\2018 AR\Tables_and_graphs\Part II Chapter 1\&lt;/srcPath&gt;&#10;&lt;srcName&gt;overview of pension system annex 2.xlsx&lt;/srcName&gt;&#10;&lt;type&gt;table&lt;/type&gt;&#10; &lt;srcSheet&gt;Automatic balancing&lt;/srcSheet&gt;&#10; &lt;srcRange&gt;R2C2:R19C5&lt;/srcRang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6T16:29:44&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97595" cy="2254075"/>
                          </a:xfrm>
                          <a:prstGeom prst="rect">
                            <a:avLst/>
                          </a:prstGeom>
                          <a:noFill/>
                          <a:ln>
                            <a:noFill/>
                          </a:ln>
                        </pic:spPr>
                      </pic:pic>
                    </a:graphicData>
                  </a:graphic>
                </wp:inline>
              </w:drawing>
            </w:r>
          </w:p>
        </w:tc>
      </w:tr>
      <w:tr w:rsidR="009F3ED8" w:rsidRPr="00B131B3" w14:paraId="38E9D458" w14:textId="77777777" w:rsidTr="00B131B3">
        <w:trPr>
          <w:cantSplit/>
        </w:trPr>
        <w:tc>
          <w:tcPr>
            <w:tcW w:w="4110" w:type="dxa"/>
            <w:shd w:val="clear" w:color="auto" w:fill="auto"/>
          </w:tcPr>
          <w:p w14:paraId="35A0CA53" w14:textId="77777777" w:rsidR="009F3ED8" w:rsidRDefault="009F3ED8" w:rsidP="00B131B3">
            <w:pPr>
              <w:pStyle w:val="TableFootnote"/>
            </w:pPr>
            <w:r>
              <w:t>(1) In all the NDC system the benefit is linked to life Expectancy through the annuity factor.</w:t>
            </w:r>
            <w:r>
              <w:br/>
              <w:t>*Pension benefits evolve in line with life expectancy, through the coefficient of 'proratisation'; it has been legislated until 2035 and not thereafter.</w:t>
            </w:r>
            <w:r>
              <w:br/>
              <w:t>** Only two thirds of the increase in life expectancy is reflected in the retirement age.</w:t>
            </w:r>
            <w:r>
              <w:br/>
              <w:t>*** An automatic balancing mechanism is applied in auxiliary pension system.</w:t>
            </w:r>
            <w:r>
              <w:br/>
              <w:t>****Subject to parliamentary decision.</w:t>
            </w:r>
            <w:r>
              <w:br/>
              <w:t>***** Subject to parliamentary decision. A stable proportion between the contribution periods and life expectancy at retirement is to be kept (the Government is obliged to lay on the Table of the House of Representatives, within intervals not exceeding the period of 5 years, a report giving recommendations with a view of keeping a stable proportion between the contribution periods and life expectancy at retirement).</w:t>
            </w:r>
          </w:p>
          <w:p w14:paraId="747EA0C0"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4EA80925" w14:textId="77777777" w:rsidTr="00B131B3">
        <w:trPr>
          <w:cantSplit/>
          <w:trHeight w:val="20"/>
        </w:trPr>
        <w:tc>
          <w:tcPr>
            <w:tcW w:w="4110" w:type="dxa"/>
            <w:shd w:val="clear" w:color="auto" w:fill="auto"/>
            <w:tcMar>
              <w:bottom w:w="240" w:type="dxa"/>
            </w:tcMar>
          </w:tcPr>
          <w:p w14:paraId="7D8411B3" w14:textId="77777777" w:rsidR="009F3ED8" w:rsidRPr="00B131B3" w:rsidRDefault="009F3ED8" w:rsidP="00B131B3">
            <w:pPr>
              <w:pStyle w:val="SlimCell"/>
            </w:pPr>
          </w:p>
        </w:tc>
      </w:tr>
    </w:tbl>
    <w:p w14:paraId="1F73B9DE" w14:textId="77777777" w:rsidR="009F3ED8" w:rsidRPr="00B131B3" w:rsidRDefault="009F3ED8" w:rsidP="00B131B3">
      <w:r w:rsidRPr="00B131B3">
        <w:lastRenderedPageBreak/>
        <w:t>The legislated indexation rule is crucial when dealing with the provision of minimum pensions. A more detailed analysis of the evolution of projected minimum pension is presented in Section 1.6.4 of this chapter.</w:t>
      </w:r>
    </w:p>
    <w:p w14:paraId="35AE42EE" w14:textId="77777777" w:rsidR="009F3ED8" w:rsidRPr="00B131B3" w:rsidRDefault="009F3ED8" w:rsidP="00B131B3">
      <w:pPr>
        <w:pStyle w:val="Heading"/>
      </w:pPr>
      <w:r w:rsidRPr="00B131B3">
        <w:t>Retirement age</w:t>
      </w:r>
    </w:p>
    <w:p w14:paraId="794A70A9" w14:textId="77777777" w:rsidR="009F3ED8" w:rsidRPr="00B131B3" w:rsidRDefault="009F3ED8" w:rsidP="00B131B3">
      <w:r w:rsidRPr="00B131B3">
        <w:t xml:space="preserve">Large differences in pension legislation can be observed not only with respect to indexation rules, but also concerning official retirement ages and incentives to postpone retirement. </w:t>
      </w:r>
    </w:p>
    <w:p w14:paraId="37D0F92F" w14:textId="77777777" w:rsidR="009F3ED8" w:rsidRPr="00B131B3" w:rsidRDefault="009F3ED8" w:rsidP="00B131B3">
      <w:r w:rsidRPr="00B131B3">
        <w:t xml:space="preserve">The statutory retirement age, early retirement schemes, and the presence of incentives through bonuses and penalties all influence the retirement behaviour of individuals (Table </w:t>
      </w:r>
      <w:r w:rsidRPr="00B131B3">
        <w:fldChar w:fldCharType="begin"/>
      </w:r>
      <w:r w:rsidRPr="00B131B3">
        <w:instrText xml:space="preserve"> QUOTE "II.1.3"</w:instrText>
      </w:r>
      <w:r w:rsidRPr="00B131B3">
        <w:fldChar w:fldCharType="begin">
          <w:fldData xml:space="preserve">QwBSAE8AUwBTAFIARQBGAEUAUgBFAE4AQwBFACoAVABBAEIATABFACoAZQBjAGYAMAAzADEAZgA1
AC0ANgBlAGYAZgAtADQAYQAwADgALQBhAGUANQBjAC0AOQAxAGUAZgBjAGEAZQA0ADQAMwBkADAA
</w:fldData>
        </w:fldChar>
      </w:r>
      <w:r w:rsidRPr="00B131B3">
        <w:instrText xml:space="preserve"> ADDIN </w:instrText>
      </w:r>
      <w:r w:rsidRPr="00B131B3">
        <w:fldChar w:fldCharType="end"/>
      </w:r>
      <w:r w:rsidRPr="00B131B3">
        <w:instrText xml:space="preserve"> </w:instrText>
      </w:r>
      <w:r w:rsidRPr="00B131B3">
        <w:fldChar w:fldCharType="separate"/>
      </w:r>
      <w:r w:rsidRPr="00B131B3">
        <w:t>II.1.3</w:t>
      </w:r>
      <w:r w:rsidRPr="00B131B3">
        <w:fldChar w:fldCharType="end"/>
      </w:r>
      <w:r w:rsidRPr="00B131B3">
        <w:t xml:space="preserve">) and determine the effective exit ages from the labour market (Table </w:t>
      </w:r>
      <w:r w:rsidRPr="00B131B3">
        <w:fldChar w:fldCharType="begin"/>
      </w:r>
      <w:r w:rsidRPr="00B131B3">
        <w:instrText xml:space="preserve"> QUOTE "II.1.4"</w:instrText>
      </w:r>
      <w:r w:rsidRPr="00B131B3">
        <w:fldChar w:fldCharType="begin">
          <w:fldData xml:space="preserve">QwBSAE8AUwBTAFIARQBGAEUAUgBFAE4AQwBFACoAVABBAEIATABFACoAMQBjADQAZAA5AGYAMgBm
AC0AYwAxAGIAZAAtADQAZAA0ADAALQA5ADEAYQA0AC0AOQA1ADQAZQBhAGQAOABlADQAOAAxAGIA
</w:fldData>
        </w:fldChar>
      </w:r>
      <w:r w:rsidRPr="00B131B3">
        <w:instrText xml:space="preserve"> ADDIN </w:instrText>
      </w:r>
      <w:r w:rsidRPr="00B131B3">
        <w:fldChar w:fldCharType="end"/>
      </w:r>
      <w:r w:rsidRPr="00B131B3">
        <w:instrText xml:space="preserve"> </w:instrText>
      </w:r>
      <w:r w:rsidRPr="00B131B3">
        <w:fldChar w:fldCharType="separate"/>
      </w:r>
      <w:r w:rsidRPr="00B131B3">
        <w:t>II.1.4</w:t>
      </w:r>
      <w:r w:rsidRPr="00B131B3">
        <w:fldChar w:fldCharType="end"/>
      </w:r>
      <w:r w:rsidRPr="00B131B3">
        <w:t>) (</w:t>
      </w:r>
      <w:r w:rsidRPr="00B131B3">
        <w:rPr>
          <w:rStyle w:val="Referencafusnote"/>
        </w:rPr>
        <w:footnoteReference w:id="45"/>
      </w:r>
      <w:r w:rsidRPr="00B131B3">
        <w:t>)(</w:t>
      </w:r>
      <w:r w:rsidRPr="00B131B3">
        <w:rPr>
          <w:rStyle w:val="Referencafusnote"/>
        </w:rPr>
        <w:footnoteReference w:id="46"/>
      </w:r>
      <w:r w:rsidRPr="00B131B3">
        <w:t>).</w:t>
      </w:r>
    </w:p>
    <w:p w14:paraId="66F4483A" w14:textId="77777777" w:rsidR="009F3ED8" w:rsidRPr="00B131B3" w:rsidRDefault="009F3ED8" w:rsidP="00B131B3">
      <w:r w:rsidRPr="00B131B3">
        <w:t>Early retirement schemes and/or other government measures providing pension income before the official retirement age create an opportunity to exit the labour market sooner. Hence, one way to increase the effective exit age from the labour market (and also the effective retirement age) in line with an increase in the statutory retirement would be to extend the required years of contributions or to restrict early retirement, consistently increasing employment opportunities for older workers. Another way is to introduce financial incentives to stay longer in the labour market applying penalties and bonuses in the pension calculation for those who exit the market earlier/later (e.g. France, Portugal), the latter entitling pensioners to higher benefits after retirement.</w:t>
      </w:r>
    </w:p>
    <w:p w14:paraId="4483D633" w14:textId="77777777" w:rsidR="009F3ED8" w:rsidRPr="00B131B3" w:rsidRDefault="009F3ED8" w:rsidP="00B131B3">
      <w:r w:rsidRPr="00B131B3">
        <w:t xml:space="preserve">The legislation regarding the three factors mentioned above determines that in most countries people effectively exit on average the labour market at ages lower than the respective statutory retirement ages, both currently and in the projections (Tables </w:t>
      </w:r>
      <w:r w:rsidRPr="00B131B3">
        <w:fldChar w:fldCharType="begin"/>
      </w:r>
      <w:r w:rsidRPr="00B131B3">
        <w:instrText xml:space="preserve"> QUOTE "II.1.3"</w:instrText>
      </w:r>
      <w:r w:rsidRPr="00B131B3">
        <w:fldChar w:fldCharType="begin">
          <w:fldData xml:space="preserve">QwBSAE8AUwBTAFIARQBGAEUAUgBFAE4AQwBFACoAVABBAEIATABFACoAZQBjAGYAMAAzADEAZgA1
AC0ANgBlAGYAZgAtADQAYQAwADgALQBhAGUANQBjAC0AOQAxAGUAZgBjAGEAZQA0ADQAMwBkADAA
</w:fldData>
        </w:fldChar>
      </w:r>
      <w:r w:rsidRPr="00B131B3">
        <w:instrText xml:space="preserve"> ADDIN </w:instrText>
      </w:r>
      <w:r w:rsidRPr="00B131B3">
        <w:fldChar w:fldCharType="end"/>
      </w:r>
      <w:r w:rsidRPr="00B131B3">
        <w:instrText xml:space="preserve"> </w:instrText>
      </w:r>
      <w:r w:rsidRPr="00B131B3">
        <w:fldChar w:fldCharType="separate"/>
      </w:r>
      <w:r w:rsidRPr="00B131B3">
        <w:t>II.1.3</w:t>
      </w:r>
      <w:r w:rsidRPr="00B131B3">
        <w:fldChar w:fldCharType="end"/>
      </w:r>
      <w:r w:rsidRPr="00B131B3">
        <w:t xml:space="preserve"> and </w:t>
      </w:r>
      <w:r w:rsidRPr="00B131B3">
        <w:fldChar w:fldCharType="begin"/>
      </w:r>
      <w:r w:rsidRPr="00B131B3">
        <w:instrText xml:space="preserve"> QUOTE "II.1.4"</w:instrText>
      </w:r>
      <w:r w:rsidRPr="00B131B3">
        <w:fldChar w:fldCharType="begin">
          <w:fldData xml:space="preserve">QwBSAE8AUwBTAFIARQBGAEUAUgBFAE4AQwBFACoAVABBAEIATABFACoAMQBjADQAZAA5AGYAMgBm
AC0AYwAxAGIAZAAtADQAZAA0ADAALQA5ADEAYQA0AC0AOQA1ADQAZQBhAGQAOABlADQAOAAxAGIA
</w:fldData>
        </w:fldChar>
      </w:r>
      <w:r w:rsidRPr="00B131B3">
        <w:instrText xml:space="preserve"> ADDIN </w:instrText>
      </w:r>
      <w:r w:rsidRPr="00B131B3">
        <w:fldChar w:fldCharType="end"/>
      </w:r>
      <w:r w:rsidRPr="00B131B3">
        <w:instrText xml:space="preserve"> </w:instrText>
      </w:r>
      <w:r w:rsidRPr="00B131B3">
        <w:fldChar w:fldCharType="separate"/>
      </w:r>
      <w:r w:rsidRPr="00B131B3">
        <w:t>II.1.4</w:t>
      </w:r>
      <w:r w:rsidRPr="00B131B3">
        <w:fldChar w:fldCharType="end"/>
      </w:r>
      <w:r w:rsidRPr="00B131B3">
        <w:t xml:space="preserve">). However, by 2070 the average effective exit age is set to </w:t>
      </w:r>
      <w:r w:rsidRPr="00B131B3">
        <w:lastRenderedPageBreak/>
        <w:t xml:space="preserve">converge towards the statutory retirement age in most countries (Graph </w:t>
      </w:r>
      <w:r w:rsidRPr="00B131B3">
        <w:fldChar w:fldCharType="begin"/>
      </w:r>
      <w:r w:rsidRPr="00B131B3">
        <w:instrText xml:space="preserve"> QUOTE "II.1.1"</w:instrText>
      </w:r>
      <w:r w:rsidRPr="00B131B3">
        <w:fldChar w:fldCharType="begin">
          <w:fldData xml:space="preserve">QwBSAE8AUwBTAFIARQBGAEUAUgBFAE4AQwBFACoAQwBMAFUAUwBUAEUAUgAgAE8ARgAgAEcAUgBB
AFAASABTACoAZABlAGIAYQA3AGEANwBiAC0AMABjADIAMgAtADQAZQA2ADUALQBhADgANgA0AC0A
YQA5ADAAMwA0AGQAMQAxAGYAYwA4ADkA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w:t>
      </w:r>
      <w:r w:rsidRPr="00B131B3">
        <w:fldChar w:fldCharType="end"/>
      </w:r>
      <w:r w:rsidRPr="00B131B3">
        <w:t xml:space="preserve">). Moreover, as a result of recent reforms in many countries, statutory retirement ages for males and females will gradually converge for all countries except Romania (Table </w:t>
      </w:r>
      <w:r w:rsidRPr="00B131B3">
        <w:fldChar w:fldCharType="begin"/>
      </w:r>
      <w:r w:rsidRPr="00B131B3">
        <w:instrText xml:space="preserve"> QUOTE "II.1.3"</w:instrText>
      </w:r>
      <w:r w:rsidRPr="00B131B3">
        <w:fldChar w:fldCharType="begin">
          <w:fldData xml:space="preserve">QwBSAE8AUwBTAFIARQBGAEUAUgBFAE4AQwBFACoAVABBAEIATABFACoAZQBjAGYAMAAzADEAZgA1
AC0ANgBlAGYAZgAtADQAYQAwADgALQBhAGUANQBjAC0AOQAxAGUAZgBjAGEAZQA0ADQAMwBkADAA
</w:fldData>
        </w:fldChar>
      </w:r>
      <w:r w:rsidRPr="00B131B3">
        <w:instrText xml:space="preserve"> ADDIN </w:instrText>
      </w:r>
      <w:r w:rsidRPr="00B131B3">
        <w:fldChar w:fldCharType="end"/>
      </w:r>
      <w:r w:rsidRPr="00B131B3">
        <w:instrText xml:space="preserve"> </w:instrText>
      </w:r>
      <w:r w:rsidRPr="00B131B3">
        <w:fldChar w:fldCharType="separate"/>
      </w:r>
      <w:r w:rsidRPr="00B131B3">
        <w:t>II.1.3</w:t>
      </w:r>
      <w:r w:rsidRPr="00B131B3">
        <w:fldChar w:fldCharType="end"/>
      </w:r>
      <w:r w:rsidRPr="00B131B3">
        <w:t xml:space="preserve">). In almost every Member State, statutory retirement ages and effective exit ages from the labour market will also rise substantially by 2070, with major steps often taking place within the next two decades (Tables </w:t>
      </w:r>
      <w:r w:rsidRPr="00B131B3">
        <w:fldChar w:fldCharType="begin"/>
      </w:r>
      <w:r w:rsidRPr="00B131B3">
        <w:instrText xml:space="preserve"> QUOTE "II.1.3"</w:instrText>
      </w:r>
      <w:r w:rsidRPr="00B131B3">
        <w:fldChar w:fldCharType="begin">
          <w:fldData xml:space="preserve">QwBSAE8AUwBTAFIARQBGAEUAUgBFAE4AQwBFACoAVABBAEIATABFACoAZQBjAGYAMAAzADEAZgA1
AC0ANgBlAGYAZgAtADQAYQAwADgALQBhAGUANQBjAC0AOQAxAGUAZgBjAGEAZQA0ADQAMwBkADAA
</w:fldData>
        </w:fldChar>
      </w:r>
      <w:r w:rsidRPr="00B131B3">
        <w:instrText xml:space="preserve"> ADDIN </w:instrText>
      </w:r>
      <w:r w:rsidRPr="00B131B3">
        <w:fldChar w:fldCharType="end"/>
      </w:r>
      <w:r w:rsidRPr="00B131B3">
        <w:instrText xml:space="preserve"> </w:instrText>
      </w:r>
      <w:r w:rsidRPr="00B131B3">
        <w:fldChar w:fldCharType="separate"/>
      </w:r>
      <w:r w:rsidRPr="00B131B3">
        <w:t>II.1.3</w:t>
      </w:r>
      <w:r w:rsidRPr="00B131B3">
        <w:fldChar w:fldCharType="end"/>
      </w:r>
      <w:r w:rsidRPr="00B131B3">
        <w:t xml:space="preserve"> and </w:t>
      </w:r>
      <w:r w:rsidRPr="00B131B3">
        <w:fldChar w:fldCharType="begin"/>
      </w:r>
      <w:r w:rsidRPr="00B131B3">
        <w:instrText xml:space="preserve"> QUOTE "II.1.4"</w:instrText>
      </w:r>
      <w:r w:rsidRPr="00B131B3">
        <w:fldChar w:fldCharType="begin">
          <w:fldData xml:space="preserve">QwBSAE8AUwBTAFIARQBGAEUAUgBFAE4AQwBFACoAVABBAEIATABFACoAMQBjADQAZAA5AGYAMgBm
AC0AYwAxAGIAZAAtADQAZAA0ADAALQA5ADEAYQA0AC0AOQA1ADQAZQBhAGQAOABlADQAOAAxAGIA
</w:fldData>
        </w:fldChar>
      </w:r>
      <w:r w:rsidRPr="00B131B3">
        <w:instrText xml:space="preserve"> ADDIN </w:instrText>
      </w:r>
      <w:r w:rsidRPr="00B131B3">
        <w:fldChar w:fldCharType="end"/>
      </w:r>
      <w:r w:rsidRPr="00B131B3">
        <w:instrText xml:space="preserve"> </w:instrText>
      </w:r>
      <w:r w:rsidRPr="00B131B3">
        <w:fldChar w:fldCharType="separate"/>
      </w:r>
      <w:r w:rsidRPr="00B131B3">
        <w:t>II.1.4</w:t>
      </w:r>
      <w:r w:rsidRPr="00B131B3">
        <w:fldChar w:fldCharType="end"/>
      </w:r>
      <w:r w:rsidRPr="00B131B3">
        <w:t xml:space="preserve">). Box </w:t>
      </w:r>
      <w:r w:rsidRPr="00B131B3">
        <w:fldChar w:fldCharType="begin"/>
      </w:r>
      <w:r w:rsidRPr="00B131B3">
        <w:instrText xml:space="preserve"> QUOTE "II.1.1"</w:instrText>
      </w:r>
      <w:r w:rsidRPr="00B131B3">
        <w:fldChar w:fldCharType="begin">
          <w:fldData xml:space="preserve">QwBSAE8AUwBTAFIARQBGAEUAUgBFAE4AQwBFACoAQgBPAFgAKgBlAGQAMAA4ADUAMwBiAGMALQBi
ADAAOQBhAC0ANAA5AGQAMQAtADgANgAxAGEALQBkADUANQBhADAAMwAzADcANQA2AGQANQA=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w:t>
      </w:r>
      <w:r w:rsidRPr="00B131B3">
        <w:fldChar w:fldCharType="end"/>
      </w:r>
      <w:r w:rsidRPr="00B131B3">
        <w:t xml:space="preserve"> compares labour market exit ages with the average age at which people start receiving pension benefits.</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48B5DD51" w14:textId="77777777" w:rsidTr="00B131B3">
        <w:trPr>
          <w:cantSplit/>
        </w:trPr>
        <w:tc>
          <w:tcPr>
            <w:tcW w:w="4110" w:type="dxa"/>
            <w:shd w:val="clear" w:color="auto" w:fill="auto"/>
          </w:tcPr>
          <w:p w14:paraId="10BD4968" w14:textId="77777777" w:rsidR="009F3ED8" w:rsidRPr="00B131B3" w:rsidRDefault="009F3ED8" w:rsidP="00B131B3">
            <w:pPr>
              <w:pStyle w:val="GraphTitle"/>
              <w:rPr>
                <w:b/>
              </w:rPr>
            </w:pPr>
            <w:r w:rsidRPr="00B131B3">
              <w:t>Graph II.1.1:</w:t>
            </w:r>
            <w:r w:rsidRPr="00B131B3">
              <w:rPr>
                <w:b/>
              </w:rPr>
              <w:tab/>
              <w:t>Evolution of the average effective exit age (EEA) and statutory retirement age (SRA) between 2016 and 2070</w:t>
            </w:r>
          </w:p>
        </w:tc>
      </w:tr>
      <w:tr w:rsidR="009F3ED8" w:rsidRPr="00B131B3" w14:paraId="68615CB7" w14:textId="77777777" w:rsidTr="00B131B3">
        <w:trPr>
          <w:cantSplit/>
        </w:trPr>
        <w:tc>
          <w:tcPr>
            <w:tcW w:w="4110" w:type="dxa"/>
            <w:shd w:val="clear" w:color="auto" w:fill="auto"/>
          </w:tcPr>
          <w:p w14:paraId="03F851A8" w14:textId="77777777" w:rsidR="009F3ED8" w:rsidRPr="00B131B3" w:rsidRDefault="009F3ED8" w:rsidP="00B131B3">
            <w:pPr>
              <w:pStyle w:val="GraphShape"/>
              <w:rPr>
                <w:sz w:val="2"/>
              </w:rPr>
            </w:pPr>
            <w:r w:rsidRPr="00B131B3">
              <w:fldChar w:fldCharType="begin"/>
            </w:r>
            <w:r w:rsidRPr="009F3ED8">
              <w:instrText xml:space="preserve"> TC "</w:instrText>
            </w:r>
            <w:bookmarkStart w:id="103" w:name="_Toc511664651"/>
            <w:r w:rsidRPr="009F3ED8">
              <w:instrText>II.1.1.</w:instrText>
            </w:r>
            <w:r w:rsidRPr="009F3ED8">
              <w:tab/>
              <w:instrText>Evolution of the average effective exit age (EEA) and statutory retirement age (SRA) between 2016 and 2070</w:instrText>
            </w:r>
            <w:bookmarkEnd w:id="103"/>
            <w:r w:rsidRPr="009F3ED8">
              <w:instrText xml:space="preserve">" \fgraph \l 5 </w:instrText>
            </w:r>
            <w:r w:rsidRPr="00B131B3">
              <w:fldChar w:fldCharType="end"/>
            </w:r>
            <w:r>
              <w:rPr>
                <w:noProof/>
                <w:sz w:val="2"/>
                <w:lang w:val="hr-HR" w:eastAsia="hr-HR"/>
              </w:rPr>
              <w:drawing>
                <wp:inline distT="0" distB="0" distL="0" distR="0" wp14:anchorId="1B5CD3B3" wp14:editId="533247E1">
                  <wp:extent cx="2597595" cy="3105600"/>
                  <wp:effectExtent l="0" t="0" r="0" b="0"/>
                  <wp:docPr id="156" name="Picture 156" descr="&lt;nbr&gt;&lt;GETTEXTFROMWORD&gt;&lt;/nbr&gt;&#10;&lt;title&gt;&lt;GETTEXTFROMWORD&gt;&lt;/title&gt;&#10;&lt;id&gt;deba7a7b-0c22-4e65-a864-a9034d11fc89&lt;/id&gt;&#10;&lt;srcType&gt;EXCEL&lt;/srcType&gt;&#10;&lt;srcPath&gt;U:\Budgetary projections 2018\Reports\2018 AR\Tables_and_graphs\Part II Chapter 1\&lt;/srcPath&gt;&#10;&lt;srcName&gt;overview of pension system annex 2.xlsx&lt;/srcName&gt;&#10;&lt;type&gt;clusterofgraphs&lt;/type&gt;&#10; &lt;srcSheet&gt;Table_only_effective&lt;/srcSheet&gt;&#10; &lt;individualNumbers&gt;no&lt;/individualNumbers&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6T16:29:44&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97595" cy="3105600"/>
                          </a:xfrm>
                          <a:prstGeom prst="rect">
                            <a:avLst/>
                          </a:prstGeom>
                          <a:noFill/>
                          <a:ln>
                            <a:noFill/>
                          </a:ln>
                        </pic:spPr>
                      </pic:pic>
                    </a:graphicData>
                  </a:graphic>
                </wp:inline>
              </w:drawing>
            </w:r>
          </w:p>
        </w:tc>
      </w:tr>
      <w:tr w:rsidR="009F3ED8" w:rsidRPr="00B131B3" w14:paraId="704759BF" w14:textId="77777777" w:rsidTr="00B131B3">
        <w:trPr>
          <w:cantSplit/>
        </w:trPr>
        <w:tc>
          <w:tcPr>
            <w:tcW w:w="4110" w:type="dxa"/>
            <w:shd w:val="clear" w:color="auto" w:fill="auto"/>
            <w:tcMar>
              <w:bottom w:w="240" w:type="dxa"/>
            </w:tcMar>
          </w:tcPr>
          <w:p w14:paraId="7A2ECBA4" w14:textId="77777777" w:rsidR="009F3ED8" w:rsidRPr="00B131B3" w:rsidRDefault="009F3ED8" w:rsidP="00B131B3">
            <w:pPr>
              <w:pStyle w:val="GraphSource"/>
              <w:keepNext/>
            </w:pPr>
            <w:r w:rsidRPr="00B131B3">
              <w:rPr>
                <w:b/>
                <w:i/>
              </w:rPr>
              <w:t>Source:</w:t>
            </w:r>
            <w:r w:rsidRPr="00B131B3">
              <w:t xml:space="preserve"> Commission services, EPC</w:t>
            </w:r>
          </w:p>
        </w:tc>
      </w:tr>
    </w:tbl>
    <w:p w14:paraId="7C4AE84C" w14:textId="77777777" w:rsidR="009F3ED8" w:rsidRPr="00B131B3" w:rsidRDefault="009F3ED8" w:rsidP="00B131B3">
      <w:r w:rsidRPr="00B131B3">
        <w:t xml:space="preserve">When looking at EU and EA aggregates the average effective exit age for both men and women is estimated to increase by more than 2 years by 2070. This is either due to already legislated pension reforms setting a specific retirement age in the future or to the fact that countries have introduced a link between retirement ages and life expectancy in their legislations (Denmark, Greece, Italy, Cyprus, the Netherlands, Portugal and Slovakia). </w:t>
      </w:r>
    </w:p>
    <w:p w14:paraId="60BEABCF" w14:textId="77777777" w:rsidR="009F3ED8" w:rsidRPr="00B131B3" w:rsidRDefault="009F3ED8" w:rsidP="00B131B3">
      <w:r w:rsidRPr="00B131B3">
        <w:t xml:space="preserve">The estimated duration of retirement at both EU and EA level (Table </w:t>
      </w:r>
      <w:r w:rsidRPr="00B131B3">
        <w:fldChar w:fldCharType="begin"/>
      </w:r>
      <w:r w:rsidRPr="00B131B3">
        <w:instrText>QUOTE "III.1.5"</w:instrText>
      </w:r>
      <w:r w:rsidRPr="00B131B3">
        <w:fldChar w:fldCharType="begin">
          <w:fldData xml:space="preserve">QwBSAE8AUwBTAFIARQBGAEUAUgBFAE4AQwBFACoAVABBAEIATABFACoAMwA1ADUAMABkAGEAZQBl
AC0AYwA0ADgAZQAtADQAOAA4ADMALQA4AGQAYQAzAC0AYwAwADMAMwA3AGYANwA1ADkAOAAwADUA
</w:fldData>
        </w:fldChar>
      </w:r>
      <w:r w:rsidRPr="00B131B3">
        <w:instrText xml:space="preserve"> ADDIN </w:instrText>
      </w:r>
      <w:r w:rsidRPr="00B131B3">
        <w:fldChar w:fldCharType="end"/>
      </w:r>
      <w:r w:rsidRPr="00B131B3">
        <w:instrText xml:space="preserve"> </w:instrText>
      </w:r>
      <w:r w:rsidRPr="00B131B3">
        <w:fldChar w:fldCharType="separate"/>
      </w:r>
      <w:r w:rsidRPr="00B131B3">
        <w:t>III.1.5</w:t>
      </w:r>
      <w:r w:rsidRPr="00B131B3">
        <w:fldChar w:fldCharType="end"/>
      </w:r>
      <w:r w:rsidRPr="00B131B3">
        <w:t xml:space="preserve">) shows that current </w:t>
      </w:r>
      <w:r w:rsidRPr="00B131B3">
        <w:lastRenderedPageBreak/>
        <w:t>pension legislation entails 3 to 4 additional years of retirement for men and around 3 for women by 2070) (</w:t>
      </w:r>
      <w:r w:rsidRPr="00B131B3">
        <w:rPr>
          <w:rStyle w:val="Referencafusnote"/>
        </w:rPr>
        <w:footnoteReference w:id="47"/>
      </w:r>
      <w:r w:rsidRPr="00B131B3">
        <w:t xml:space="preserve">). Not surprisingly, in those Member States that have legislated an automatic, or other kind of link to life expectancy (Italy, Cyprus, Denmark, Greece, the Netherlands, Portugal and Slovakia) the duration of retirement is estimated to increase less or even to decline (Italy for females). In 2070 in these countries the duration of retirement is projected to be roughly 2 years lower (some 1.5-2 years for men and 2-2.5 for women) than the EU average, Table </w:t>
      </w:r>
      <w:r w:rsidRPr="00B131B3">
        <w:fldChar w:fldCharType="begin"/>
      </w:r>
      <w:r w:rsidRPr="00B131B3">
        <w:instrText>QUOTE "III.1.5"</w:instrText>
      </w:r>
      <w:r w:rsidRPr="00B131B3">
        <w:fldChar w:fldCharType="begin">
          <w:fldData xml:space="preserve">QwBSAE8AUwBTAFIARQBGAEUAUgBFAE4AQwBFACoAVABBAEIATABFACoAMwA1ADUAMABkAGEAZQBl
AC0AYwA0ADgAZQAtADQAOAA4ADMALQA4AGQAYQAzAC0AYwAwADMAMwA3AGYANwA1ADkAOAAwADUA
</w:fldData>
        </w:fldChar>
      </w:r>
      <w:r w:rsidRPr="00B131B3">
        <w:instrText xml:space="preserve"> ADDIN </w:instrText>
      </w:r>
      <w:r w:rsidRPr="00B131B3">
        <w:fldChar w:fldCharType="end"/>
      </w:r>
      <w:r w:rsidRPr="00B131B3">
        <w:instrText xml:space="preserve"> </w:instrText>
      </w:r>
      <w:r w:rsidRPr="00B131B3">
        <w:fldChar w:fldCharType="separate"/>
      </w:r>
      <w:r w:rsidRPr="00B131B3">
        <w:t>III.1.5</w:t>
      </w:r>
      <w:r w:rsidRPr="00B131B3">
        <w:fldChar w:fldCharType="end"/>
      </w:r>
      <w:r w:rsidRPr="00B131B3">
        <w:t>.</w:t>
      </w:r>
    </w:p>
    <w:p w14:paraId="0DD21C50" w14:textId="77777777" w:rsidR="009F3ED8" w:rsidRPr="00B131B3" w:rsidRDefault="009F3ED8" w:rsidP="00B131B3">
      <w:r w:rsidRPr="00B131B3">
        <w:t xml:space="preserve">Graph </w:t>
      </w:r>
      <w:r w:rsidRPr="00B131B3">
        <w:fldChar w:fldCharType="begin"/>
      </w:r>
      <w:r w:rsidRPr="00B131B3">
        <w:instrText xml:space="preserve"> QUOTE "II.1.2"</w:instrText>
      </w:r>
      <w:r w:rsidRPr="00B131B3">
        <w:fldChar w:fldCharType="begin">
          <w:fldData xml:space="preserve">QwBSAE8AUwBTAFIARQBGAEUAUgBFAE4AQwBFACoAQwBMAFUAUwBUAEUAUgAgAE8ARgAgAEcAUgBB
AFAASABTACoANAA1ADEAMwA3AGUANAA0AC0ANwA0AGIAYwAtADQAOQA2ADYALQBiADMAMwA2AC0A
ZAAyADkAMAA5ADAAYQBhADkAZAAwADYA
</w:fldData>
        </w:fldChar>
      </w:r>
      <w:r w:rsidRPr="00B131B3">
        <w:instrText xml:space="preserve"> ADDIN </w:instrText>
      </w:r>
      <w:r w:rsidRPr="00B131B3">
        <w:fldChar w:fldCharType="end"/>
      </w:r>
      <w:r w:rsidRPr="00B131B3">
        <w:instrText xml:space="preserve"> </w:instrText>
      </w:r>
      <w:r w:rsidRPr="00B131B3">
        <w:fldChar w:fldCharType="separate"/>
      </w:r>
      <w:r w:rsidRPr="00B131B3">
        <w:t>II.1.2</w:t>
      </w:r>
      <w:r w:rsidRPr="00B131B3">
        <w:fldChar w:fldCharType="end"/>
      </w:r>
      <w:r w:rsidRPr="00B131B3">
        <w:t xml:space="preserve"> shows the inverse relationship between the increase in the effective retirement age and the shift in duration of retirement, by gender.</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7AD7808D" w14:textId="77777777" w:rsidTr="00B131B3">
        <w:trPr>
          <w:cantSplit/>
        </w:trPr>
        <w:tc>
          <w:tcPr>
            <w:tcW w:w="4110" w:type="dxa"/>
            <w:shd w:val="clear" w:color="auto" w:fill="auto"/>
          </w:tcPr>
          <w:p w14:paraId="5094E30E" w14:textId="77777777" w:rsidR="009F3ED8" w:rsidRPr="00B131B3" w:rsidRDefault="009F3ED8" w:rsidP="00B131B3">
            <w:pPr>
              <w:pStyle w:val="GraphTitle"/>
              <w:rPr>
                <w:b/>
              </w:rPr>
            </w:pPr>
            <w:r w:rsidRPr="00B131B3">
              <w:t>Graph II.1.2:</w:t>
            </w:r>
            <w:r w:rsidRPr="00B131B3">
              <w:rPr>
                <w:b/>
              </w:rPr>
              <w:tab/>
              <w:t>Increase in the average effective exit age from the labour market versus shift in duration of retirement over the period 2016 – 2070</w:t>
            </w:r>
          </w:p>
        </w:tc>
      </w:tr>
      <w:tr w:rsidR="009F3ED8" w:rsidRPr="00B131B3" w14:paraId="120E9BF0" w14:textId="77777777" w:rsidTr="00B131B3">
        <w:trPr>
          <w:cantSplit/>
        </w:trPr>
        <w:tc>
          <w:tcPr>
            <w:tcW w:w="4110" w:type="dxa"/>
            <w:shd w:val="clear" w:color="auto" w:fill="auto"/>
          </w:tcPr>
          <w:p w14:paraId="386B93B7" w14:textId="77777777" w:rsidR="009F3ED8" w:rsidRPr="00B131B3" w:rsidRDefault="009F3ED8" w:rsidP="00B131B3">
            <w:pPr>
              <w:pStyle w:val="GraphShape"/>
              <w:rPr>
                <w:sz w:val="2"/>
              </w:rPr>
            </w:pPr>
            <w:r w:rsidRPr="00B131B3">
              <w:fldChar w:fldCharType="begin"/>
            </w:r>
            <w:r w:rsidRPr="009F3ED8">
              <w:instrText xml:space="preserve"> TC "</w:instrText>
            </w:r>
            <w:bookmarkStart w:id="104" w:name="_Toc511664652"/>
            <w:r w:rsidRPr="009F3ED8">
              <w:instrText>II.1.2.</w:instrText>
            </w:r>
            <w:r w:rsidRPr="009F3ED8">
              <w:tab/>
              <w:instrText>Increase in the average effective exit age from the labour market versus shift in duration of retirement over the period 2016 – 2070</w:instrText>
            </w:r>
            <w:bookmarkEnd w:id="104"/>
            <w:r w:rsidRPr="009F3ED8">
              <w:instrText xml:space="preserve">" \fgraph \l 5 </w:instrText>
            </w:r>
            <w:r w:rsidRPr="00B131B3">
              <w:fldChar w:fldCharType="end"/>
            </w:r>
            <w:r>
              <w:rPr>
                <w:noProof/>
                <w:sz w:val="2"/>
                <w:lang w:val="hr-HR" w:eastAsia="hr-HR"/>
              </w:rPr>
              <w:drawing>
                <wp:inline distT="0" distB="0" distL="0" distR="0" wp14:anchorId="4AFC5203" wp14:editId="4CE31DAC">
                  <wp:extent cx="2597595" cy="3114457"/>
                  <wp:effectExtent l="0" t="0" r="0" b="0"/>
                  <wp:docPr id="157" name="Picture 157" descr="&lt;nbr&gt;&lt;GETTEXTFROMWORD&gt;&lt;/nbr&gt;&#10;&lt;title&gt;&lt;GETTEXTFROMWORD&gt;&lt;/title&gt;&#10;&lt;id&gt;45137e44-74bc-4966-b336-d29090aa9d06&lt;/id&gt;&#10;&lt;srcType&gt;EXCEL&lt;/srcType&gt;&#10;&lt;srcPath&gt;U:\Budgetary projections 2018\Reports\2018 AR\Tables_and_graphs\Part II Chapter 1\&lt;/srcPath&gt;&#10;&lt;srcName&gt;overview of pension system annex 2.xlsx&lt;/srcName&gt;&#10;&lt;type&gt;clusterofgraphs&lt;/type&gt;&#10; &lt;srcSheet&gt;Graph EEA-retirement duration&lt;/srcSheet&gt;&#10; &lt;individualNumbers&gt;no&lt;/individualNumbers&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6T16:29:44&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97595" cy="3114457"/>
                          </a:xfrm>
                          <a:prstGeom prst="rect">
                            <a:avLst/>
                          </a:prstGeom>
                          <a:noFill/>
                          <a:ln>
                            <a:noFill/>
                          </a:ln>
                        </pic:spPr>
                      </pic:pic>
                    </a:graphicData>
                  </a:graphic>
                </wp:inline>
              </w:drawing>
            </w:r>
          </w:p>
        </w:tc>
      </w:tr>
      <w:tr w:rsidR="009F3ED8" w:rsidRPr="00B131B3" w14:paraId="53AE359F" w14:textId="77777777" w:rsidTr="00B131B3">
        <w:trPr>
          <w:cantSplit/>
        </w:trPr>
        <w:tc>
          <w:tcPr>
            <w:tcW w:w="4110" w:type="dxa"/>
            <w:shd w:val="clear" w:color="auto" w:fill="auto"/>
            <w:tcMar>
              <w:bottom w:w="240" w:type="dxa"/>
            </w:tcMar>
          </w:tcPr>
          <w:p w14:paraId="55811277" w14:textId="77777777" w:rsidR="009F3ED8" w:rsidRPr="00B131B3" w:rsidRDefault="009F3ED8" w:rsidP="00B131B3">
            <w:pPr>
              <w:pStyle w:val="GraphSource"/>
              <w:keepNext/>
            </w:pPr>
            <w:r w:rsidRPr="00B131B3">
              <w:rPr>
                <w:b/>
                <w:i/>
              </w:rPr>
              <w:t>Source:</w:t>
            </w:r>
            <w:r w:rsidRPr="00B131B3">
              <w:t xml:space="preserve"> Commission services, EPC.</w:t>
            </w:r>
          </w:p>
        </w:tc>
      </w:tr>
    </w:tbl>
    <w:p w14:paraId="5D4BFF29" w14:textId="77777777" w:rsidR="009F3ED8" w:rsidRPr="00B131B3" w:rsidRDefault="009F3ED8" w:rsidP="00B131B3">
      <w:pPr>
        <w:pStyle w:val="MultipageDelimiter"/>
      </w:pP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9F3ED8" w:rsidRPr="00B131B3" w14:paraId="5F49FF9F" w14:textId="77777777" w:rsidTr="00B131B3">
        <w:trPr>
          <w:cantSplit/>
          <w:trHeight w:val="20"/>
        </w:trPr>
        <w:tc>
          <w:tcPr>
            <w:tcW w:w="8505" w:type="dxa"/>
            <w:shd w:val="clear" w:color="auto" w:fill="auto"/>
          </w:tcPr>
          <w:p w14:paraId="47889F09" w14:textId="77777777" w:rsidR="009F3ED8" w:rsidRPr="00B131B3" w:rsidRDefault="009F3ED8" w:rsidP="00B131B3">
            <w:pPr>
              <w:pStyle w:val="SlimCell"/>
              <w:keepNext/>
            </w:pPr>
            <w:r w:rsidRPr="00B131B3">
              <w:lastRenderedPageBreak/>
              <w:fldChar w:fldCharType="begin"/>
            </w:r>
            <w:r w:rsidRPr="009F3ED8">
              <w:instrText xml:space="preserve"> TC "</w:instrText>
            </w:r>
            <w:bookmarkStart w:id="105" w:name="_Toc511664522"/>
            <w:r w:rsidRPr="009F3ED8">
              <w:instrText>II.1.3.</w:instrText>
            </w:r>
            <w:r w:rsidRPr="009F3ED8">
              <w:tab/>
              <w:instrText>Statutory retirement ages, early retirement (in brackets) and incentives to postpone retirement</w:instrText>
            </w:r>
            <w:bookmarkEnd w:id="105"/>
            <w:r w:rsidRPr="009F3ED8">
              <w:instrText xml:space="preserve">" \ftable \l 5 </w:instrText>
            </w:r>
            <w:r w:rsidRPr="00B131B3">
              <w:fldChar w:fldCharType="end"/>
            </w:r>
          </w:p>
        </w:tc>
      </w:tr>
      <w:tr w:rsidR="009F3ED8" w:rsidRPr="00B131B3" w14:paraId="216BFCFA" w14:textId="77777777" w:rsidTr="00B131B3">
        <w:trPr>
          <w:cantSplit/>
        </w:trPr>
        <w:tc>
          <w:tcPr>
            <w:tcW w:w="8505" w:type="dxa"/>
            <w:shd w:val="clear" w:color="auto" w:fill="auto"/>
          </w:tcPr>
          <w:p w14:paraId="34E0716C" w14:textId="77777777" w:rsidR="009F3ED8" w:rsidRPr="00B131B3" w:rsidRDefault="009F3ED8" w:rsidP="00B131B3">
            <w:pPr>
              <w:pStyle w:val="TableTitle"/>
              <w:rPr>
                <w:b/>
              </w:rPr>
            </w:pPr>
            <w:r w:rsidRPr="00B131B3">
              <w:t>Table II.1.3:</w:t>
            </w:r>
            <w:r w:rsidRPr="00B131B3">
              <w:rPr>
                <w:b/>
              </w:rPr>
              <w:tab/>
              <w:t>Statutory retirement ages, early retirement (in brackets) and incentives to postpone retirement</w:t>
            </w:r>
          </w:p>
        </w:tc>
      </w:tr>
      <w:tr w:rsidR="009F3ED8" w:rsidRPr="00B131B3" w14:paraId="6906576B" w14:textId="77777777" w:rsidTr="00B131B3">
        <w:trPr>
          <w:cantSplit/>
        </w:trPr>
        <w:tc>
          <w:tcPr>
            <w:tcW w:w="8505" w:type="dxa"/>
            <w:shd w:val="clear" w:color="auto" w:fill="auto"/>
          </w:tcPr>
          <w:p w14:paraId="46D4B3E6" w14:textId="77777777" w:rsidR="009F3ED8" w:rsidRPr="00B131B3" w:rsidRDefault="009F3ED8" w:rsidP="00B131B3">
            <w:pPr>
              <w:pStyle w:val="TableShape"/>
              <w:rPr>
                <w:sz w:val="2"/>
              </w:rPr>
            </w:pPr>
            <w:r>
              <w:rPr>
                <w:noProof/>
                <w:sz w:val="2"/>
                <w:lang w:val="hr-HR" w:eastAsia="hr-HR"/>
              </w:rPr>
              <w:drawing>
                <wp:inline distT="0" distB="0" distL="0" distR="0" wp14:anchorId="3FF62E7E" wp14:editId="62627DE6">
                  <wp:extent cx="5400929" cy="4199663"/>
                  <wp:effectExtent l="0" t="0" r="0" b="0"/>
                  <wp:docPr id="843" name="Picture 843" descr="&lt;nbr&gt;&lt;GETTEXTFROMWORD&gt;&lt;/nbr&gt;&#10;&lt;title&gt;&lt;GETTEXTFROMWORD&gt;&lt;/title&gt;&#10;&lt;id&gt;ecf031f5-6eff-4a08-ae5c-91efcae443d0&lt;/id&gt;&#10;&lt;srcType&gt;EXCEL&lt;/srcType&gt;&#10;&lt;srcPath&gt;U:\Budgetary projections 2018\Reports\2018 AR\Tables_and_graphs\Part II Chapter 1\&lt;/srcPath&gt;&#10;&lt;srcName&gt;overview of pension system annex 2.xlsx&lt;/srcName&gt;&#10;&lt;type&gt;table&lt;/type&gt;&#10; &lt;srcSheet&gt;Table 2.4&lt;/srcSheet&gt;&#10; &lt;srcRange&gt;R2C2:R33C12&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6T16:29:44&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400929" cy="4199663"/>
                          </a:xfrm>
                          <a:prstGeom prst="rect">
                            <a:avLst/>
                          </a:prstGeom>
                          <a:noFill/>
                          <a:ln>
                            <a:noFill/>
                          </a:ln>
                        </pic:spPr>
                      </pic:pic>
                    </a:graphicData>
                  </a:graphic>
                </wp:inline>
              </w:drawing>
            </w:r>
          </w:p>
        </w:tc>
      </w:tr>
      <w:tr w:rsidR="009F3ED8" w:rsidRPr="00B131B3" w14:paraId="44BACAF0" w14:textId="77777777" w:rsidTr="00B131B3">
        <w:trPr>
          <w:cantSplit/>
        </w:trPr>
        <w:tc>
          <w:tcPr>
            <w:tcW w:w="8505" w:type="dxa"/>
            <w:shd w:val="clear" w:color="auto" w:fill="auto"/>
          </w:tcPr>
          <w:p w14:paraId="33548E0C" w14:textId="77777777" w:rsidR="009F3ED8" w:rsidRDefault="009F3ED8" w:rsidP="00B131B3">
            <w:pPr>
              <w:pStyle w:val="TableFootnote"/>
            </w:pPr>
            <w:r>
              <w:t>(1) BG - The latest pension reform included a provision for further link retirement ages to life expectancy as from 2037.</w:t>
            </w:r>
            <w:r>
              <w:br/>
              <w:t>CZ - Statutory retirement age depending on the number of children. Values for women with 2 children are reported.</w:t>
            </w:r>
            <w:r>
              <w:br/>
              <w:t>DK – Increase in the retirement age subject to Parliamentary decision.</w:t>
            </w:r>
            <w:r>
              <w:br/>
              <w:t>IT - In 2016, female SRA refers to public sector employees (for the female self-employed and female private sector employees they are, respectively, 66.1 and, 65.6, both aligned to other workers as of 2018). In bracket the minimum age for early retirement under the NDC system (a minimum amount of pension of 2.8 times the old-age allowance is also required). Early retirement is also allowed regardless of age, with a contribution requirement of 42.8 years (41.8 for female) in 2016, indexed to changes in life expectancy (44.2 in 2030, 45.8 in 2050 and 47.3 in 2070; one year less for females).</w:t>
            </w:r>
            <w:r>
              <w:br/>
              <w:t>LV - The legislation provides allows the possibility to retire 2 years before the normal retirement age (SRA) for people whose insurance record is at least 30 years and who do not combine work with pre-retirement pension. The amount of early retirement pension (before SRA) is 50% of the pension amount calculated. The full pension is restored after reaching SRA.</w:t>
            </w:r>
            <w:r>
              <w:br/>
              <w:t xml:space="preserve">PT - Early retirement due to long contributory period suspended in the social security scheme in 2012. Since January 2015 early-retirement is possible for workers aged 60 or more and 40 or more years of contributory career.  The pension benefit is reduced by 0.5% for each month of anticipation to statutory retirement age (penalty) and multiplied by the sustainability factor. If the contributory career is higher than 40 years, for each year above the 40 years the statutory retirement age is reduced by 4 months.  </w:t>
            </w:r>
            <w:r>
              <w:br/>
              <w:t xml:space="preserve">SE - Retirement age flexible from age of 61 without an upper limit. Under the Employment Protection Act, an employee is entitled to stay in employment until his / her 67th birthday. </w:t>
            </w:r>
            <w:r>
              <w:br/>
              <w:t>*Countries where statutory retirement age is legislated to increase in line with increase in life expectancy. Reported retirement ages calculated according to life expectancy increases as from Eurostat population projections.</w:t>
            </w:r>
            <w:r>
              <w:br/>
              <w:t>Actuarial equivalence is not considered as a penalty/bonus.</w:t>
            </w:r>
          </w:p>
          <w:p w14:paraId="4DDA2498"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4D9A90B9" w14:textId="77777777" w:rsidTr="00B131B3">
        <w:trPr>
          <w:cantSplit/>
          <w:trHeight w:val="20"/>
        </w:trPr>
        <w:tc>
          <w:tcPr>
            <w:tcW w:w="8505" w:type="dxa"/>
            <w:shd w:val="clear" w:color="auto" w:fill="auto"/>
          </w:tcPr>
          <w:p w14:paraId="4D082C5C" w14:textId="77777777" w:rsidR="009F3ED8" w:rsidRPr="00B131B3" w:rsidRDefault="009F3ED8" w:rsidP="00B131B3">
            <w:pPr>
              <w:pStyle w:val="SlimCell"/>
            </w:pPr>
          </w:p>
        </w:tc>
      </w:tr>
    </w:tbl>
    <w:p w14:paraId="3DAEF81A" w14:textId="77777777" w:rsidR="009F3ED8" w:rsidRPr="00B131B3" w:rsidRDefault="009F3ED8" w:rsidP="00B131B3"/>
    <w:p w14:paraId="7C70D0B0" w14:textId="77777777" w:rsidR="009F3ED8" w:rsidRPr="00B131B3" w:rsidRDefault="009F3ED8" w:rsidP="00B131B3"/>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9F3ED8" w:rsidRPr="00B131B3" w14:paraId="7DA113F5" w14:textId="77777777" w:rsidTr="00B131B3">
        <w:trPr>
          <w:cantSplit/>
          <w:trHeight w:val="20"/>
        </w:trPr>
        <w:tc>
          <w:tcPr>
            <w:tcW w:w="8505" w:type="dxa"/>
            <w:shd w:val="clear" w:color="auto" w:fill="auto"/>
          </w:tcPr>
          <w:p w14:paraId="0F02E893" w14:textId="77777777" w:rsidR="009F3ED8" w:rsidRPr="00B131B3" w:rsidRDefault="009F3ED8" w:rsidP="00B131B3">
            <w:pPr>
              <w:pStyle w:val="SlimCell"/>
              <w:keepNext/>
            </w:pPr>
            <w:r w:rsidRPr="00B131B3">
              <w:lastRenderedPageBreak/>
              <w:fldChar w:fldCharType="begin"/>
            </w:r>
            <w:r w:rsidRPr="009F3ED8">
              <w:instrText xml:space="preserve"> TC "</w:instrText>
            </w:r>
            <w:bookmarkStart w:id="106" w:name="_Toc511664523"/>
            <w:r w:rsidRPr="009F3ED8">
              <w:instrText>II.1.4.</w:instrText>
            </w:r>
            <w:r w:rsidRPr="009F3ED8">
              <w:tab/>
              <w:instrText>Average effective exit age from the labour market by gender</w:instrText>
            </w:r>
            <w:bookmarkEnd w:id="106"/>
            <w:r w:rsidRPr="009F3ED8">
              <w:instrText xml:space="preserve">" \ftable \l 5 </w:instrText>
            </w:r>
            <w:r w:rsidRPr="00B131B3">
              <w:fldChar w:fldCharType="end"/>
            </w:r>
          </w:p>
        </w:tc>
      </w:tr>
      <w:tr w:rsidR="009F3ED8" w:rsidRPr="00B131B3" w14:paraId="19F53BC2" w14:textId="77777777" w:rsidTr="00B131B3">
        <w:trPr>
          <w:cantSplit/>
        </w:trPr>
        <w:tc>
          <w:tcPr>
            <w:tcW w:w="8505" w:type="dxa"/>
            <w:shd w:val="clear" w:color="auto" w:fill="auto"/>
          </w:tcPr>
          <w:p w14:paraId="2787A5ED" w14:textId="77777777" w:rsidR="009F3ED8" w:rsidRPr="00B131B3" w:rsidRDefault="009F3ED8" w:rsidP="00B131B3">
            <w:pPr>
              <w:pStyle w:val="TableTitle"/>
              <w:rPr>
                <w:b/>
              </w:rPr>
            </w:pPr>
            <w:r w:rsidRPr="00B131B3">
              <w:t>Table II.1.4:</w:t>
            </w:r>
            <w:r w:rsidRPr="00B131B3">
              <w:rPr>
                <w:b/>
              </w:rPr>
              <w:tab/>
              <w:t>Average effective exit age from the labour market by gender</w:t>
            </w:r>
          </w:p>
        </w:tc>
      </w:tr>
      <w:tr w:rsidR="009F3ED8" w:rsidRPr="00B131B3" w14:paraId="215CD34E" w14:textId="77777777" w:rsidTr="00B131B3">
        <w:trPr>
          <w:cantSplit/>
        </w:trPr>
        <w:tc>
          <w:tcPr>
            <w:tcW w:w="8505" w:type="dxa"/>
            <w:shd w:val="clear" w:color="auto" w:fill="auto"/>
          </w:tcPr>
          <w:p w14:paraId="70023FF7" w14:textId="77777777" w:rsidR="009F3ED8" w:rsidRPr="00B131B3" w:rsidRDefault="009F3ED8" w:rsidP="00B131B3">
            <w:pPr>
              <w:pStyle w:val="TableShape"/>
              <w:rPr>
                <w:sz w:val="2"/>
              </w:rPr>
            </w:pPr>
            <w:r>
              <w:rPr>
                <w:noProof/>
                <w:sz w:val="2"/>
                <w:lang w:val="hr-HR" w:eastAsia="hr-HR"/>
              </w:rPr>
              <w:drawing>
                <wp:inline distT="0" distB="0" distL="0" distR="0" wp14:anchorId="7784D07F" wp14:editId="3D3F8036">
                  <wp:extent cx="5396865" cy="5133340"/>
                  <wp:effectExtent l="0" t="0" r="0" b="0"/>
                  <wp:docPr id="844" name="Picture 844" descr="&lt;nbr&gt;&lt;GETTEXTFROMWORD&gt;&lt;/nbr&gt;&#10;&lt;title&gt;&lt;GETTEXTFROMWORD&gt;&lt;/title&gt;&#10;&lt;id&gt;1c4d9f2f-c1bd-4d40-91a4-954ead8e481b&lt;/id&gt;&#10;&lt;srcType&gt;EXCEL&lt;/srcType&gt;&#10;&lt;srcPath&gt;U:\Budgetary projections 2018\Reports\2018 AR\Tables_and_graphs\Part II Chapter 1\&lt;/srcPath&gt;&#10;&lt;srcName&gt;overview of pension system annex 2.xlsx&lt;/srcName&gt;&#10;&lt;type&gt;table&lt;/type&gt;&#10; &lt;srcSheet&gt;Table_only_effective&lt;/srcSheet&gt;&#10; &lt;srcRange&gt;R3C2:R36C10&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6T16:29:44&lt;/scrFileTime&gt;&#10;&lt;imageInformation&gt;&#10; &lt;dontScaleUp&gt;yes&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396865" cy="5133340"/>
                          </a:xfrm>
                          <a:prstGeom prst="rect">
                            <a:avLst/>
                          </a:prstGeom>
                          <a:noFill/>
                          <a:ln>
                            <a:noFill/>
                          </a:ln>
                        </pic:spPr>
                      </pic:pic>
                    </a:graphicData>
                  </a:graphic>
                </wp:inline>
              </w:drawing>
            </w:r>
          </w:p>
        </w:tc>
      </w:tr>
      <w:tr w:rsidR="009F3ED8" w:rsidRPr="00B131B3" w14:paraId="2A91CB09" w14:textId="77777777" w:rsidTr="00B131B3">
        <w:trPr>
          <w:cantSplit/>
        </w:trPr>
        <w:tc>
          <w:tcPr>
            <w:tcW w:w="8505" w:type="dxa"/>
            <w:shd w:val="clear" w:color="auto" w:fill="auto"/>
          </w:tcPr>
          <w:p w14:paraId="01231275" w14:textId="77777777" w:rsidR="009F3ED8" w:rsidRDefault="009F3ED8" w:rsidP="00B131B3">
            <w:pPr>
              <w:pStyle w:val="TableFootnote"/>
            </w:pPr>
            <w:r>
              <w:t xml:space="preserve">(1) 2017 figures </w:t>
            </w:r>
            <w:r>
              <w:br/>
              <w:t>(2) The average effective exit age from the labour market calculation is based on the Cohort Simulation Model cumulated exit probabilities for the reference age group 51-74.</w:t>
            </w:r>
            <w:r>
              <w:br/>
              <w:t>*Countries where the statutory retirement age is legislated to increase in line with increase in life expectancy.</w:t>
            </w:r>
          </w:p>
          <w:p w14:paraId="3987D20B"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0F176E5D" w14:textId="77777777" w:rsidTr="00B131B3">
        <w:trPr>
          <w:cantSplit/>
          <w:trHeight w:val="20"/>
        </w:trPr>
        <w:tc>
          <w:tcPr>
            <w:tcW w:w="8505" w:type="dxa"/>
            <w:shd w:val="clear" w:color="auto" w:fill="auto"/>
          </w:tcPr>
          <w:p w14:paraId="3626F1CF" w14:textId="77777777" w:rsidR="009F3ED8" w:rsidRPr="00B131B3" w:rsidRDefault="009F3ED8" w:rsidP="00B131B3">
            <w:pPr>
              <w:pStyle w:val="SlimCell"/>
            </w:pPr>
          </w:p>
        </w:tc>
      </w:tr>
    </w:tbl>
    <w:p w14:paraId="10F1A94C" w14:textId="77777777" w:rsidR="009F3ED8" w:rsidRPr="00B131B3" w:rsidRDefault="009F3ED8" w:rsidP="00B131B3"/>
    <w:p w14:paraId="21F89557" w14:textId="77777777" w:rsidR="009F3ED8" w:rsidRPr="00B131B3" w:rsidRDefault="009F3ED8" w:rsidP="00B131B3"/>
    <w:p w14:paraId="5885DE14" w14:textId="77777777" w:rsidR="009F3ED8" w:rsidRPr="00B131B3" w:rsidRDefault="009F3ED8" w:rsidP="00B131B3"/>
    <w:p w14:paraId="22A59D4E" w14:textId="77777777" w:rsidR="009F3ED8" w:rsidRPr="00B131B3" w:rsidRDefault="009F3ED8" w:rsidP="00B131B3"/>
    <w:p w14:paraId="46906C5D" w14:textId="77777777" w:rsidR="009F3ED8" w:rsidRPr="00B131B3" w:rsidRDefault="009F3ED8" w:rsidP="00B131B3"/>
    <w:p w14:paraId="2D99FA03" w14:textId="77777777" w:rsidR="009F3ED8" w:rsidRPr="00B131B3" w:rsidRDefault="009F3ED8" w:rsidP="00B131B3"/>
    <w:p w14:paraId="071910D9" w14:textId="77777777" w:rsidR="009F3ED8" w:rsidRPr="00B131B3" w:rsidRDefault="009F3ED8" w:rsidP="00B131B3"/>
    <w:p w14:paraId="67A7FA72" w14:textId="77777777" w:rsidR="009F3ED8" w:rsidRPr="00B131B3" w:rsidRDefault="009F3ED8" w:rsidP="00B131B3"/>
    <w:p w14:paraId="323FC84C" w14:textId="77777777" w:rsidR="009F3ED8" w:rsidRPr="00B131B3" w:rsidRDefault="009F3ED8" w:rsidP="00B131B3"/>
    <w:p w14:paraId="53F3E021" w14:textId="77777777" w:rsidR="009F3ED8" w:rsidRPr="00B131B3" w:rsidRDefault="009F3ED8" w:rsidP="00B131B3">
      <w:r w:rsidRPr="00B131B3">
        <w:br w:type="page"/>
      </w:r>
      <w:r w:rsidRPr="00B131B3">
        <w:fldChar w:fldCharType="begin"/>
      </w:r>
      <w:r w:rsidRPr="009F3ED8">
        <w:instrText xml:space="preserve"> TC "</w:instrText>
      </w:r>
      <w:bookmarkStart w:id="107" w:name="_Toc511664712"/>
      <w:r w:rsidRPr="009F3ED8">
        <w:instrText>II.1.1.</w:instrText>
      </w:r>
      <w:r w:rsidRPr="009F3ED8">
        <w:tab/>
        <w:instrText>Average retirement age versus average exit age from the labour market</w:instrText>
      </w:r>
      <w:bookmarkEnd w:id="107"/>
      <w:r w:rsidRPr="009F3ED8">
        <w:instrText xml:space="preserve">" \fbox \l 5 </w:instrText>
      </w:r>
      <w:r w:rsidRPr="00B131B3">
        <w:fldChar w:fldCharType="end"/>
      </w:r>
      <w:r w:rsidRPr="00B131B3">
        <w:fldChar w:fldCharType="begin"/>
      </w:r>
      <w:r w:rsidRPr="009F3ED8">
        <w:instrText xml:space="preserve"> TC "</w:instrText>
      </w:r>
      <w:bookmarkStart w:id="108" w:name="_Toc511664524"/>
      <w:r w:rsidRPr="009F3ED8">
        <w:instrText>II.1.5.</w:instrText>
      </w:r>
      <w:r w:rsidRPr="009F3ED8">
        <w:tab/>
        <w:instrText>Duration of retirement by gender, also as percentage of average working career length and of adult life spent at retirement, respectively</w:instrText>
      </w:r>
      <w:bookmarkEnd w:id="108"/>
      <w:r w:rsidRPr="009F3ED8">
        <w:instrText xml:space="preserve">" \ftable \l 5 </w:instrText>
      </w:r>
      <w:r w:rsidRPr="00B131B3">
        <w:fldChar w:fldCharType="end"/>
      </w:r>
    </w:p>
    <w:tbl>
      <w:tblPr>
        <w:tblpPr w:bottomFromText="240" w:horzAnchor="margin" w:tblpYSpec="top"/>
        <w:tblOverlap w:val="never"/>
        <w:tblW w:w="0" w:type="auto"/>
        <w:tblBorders>
          <w:top w:val="single" w:sz="4" w:space="0" w:color="333399"/>
          <w:left w:val="single" w:sz="4" w:space="0" w:color="333399"/>
          <w:bottom w:val="single" w:sz="4" w:space="0" w:color="333399"/>
          <w:right w:val="single" w:sz="4" w:space="0" w:color="333399"/>
        </w:tblBorders>
        <w:shd w:val="clear" w:color="auto" w:fill="F7FCFF"/>
        <w:tblLayout w:type="fixed"/>
        <w:tblCellMar>
          <w:left w:w="0" w:type="dxa"/>
          <w:right w:w="0" w:type="dxa"/>
        </w:tblCellMar>
        <w:tblLook w:val="0000" w:firstRow="0" w:lastRow="0" w:firstColumn="0" w:lastColumn="0" w:noHBand="0" w:noVBand="0"/>
      </w:tblPr>
      <w:tblGrid>
        <w:gridCol w:w="8505"/>
      </w:tblGrid>
      <w:tr w:rsidR="009F3ED8" w:rsidRPr="00B131B3" w14:paraId="2AFF3CEE" w14:textId="77777777" w:rsidTr="00B131B3">
        <w:trPr>
          <w:cantSplit/>
          <w:trHeight w:val="20"/>
        </w:trPr>
        <w:tc>
          <w:tcPr>
            <w:tcW w:w="8505" w:type="dxa"/>
            <w:shd w:val="clear" w:color="auto" w:fill="F7FCFF"/>
          </w:tcPr>
          <w:p w14:paraId="4DEA27A1" w14:textId="77777777" w:rsidR="009F3ED8" w:rsidRPr="00B131B3" w:rsidRDefault="009F3ED8" w:rsidP="00B131B3">
            <w:pPr>
              <w:pStyle w:val="SlimCell"/>
              <w:keepNext/>
            </w:pPr>
          </w:p>
        </w:tc>
      </w:tr>
      <w:tr w:rsidR="009F3ED8" w:rsidRPr="00B131B3" w14:paraId="25082B63" w14:textId="77777777" w:rsidTr="00B131B3">
        <w:trPr>
          <w:cantSplit/>
          <w:trHeight w:val="20"/>
        </w:trPr>
        <w:tc>
          <w:tcPr>
            <w:tcW w:w="8505" w:type="dxa"/>
            <w:shd w:val="clear" w:color="auto" w:fill="F7FCFF"/>
          </w:tcPr>
          <w:p w14:paraId="1CD15074" w14:textId="77777777" w:rsidR="009F3ED8" w:rsidRPr="00B131B3" w:rsidRDefault="009F3ED8" w:rsidP="00B131B3">
            <w:pPr>
              <w:pStyle w:val="SlimCell"/>
              <w:keepNext/>
            </w:pPr>
          </w:p>
        </w:tc>
      </w:tr>
      <w:tr w:rsidR="009F3ED8" w:rsidRPr="00B131B3" w14:paraId="3F0F9583" w14:textId="77777777" w:rsidTr="00B131B3">
        <w:trPr>
          <w:cantSplit/>
        </w:trPr>
        <w:tc>
          <w:tcPr>
            <w:tcW w:w="8505" w:type="dxa"/>
            <w:shd w:val="clear" w:color="auto" w:fill="F7FCFF"/>
          </w:tcPr>
          <w:p w14:paraId="4575461D" w14:textId="77777777" w:rsidR="009F3ED8" w:rsidRPr="00B131B3" w:rsidRDefault="009F3ED8" w:rsidP="00B131B3">
            <w:pPr>
              <w:pStyle w:val="BoxShape"/>
              <w:rPr>
                <w:sz w:val="2"/>
              </w:rPr>
            </w:pPr>
            <w:r>
              <w:rPr>
                <w:noProof/>
                <w:sz w:val="2"/>
                <w:lang w:val="hr-HR" w:eastAsia="hr-HR"/>
              </w:rPr>
              <w:drawing>
                <wp:inline distT="0" distB="0" distL="0" distR="0" wp14:anchorId="48267CFF" wp14:editId="07961343">
                  <wp:extent cx="5037339" cy="7621905"/>
                  <wp:effectExtent l="0" t="0" r="0" b="0"/>
                  <wp:docPr id="845" name="Picture 845" descr="&lt;nbr&gt;II.1.1&lt;/nbr&gt;&#10;&lt;title&gt;Average retirement age versus average exit age from the labour market&lt;/title&gt;&#10;&lt;id&gt;ed0853bc-b09a-49d1-861a-d55a033756d5&lt;/id&gt;&#10;&lt;srcType&gt;WORD&lt;/srcType&gt;&#10;&lt;srcPath&gt;\\net1.cec.eu.int\ECFIN\C\2\Budgetary projections 2018\Reports\2018 AR\The 2018 Ageing Report Economic\Part II Long-term projections of\&lt;/srcPath&gt;&#10;&lt;srcName&gt;Box 4 average retirement age.docx&lt;/srcName&gt;&#10;&lt;type&gt;box&lt;/type&gt;&#10;&lt;pos&gt;top&lt;/pos&gt;&#10;&lt;numbering&gt;external&lt;/numbering&gt;&#10;&lt;manNumb&gt;no&lt;/manNumb&gt;&#10;&lt;multi&gt;no&lt;/multi&gt;&#10;&lt;statAnn&gt;no&lt;/statAnn&gt;&#10;&lt;float&gt;no&lt;/float&gt;&#10;&lt;bottomShapePageNumber&gt;-1&lt;/bottomShapePageNumber&gt;&#10;&lt;version&gt;2&lt;/version&gt;&#10;&lt;scrFileTime&gt;2018-03-23T11:30:48&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037339" cy="7621905"/>
                          </a:xfrm>
                          <a:prstGeom prst="rect">
                            <a:avLst/>
                          </a:prstGeom>
                          <a:noFill/>
                          <a:ln>
                            <a:noFill/>
                          </a:ln>
                        </pic:spPr>
                      </pic:pic>
                    </a:graphicData>
                  </a:graphic>
                </wp:inline>
              </w:drawing>
            </w:r>
          </w:p>
        </w:tc>
      </w:tr>
      <w:tr w:rsidR="009F3ED8" w:rsidRPr="00B131B3" w14:paraId="743E5E1A" w14:textId="77777777" w:rsidTr="00B131B3">
        <w:trPr>
          <w:cantSplit/>
          <w:trHeight w:val="20"/>
        </w:trPr>
        <w:tc>
          <w:tcPr>
            <w:tcW w:w="8505" w:type="dxa"/>
            <w:shd w:val="clear" w:color="auto" w:fill="F7FCFF"/>
          </w:tcPr>
          <w:p w14:paraId="53E7874C" w14:textId="77777777" w:rsidR="009F3ED8" w:rsidRPr="00B131B3" w:rsidRDefault="009F3ED8" w:rsidP="00B131B3">
            <w:pPr>
              <w:pStyle w:val="SlimCell"/>
              <w:keepNext/>
            </w:pPr>
          </w:p>
        </w:tc>
      </w:tr>
      <w:tr w:rsidR="009F3ED8" w:rsidRPr="00B131B3" w14:paraId="6082E0A4" w14:textId="77777777" w:rsidTr="00B131B3">
        <w:trPr>
          <w:cantSplit/>
          <w:trHeight w:val="20"/>
        </w:trPr>
        <w:tc>
          <w:tcPr>
            <w:tcW w:w="8505" w:type="dxa"/>
            <w:shd w:val="clear" w:color="auto" w:fill="F7FCFF"/>
          </w:tcPr>
          <w:p w14:paraId="17ACF014" w14:textId="77777777" w:rsidR="009F3ED8" w:rsidRPr="00B131B3" w:rsidRDefault="009F3ED8" w:rsidP="00B131B3">
            <w:pPr>
              <w:pStyle w:val="SlimCell"/>
            </w:pPr>
          </w:p>
        </w:tc>
      </w:tr>
    </w:tbl>
    <w:p w14:paraId="17F0E852" w14:textId="77777777" w:rsidR="009F3ED8" w:rsidRPr="00B131B3" w:rsidRDefault="009F3ED8" w:rsidP="00B131B3">
      <w:pPr>
        <w:pStyle w:val="MultipageDelimiter"/>
      </w:pPr>
    </w:p>
    <w:tbl>
      <w:tblPr>
        <w:tblpPr w:horzAnchor="margin" w:tblpYSpec="top"/>
        <w:tblOverlap w:val="never"/>
        <w:tblW w:w="0" w:type="auto"/>
        <w:tblLayout w:type="fixed"/>
        <w:tblCellMar>
          <w:left w:w="0" w:type="dxa"/>
          <w:right w:w="0" w:type="dxa"/>
        </w:tblCellMar>
        <w:tblLook w:val="0000" w:firstRow="0" w:lastRow="0" w:firstColumn="0" w:lastColumn="0" w:noHBand="0" w:noVBand="0"/>
      </w:tblPr>
      <w:tblGrid>
        <w:gridCol w:w="20"/>
        <w:gridCol w:w="273"/>
        <w:gridCol w:w="5778"/>
        <w:gridCol w:w="1911"/>
        <w:gridCol w:w="523"/>
      </w:tblGrid>
      <w:tr w:rsidR="009F3ED8" w:rsidRPr="00B131B3" w14:paraId="3B908B94" w14:textId="77777777" w:rsidTr="00B131B3">
        <w:trPr>
          <w:cantSplit/>
          <w:trHeight w:val="12632"/>
        </w:trPr>
        <w:tc>
          <w:tcPr>
            <w:tcW w:w="6" w:type="dxa"/>
            <w:shd w:val="clear" w:color="auto" w:fill="auto"/>
            <w:textDirection w:val="btLr"/>
          </w:tcPr>
          <w:p w14:paraId="100D451E" w14:textId="77777777" w:rsidR="009F3ED8" w:rsidRPr="00B131B3" w:rsidRDefault="009F3ED8" w:rsidP="00B131B3">
            <w:pPr>
              <w:pStyle w:val="SlimCell"/>
            </w:pPr>
          </w:p>
        </w:tc>
        <w:tc>
          <w:tcPr>
            <w:tcW w:w="273" w:type="dxa"/>
            <w:shd w:val="clear" w:color="auto" w:fill="auto"/>
            <w:textDirection w:val="btLr"/>
          </w:tcPr>
          <w:p w14:paraId="682153A2" w14:textId="77777777" w:rsidR="009F3ED8" w:rsidRPr="00B131B3" w:rsidRDefault="009F3ED8" w:rsidP="00B131B3">
            <w:pPr>
              <w:pStyle w:val="TableTitle"/>
              <w:rPr>
                <w:b/>
              </w:rPr>
            </w:pPr>
            <w:r w:rsidRPr="00B131B3">
              <w:t>Table II.1.5:</w:t>
            </w:r>
            <w:r w:rsidRPr="00B131B3">
              <w:rPr>
                <w:b/>
              </w:rPr>
              <w:tab/>
              <w:t>Duration of retirement  by gender, also as percentage of average working career length and of adult life spent at retirement, respectively</w:t>
            </w:r>
          </w:p>
        </w:tc>
        <w:tc>
          <w:tcPr>
            <w:tcW w:w="5778" w:type="dxa"/>
            <w:shd w:val="clear" w:color="auto" w:fill="auto"/>
            <w:textDirection w:val="btLr"/>
          </w:tcPr>
          <w:p w14:paraId="61924F7B" w14:textId="77777777" w:rsidR="009F3ED8" w:rsidRPr="00B131B3" w:rsidRDefault="009F3ED8" w:rsidP="00B131B3">
            <w:pPr>
              <w:pStyle w:val="TableShape"/>
              <w:jc w:val="right"/>
              <w:rPr>
                <w:sz w:val="2"/>
              </w:rPr>
            </w:pPr>
            <w:r w:rsidRPr="00B131B3">
              <w:rPr>
                <w:noProof/>
                <w:sz w:val="2"/>
                <w:lang w:val="hr-HR" w:eastAsia="hr-HR"/>
              </w:rPr>
              <w:drawing>
                <wp:inline distT="0" distB="0" distL="0" distR="0" wp14:anchorId="236DB5E7" wp14:editId="42E81A1D">
                  <wp:extent cx="7985515" cy="3656371"/>
                  <wp:effectExtent l="0" t="7302" r="8572" b="8573"/>
                  <wp:docPr id="30" name="Picture 30" descr="&lt;nbr&gt;&lt;GETTEXTFROMWORD&gt;&lt;/nbr&gt;&#10;&lt;title&gt;&lt;GETTEXTFROMWORD&gt;&lt;/title&gt;&#10;&lt;id&gt;3550daee-c48e-4883-8da3-c0337f759805&lt;/id&gt;&#10;&lt;srcType&gt;EXCEL&lt;/srcType&gt;&#10;&lt;srcPath&gt;U:\Budgetary projections 2018\Reports\2018 AR\Tables_and_graphs\Part II Chapter 1\&lt;/srcPath&gt;&#10;&lt;srcName&gt;overview of pension system annex 2.xlsx&lt;/srcName&gt;&#10;&lt;type&gt;table&lt;/type&gt;&#10; &lt;srcSheet&gt;Table effective&lt;/srcSheet&gt;&#10; &lt;srcRange&gt;R2C2:R36C20&lt;/srcRange&gt;&#10;&lt;pos&gt;landscap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6T16:29:44&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16200000">
                            <a:off x="0" y="0"/>
                            <a:ext cx="7985515" cy="3656371"/>
                          </a:xfrm>
                          <a:prstGeom prst="rect">
                            <a:avLst/>
                          </a:prstGeom>
                          <a:noFill/>
                          <a:ln>
                            <a:noFill/>
                          </a:ln>
                        </pic:spPr>
                      </pic:pic>
                    </a:graphicData>
                  </a:graphic>
                </wp:inline>
              </w:drawing>
            </w:r>
          </w:p>
        </w:tc>
        <w:tc>
          <w:tcPr>
            <w:tcW w:w="1911" w:type="dxa"/>
            <w:shd w:val="clear" w:color="auto" w:fill="auto"/>
            <w:textDirection w:val="btLr"/>
          </w:tcPr>
          <w:p w14:paraId="45001586" w14:textId="77777777" w:rsidR="009F3ED8" w:rsidRDefault="009F3ED8" w:rsidP="00B131B3">
            <w:pPr>
              <w:pStyle w:val="TableFootnote"/>
            </w:pPr>
            <w:r>
              <w:t xml:space="preserve">(1) Duration of retirement is calculated on the basis of life expectancy at average effective exit age from the labour market as from the Eurostat 2015-based population projections. </w:t>
            </w:r>
            <w:r>
              <w:br/>
              <w:t>(2) The average working career is defined as the effective exit age form the labour market minus the effective entry age.</w:t>
            </w:r>
            <w:r>
              <w:br/>
              <w:t xml:space="preserve">(3) An alternative metric to the duration of retirement as a share of working career is the duration of retirement /contributory period. The latter is presented in some country fiches. For example, for BE this variable is 0.5 and 0.7 in 2017, 0.5 and 0.6 in 2040 and 0.6 and 0.7 in 2070 for men and women respectively. For EL it is 0.7 and 0.8 in 2017, 0.6 and 0.7 in 2040 and 0.6 and 0.6 in 2070 for men and women respectively.     </w:t>
            </w:r>
            <w:r>
              <w:br/>
              <w:t>(4) Adult life spent at retirement is defined as the ratio between the life expectancy at average effective exit age and the estimated age of death (coherent with life expectancy at effective retirement age) minus 18.</w:t>
            </w:r>
            <w:r>
              <w:br/>
              <w:t>*Countries where statutory retirement age is legislated to increase in line with increase in life expectancy.</w:t>
            </w:r>
          </w:p>
          <w:p w14:paraId="2F46887A" w14:textId="77777777" w:rsidR="009F3ED8" w:rsidRPr="00B131B3" w:rsidRDefault="009F3ED8" w:rsidP="00B131B3">
            <w:pPr>
              <w:pStyle w:val="TableSource"/>
            </w:pPr>
            <w:r w:rsidRPr="00B131B3">
              <w:rPr>
                <w:b/>
                <w:i/>
              </w:rPr>
              <w:t>Source:</w:t>
            </w:r>
            <w:r w:rsidRPr="00B131B3">
              <w:t xml:space="preserve"> Commission services, EPC. </w:t>
            </w:r>
            <w:r w:rsidRPr="00B131B3">
              <w:br/>
            </w:r>
            <w:r w:rsidRPr="00B131B3">
              <w:br/>
            </w:r>
            <w:r w:rsidRPr="00B131B3">
              <w:br/>
            </w:r>
            <w:r w:rsidRPr="00B131B3">
              <w:br/>
            </w:r>
            <w:r w:rsidRPr="00B131B3">
              <w:br/>
            </w:r>
          </w:p>
        </w:tc>
        <w:tc>
          <w:tcPr>
            <w:tcW w:w="523" w:type="dxa"/>
            <w:shd w:val="clear" w:color="auto" w:fill="auto"/>
            <w:textDirection w:val="btLr"/>
          </w:tcPr>
          <w:p w14:paraId="3FEE7F25" w14:textId="77777777" w:rsidR="009F3ED8" w:rsidRPr="00B131B3" w:rsidRDefault="009F3ED8" w:rsidP="00B131B3">
            <w:pPr>
              <w:pStyle w:val="SlimCell"/>
            </w:pPr>
          </w:p>
        </w:tc>
      </w:tr>
    </w:tbl>
    <w:p w14:paraId="33477E24" w14:textId="77777777" w:rsidR="009F3ED8" w:rsidRPr="00B131B3" w:rsidRDefault="009F3ED8" w:rsidP="00B131B3">
      <w:pPr>
        <w:pStyle w:val="NumberedHeading2"/>
        <w:tabs>
          <w:tab w:val="left" w:pos="567"/>
        </w:tabs>
      </w:pPr>
      <w:r w:rsidRPr="00B131B3">
        <w:lastRenderedPageBreak/>
        <w:t>1.4.2.</w:t>
      </w:r>
      <w:r w:rsidRPr="00B131B3">
        <w:tab/>
        <w:t>Pension system funding</w:t>
      </w:r>
    </w:p>
    <w:p w14:paraId="58BEE898" w14:textId="77777777" w:rsidR="009F3ED8" w:rsidRPr="00B131B3" w:rsidRDefault="009F3ED8" w:rsidP="00B131B3">
      <w:r w:rsidRPr="00B131B3">
        <w:t xml:space="preserve">Contributions to pension schemes paid by employers, employees, and self-employed persons indicate potential future deficits in the pension system. The share of tax revenues allocated to finance the pension system is also taken into account, where relevant, as State contributions. In 2016, the revenue of public pension schemes represented 8.1% of GDP at the EU aggregate level (Table </w:t>
      </w:r>
      <w:r w:rsidRPr="00B131B3">
        <w:fldChar w:fldCharType="begin"/>
      </w:r>
      <w:r w:rsidRPr="00B131B3">
        <w:instrText xml:space="preserve"> QUOTE "II.1.6"</w:instrText>
      </w:r>
      <w:r w:rsidRPr="00B131B3">
        <w:fldChar w:fldCharType="begin">
          <w:fldData xml:space="preserve">QwBSAE8AUwBTAFIARQBGAEUAUgBFAE4AQwBFACoAVABBAEIATABFACoANQAzADMAYQA1ADYAMQA1
AC0AZQBlADQAMwAtADQANgA1AGMALQBhADMAYgA1AC0AYwA3ADQAMwBhADIAMQA2AGYANQA3ADIA
</w:fldData>
        </w:fldChar>
      </w:r>
      <w:r w:rsidRPr="00B131B3">
        <w:instrText xml:space="preserve"> ADDIN </w:instrText>
      </w:r>
      <w:r w:rsidRPr="00B131B3">
        <w:fldChar w:fldCharType="end"/>
      </w:r>
      <w:r w:rsidRPr="00B131B3">
        <w:instrText xml:space="preserve"> </w:instrText>
      </w:r>
      <w:r w:rsidRPr="00B131B3">
        <w:fldChar w:fldCharType="separate"/>
      </w:r>
      <w:r w:rsidRPr="00B131B3">
        <w:t>II.1.6</w:t>
      </w:r>
      <w:r w:rsidRPr="00B131B3">
        <w:fldChar w:fldCharType="end"/>
      </w:r>
      <w:r w:rsidRPr="00B131B3">
        <w:t>). They are projected to slightly increase over the period 2016-2070 by 0.1 pps. of GDP. However, there are significant differences across Member States. Substantial increases are projected in several cases, in particular in Germany (+2.6 pps. of GDP), Cyprus (+2.5 pps. of GDP), Ireland (+2.2 pps. of GDP), Norway (+2.1 pps. of GDP), and Finland (+1.9 pps. of GDP), in line with legislated contribution rate increases or automatic in-built pension system stabilisers (</w:t>
      </w:r>
      <w:r w:rsidRPr="00B131B3">
        <w:rPr>
          <w:rStyle w:val="Referencafusnote"/>
        </w:rPr>
        <w:footnoteReference w:id="48"/>
      </w:r>
      <w:r w:rsidRPr="00B131B3">
        <w:t xml:space="preserve">). </w:t>
      </w:r>
    </w:p>
    <w:p w14:paraId="2EEDEDEE" w14:textId="77777777" w:rsidR="009F3ED8" w:rsidRPr="00B131B3" w:rsidRDefault="009F3ED8" w:rsidP="00B131B3">
      <w:r w:rsidRPr="00B131B3">
        <w:t>The revenue of the public pension system is projected to decrease in several countries, in particular in Greece (</w:t>
      </w:r>
      <w:r w:rsidRPr="00B131B3">
        <w:noBreakHyphen/>
        <w:t>2.9 pps. of GDP), Malta (</w:t>
      </w:r>
      <w:r w:rsidRPr="00B131B3">
        <w:noBreakHyphen/>
        <w:t>1.8 pps. of GDP), Hungary and Spain (-1.0 pp. of GDP), Portugal (-0.8 pps. of GDP), and Estonia and Lithuania (-0.7 pps. of GDP) (</w:t>
      </w:r>
      <w:r w:rsidRPr="00B131B3">
        <w:rPr>
          <w:rStyle w:val="Referencafusnote"/>
        </w:rPr>
        <w:footnoteReference w:id="49"/>
      </w:r>
      <w:r w:rsidRPr="00B131B3">
        <w:t>).</w:t>
      </w:r>
    </w:p>
    <w:p w14:paraId="78CD8DB6" w14:textId="77777777" w:rsidR="009F3ED8" w:rsidRPr="00B131B3" w:rsidRDefault="009F3ED8" w:rsidP="00B131B3">
      <w:r w:rsidRPr="00B131B3">
        <w:t>In most countries providing a breakdown of contributions to the public pension system, employers' contributions represent the greatest share (Graph II.1.3). Employees' contributions share reaches high levels in some countries (in particular, in Croatia, the Netherlands and Slovenia), whilst State contributions are notably substantial in Germany, Greece, Luxembourg, France, Finland and Malta (Graph II.1.3).</w:t>
      </w:r>
    </w:p>
    <w:p w14:paraId="00C27F8C" w14:textId="77777777" w:rsidR="009F3ED8" w:rsidRPr="00B131B3" w:rsidRDefault="009F3ED8" w:rsidP="00B131B3">
      <w:r w:rsidRPr="00B131B3">
        <w:t xml:space="preserve">In most countries, the structure of contributions to the pension system provided by employers, employees and the State is projected to remain fairly stable over the period 2016-2070. Yet, some exceptions exist: Ireland and the Netherlands </w:t>
      </w:r>
      <w:r w:rsidRPr="00B131B3">
        <w:lastRenderedPageBreak/>
        <w:t>should see a significant progression of State contributions share, whilst Greece, Portugal Spain, and Finland project a decrease of this share. In Norway, State contributions should turn positive towards the end of the projection period (</w:t>
      </w:r>
      <w:r w:rsidRPr="00B131B3">
        <w:rPr>
          <w:rStyle w:val="Referencafusnote"/>
        </w:rPr>
        <w:footnoteReference w:id="50"/>
      </w:r>
      <w:r w:rsidRPr="00B131B3">
        <w:t xml:space="preserve">). </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69910BAB" w14:textId="77777777" w:rsidTr="00B131B3">
        <w:trPr>
          <w:cantSplit/>
          <w:trHeight w:val="20"/>
        </w:trPr>
        <w:tc>
          <w:tcPr>
            <w:tcW w:w="4110" w:type="dxa"/>
            <w:shd w:val="clear" w:color="auto" w:fill="auto"/>
          </w:tcPr>
          <w:p w14:paraId="40A3DE39" w14:textId="77777777" w:rsidR="009F3ED8" w:rsidRPr="00B131B3" w:rsidRDefault="009F3ED8" w:rsidP="00B131B3">
            <w:pPr>
              <w:pStyle w:val="SlimCell"/>
              <w:keepNext/>
            </w:pPr>
          </w:p>
        </w:tc>
      </w:tr>
      <w:tr w:rsidR="009F3ED8" w:rsidRPr="00B131B3" w14:paraId="5FCB315E" w14:textId="77777777" w:rsidTr="00B131B3">
        <w:trPr>
          <w:cantSplit/>
        </w:trPr>
        <w:tc>
          <w:tcPr>
            <w:tcW w:w="4110" w:type="dxa"/>
            <w:shd w:val="clear" w:color="auto" w:fill="auto"/>
          </w:tcPr>
          <w:p w14:paraId="7C79980D" w14:textId="77777777" w:rsidR="009F3ED8" w:rsidRPr="00B131B3" w:rsidRDefault="009F3ED8" w:rsidP="00B131B3">
            <w:pPr>
              <w:pStyle w:val="TableTitle"/>
              <w:rPr>
                <w:b/>
              </w:rPr>
            </w:pPr>
            <w:r w:rsidRPr="00B131B3">
              <w:t>Table II.1.6:</w:t>
            </w:r>
            <w:r w:rsidRPr="00B131B3">
              <w:rPr>
                <w:b/>
              </w:rPr>
              <w:tab/>
              <w:t>Contributions to the public pension system in 2016 and 2070 (% of GDP)</w:t>
            </w:r>
          </w:p>
        </w:tc>
      </w:tr>
      <w:tr w:rsidR="009F3ED8" w:rsidRPr="00B131B3" w14:paraId="3E87AC6D" w14:textId="77777777" w:rsidTr="00B131B3">
        <w:trPr>
          <w:cantSplit/>
        </w:trPr>
        <w:tc>
          <w:tcPr>
            <w:tcW w:w="4110" w:type="dxa"/>
            <w:shd w:val="clear" w:color="auto" w:fill="auto"/>
          </w:tcPr>
          <w:p w14:paraId="1131CCBA" w14:textId="77777777" w:rsidR="009F3ED8" w:rsidRPr="00B131B3" w:rsidRDefault="009F3ED8" w:rsidP="00B131B3">
            <w:pPr>
              <w:pStyle w:val="TableShape"/>
              <w:rPr>
                <w:sz w:val="2"/>
              </w:rPr>
            </w:pPr>
            <w:r w:rsidRPr="00B131B3">
              <w:fldChar w:fldCharType="begin"/>
            </w:r>
            <w:r w:rsidRPr="009F3ED8">
              <w:instrText xml:space="preserve"> TC "</w:instrText>
            </w:r>
            <w:bookmarkStart w:id="109" w:name="_Toc511664525"/>
            <w:r w:rsidRPr="009F3ED8">
              <w:instrText>II.1.6.</w:instrText>
            </w:r>
            <w:r w:rsidRPr="009F3ED8">
              <w:tab/>
              <w:instrText>Contributions to the public pension system in 2016 and 2070 (% of GDP)</w:instrText>
            </w:r>
            <w:bookmarkEnd w:id="109"/>
            <w:r w:rsidRPr="009F3ED8">
              <w:instrText xml:space="preserve">" \ftable \l 5 </w:instrText>
            </w:r>
            <w:r w:rsidRPr="00B131B3">
              <w:fldChar w:fldCharType="end"/>
            </w:r>
            <w:r>
              <w:rPr>
                <w:noProof/>
                <w:sz w:val="2"/>
                <w:lang w:val="hr-HR" w:eastAsia="hr-HR"/>
              </w:rPr>
              <w:drawing>
                <wp:inline distT="0" distB="0" distL="0" distR="0" wp14:anchorId="5D3E910B" wp14:editId="444F29EA">
                  <wp:extent cx="2139315" cy="4618990"/>
                  <wp:effectExtent l="0" t="0" r="0" b="0"/>
                  <wp:docPr id="846" name="Picture 846" descr="&lt;nbr&gt;&lt;GETTEXTFROMWORD&gt;&lt;/nbr&gt;&#10;&lt;title&gt;&lt;GETTEXTFROMWORD&gt;&lt;/title&gt;&#10;&lt;id&gt;533a5615-ee43-465c-a3b5-c743a216f572&lt;/id&gt;&#10;&lt;srcType&gt;EXCEL&lt;/srcType&gt;&#10;&lt;srcPath&gt;U:\Budgetary projections 2018\Reports\2018 AR\Tables_and_graphs\Part II Chapter 1\&lt;/srcPath&gt;&#10;&lt;srcName&gt;overview of pension system annex 2.xlsx&lt;/srcName&gt;&#10;&lt;type&gt;table&lt;/type&gt;&#10; &lt;srcSheet&gt;Contributions 2016 v 2070&lt;/srcSheet&gt;&#10; &lt;srcRange&gt;R2C2:R37C6&lt;/srcRang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6T16:29:44&lt;/scrFileTime&gt;&#10;&lt;imageInformation&gt;&#10; &lt;dontScaleUp&gt;yes&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39315" cy="4618990"/>
                          </a:xfrm>
                          <a:prstGeom prst="rect">
                            <a:avLst/>
                          </a:prstGeom>
                          <a:noFill/>
                          <a:ln>
                            <a:noFill/>
                          </a:ln>
                        </pic:spPr>
                      </pic:pic>
                    </a:graphicData>
                  </a:graphic>
                </wp:inline>
              </w:drawing>
            </w:r>
          </w:p>
        </w:tc>
      </w:tr>
      <w:tr w:rsidR="009F3ED8" w:rsidRPr="00B131B3" w14:paraId="730A0FE2" w14:textId="77777777" w:rsidTr="00B131B3">
        <w:trPr>
          <w:cantSplit/>
        </w:trPr>
        <w:tc>
          <w:tcPr>
            <w:tcW w:w="4110" w:type="dxa"/>
            <w:shd w:val="clear" w:color="auto" w:fill="auto"/>
          </w:tcPr>
          <w:p w14:paraId="75EE958E" w14:textId="77777777" w:rsidR="009F3ED8" w:rsidRDefault="009F3ED8" w:rsidP="00B131B3">
            <w:pPr>
              <w:pStyle w:val="TableFootnote"/>
            </w:pPr>
            <w:r>
              <w:t xml:space="preserve">(1) EU and EA averages are weighted by GDP. </w:t>
            </w:r>
            <w:r>
              <w:br/>
              <w:t>(2) BE: not reported as there is no specific contribution for public pensions. These expenditures are financed through a global contribution for all social security schemes. IE: contributions reported are also used to finance other social benefits in addition to pensions. UK: not reported.</w:t>
            </w:r>
          </w:p>
          <w:p w14:paraId="5CEC5F1F"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623F8151" w14:textId="77777777" w:rsidTr="00B131B3">
        <w:trPr>
          <w:cantSplit/>
          <w:trHeight w:val="20"/>
        </w:trPr>
        <w:tc>
          <w:tcPr>
            <w:tcW w:w="4110" w:type="dxa"/>
            <w:shd w:val="clear" w:color="auto" w:fill="auto"/>
            <w:tcMar>
              <w:bottom w:w="240" w:type="dxa"/>
            </w:tcMar>
          </w:tcPr>
          <w:p w14:paraId="64105952" w14:textId="77777777" w:rsidR="009F3ED8" w:rsidRPr="00B131B3" w:rsidRDefault="009F3ED8" w:rsidP="00B131B3">
            <w:pPr>
              <w:pStyle w:val="SlimCell"/>
            </w:pPr>
          </w:p>
        </w:tc>
      </w:tr>
    </w:tbl>
    <w:p w14:paraId="3950FB29" w14:textId="77777777" w:rsidR="009F3ED8" w:rsidRPr="00B131B3" w:rsidRDefault="009F3ED8" w:rsidP="00B131B3">
      <w:r w:rsidRPr="00B131B3">
        <w:t>A rather unique case of pension system funding in the EU is that of Denmark, where basic pension for all citizens – the so-called "Danish universal flat-</w:t>
      </w:r>
      <w:r w:rsidRPr="00B131B3">
        <w:lastRenderedPageBreak/>
        <w:t xml:space="preserve">rate benefit" – is financed through general taxation </w:t>
      </w:r>
      <w:r w:rsidRPr="00B131B3">
        <w:fldChar w:fldCharType="begin"/>
      </w:r>
      <w:r w:rsidRPr="009F3ED8">
        <w:instrText xml:space="preserve"> TC "</w:instrText>
      </w:r>
      <w:bookmarkStart w:id="110" w:name="_Toc511664653"/>
      <w:r w:rsidRPr="009F3ED8">
        <w:instrText>II.1.3.</w:instrText>
      </w:r>
      <w:r w:rsidRPr="009F3ED8">
        <w:tab/>
        <w:instrText>Contributions to the public pension system breakdown in 2016 and 2070 (% of GDP)</w:instrText>
      </w:r>
      <w:bookmarkEnd w:id="110"/>
      <w:r w:rsidRPr="009F3ED8">
        <w:instrText xml:space="preserve">" \fgraph \l 5 </w:instrText>
      </w:r>
      <w:r w:rsidRPr="00B131B3">
        <w:fldChar w:fldCharType="end"/>
      </w:r>
      <w:r w:rsidRPr="00B131B3">
        <w:t>and is independent from the employment status and any employment related social contributions of the beneficiaries. In Denmark contributions to the public pension system represented 0.1% of GDP in 2016 and are expected to go to zero in 2070 (Tables II.1.6 and II.1.7).</w:t>
      </w:r>
    </w:p>
    <w:p w14:paraId="72C01B99" w14:textId="77777777" w:rsidR="009F3ED8" w:rsidRPr="00B131B3" w:rsidRDefault="009F3ED8" w:rsidP="00B131B3">
      <w:r w:rsidRPr="00B131B3">
        <w:t>For a presentation of the contributions to the public pension system as a share of the projected pension expenditure see Graph II.AII.1 in Annex II.</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9F3ED8" w:rsidRPr="00B131B3" w14:paraId="5D3027F1" w14:textId="77777777" w:rsidTr="00B131B3">
        <w:trPr>
          <w:cantSplit/>
        </w:trPr>
        <w:tc>
          <w:tcPr>
            <w:tcW w:w="8505" w:type="dxa"/>
            <w:shd w:val="clear" w:color="auto" w:fill="auto"/>
          </w:tcPr>
          <w:p w14:paraId="4EEFB644" w14:textId="77777777" w:rsidR="009F3ED8" w:rsidRPr="00B131B3" w:rsidRDefault="009F3ED8" w:rsidP="00B131B3">
            <w:pPr>
              <w:pStyle w:val="GraphTitle"/>
              <w:rPr>
                <w:b/>
              </w:rPr>
            </w:pPr>
            <w:r w:rsidRPr="00B131B3">
              <w:t>Graph II.1.3:</w:t>
            </w:r>
            <w:r w:rsidRPr="00B131B3">
              <w:rPr>
                <w:b/>
              </w:rPr>
              <w:tab/>
              <w:t>Contributions to the public pension system breakdown in 2016 and 2070 (% of GDP)</w:t>
            </w:r>
          </w:p>
        </w:tc>
      </w:tr>
      <w:tr w:rsidR="009F3ED8" w:rsidRPr="00B131B3" w14:paraId="1314B1E3" w14:textId="77777777" w:rsidTr="00B131B3">
        <w:trPr>
          <w:cantSplit/>
        </w:trPr>
        <w:tc>
          <w:tcPr>
            <w:tcW w:w="8505" w:type="dxa"/>
            <w:shd w:val="clear" w:color="auto" w:fill="auto"/>
          </w:tcPr>
          <w:p w14:paraId="1B792F35" w14:textId="77777777" w:rsidR="009F3ED8" w:rsidRPr="00B131B3" w:rsidRDefault="009F3ED8" w:rsidP="00B131B3">
            <w:pPr>
              <w:pStyle w:val="GraphShape"/>
              <w:rPr>
                <w:sz w:val="2"/>
              </w:rPr>
            </w:pPr>
            <w:r>
              <w:rPr>
                <w:noProof/>
                <w:sz w:val="2"/>
                <w:lang w:val="hr-HR" w:eastAsia="hr-HR"/>
              </w:rPr>
              <w:drawing>
                <wp:inline distT="0" distB="0" distL="0" distR="0" wp14:anchorId="2C07C476" wp14:editId="41089D29">
                  <wp:extent cx="5400929" cy="3026147"/>
                  <wp:effectExtent l="0" t="0" r="0" b="3175"/>
                  <wp:docPr id="847" name="Picture 847" descr="&lt;nbr&gt;&lt;GETTEXTFROMWORD&gt;&lt;/nbr&gt;&#10;&lt;title&gt;&lt;GETTEXTFROMWORD&gt;&lt;/title&gt;&#10;&lt;id&gt;60af4795-5066-424f-97e3-eb7a12c395f7&lt;/id&gt;&#10;&lt;srcType&gt;EXCEL&lt;/srcType&gt;&#10;&lt;srcPath&gt;U:\Budgetary projections 2018\Reports\2018 AR\Tables_and_graphs\Part II Chapter 1\&lt;/srcPath&gt;&#10;&lt;srcName&gt;overview of pension system annex 2.xlsx&lt;/srcName&gt;&#10;&lt;type&gt;graph&lt;/type&gt;&#10; &lt;srcSheet&gt;Graph Contrib as share of GDP&lt;/srcSheet&gt;&#10; &lt;srcChartTitle&gt;Chart 2&lt;/srcChartTitl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6T16:29:44&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400929" cy="3026147"/>
                          </a:xfrm>
                          <a:prstGeom prst="rect">
                            <a:avLst/>
                          </a:prstGeom>
                          <a:noFill/>
                          <a:ln>
                            <a:noFill/>
                          </a:ln>
                        </pic:spPr>
                      </pic:pic>
                    </a:graphicData>
                  </a:graphic>
                </wp:inline>
              </w:drawing>
            </w:r>
          </w:p>
        </w:tc>
      </w:tr>
      <w:tr w:rsidR="009F3ED8" w:rsidRPr="00B131B3" w14:paraId="16FF7A71" w14:textId="77777777" w:rsidTr="00B131B3">
        <w:trPr>
          <w:cantSplit/>
        </w:trPr>
        <w:tc>
          <w:tcPr>
            <w:tcW w:w="8505" w:type="dxa"/>
            <w:shd w:val="clear" w:color="auto" w:fill="auto"/>
          </w:tcPr>
          <w:p w14:paraId="1BF91CB2" w14:textId="77777777" w:rsidR="009F3ED8" w:rsidRDefault="009F3ED8" w:rsidP="00B131B3">
            <w:pPr>
              <w:pStyle w:val="GraphFootnote"/>
              <w:keepNext/>
            </w:pPr>
            <w:r>
              <w:t xml:space="preserve">(1) BE: no data provided as there are no specific contributions to finance the public pension system. DK:  basic pension for all citizens is financed through general taxation and is independent from the employment status and any employment related social contributions of the beneficiaries. IE: contributions are also used to finance other social benefits in addition to pensions.  PT: the total contribution tax rate on gross earnings is 34.75%, but only 26.94% pay old-age, disability and survivor pension benefit.   </w:t>
            </w:r>
          </w:p>
          <w:p w14:paraId="3ECE9A3A" w14:textId="77777777" w:rsidR="009F3ED8" w:rsidRPr="00B131B3" w:rsidRDefault="009F3ED8" w:rsidP="00B131B3">
            <w:pPr>
              <w:pStyle w:val="GraphSource"/>
              <w:keepNext/>
            </w:pPr>
            <w:r w:rsidRPr="00B131B3">
              <w:rPr>
                <w:b/>
                <w:i/>
              </w:rPr>
              <w:t>Source:</w:t>
            </w:r>
            <w:r w:rsidRPr="00B131B3">
              <w:t xml:space="preserve"> Commission services, EPC.</w:t>
            </w:r>
          </w:p>
        </w:tc>
      </w:tr>
    </w:tbl>
    <w:p w14:paraId="6208EC95" w14:textId="77777777" w:rsidR="009F3ED8" w:rsidRPr="00B131B3" w:rsidRDefault="009F3ED8" w:rsidP="00B131B3"/>
    <w:p w14:paraId="0B68FE6D" w14:textId="77777777" w:rsidR="009F3ED8" w:rsidRPr="00B131B3" w:rsidRDefault="009F3ED8" w:rsidP="00B131B3"/>
    <w:tbl>
      <w:tblPr>
        <w:tblpPr w:horzAnchor="margin" w:tblpYSpec="top"/>
        <w:tblOverlap w:val="never"/>
        <w:tblW w:w="0" w:type="auto"/>
        <w:tblLayout w:type="fixed"/>
        <w:tblCellMar>
          <w:left w:w="0" w:type="dxa"/>
          <w:right w:w="0" w:type="dxa"/>
        </w:tblCellMar>
        <w:tblLook w:val="0000" w:firstRow="0" w:lastRow="0" w:firstColumn="0" w:lastColumn="0" w:noHBand="0" w:noVBand="0"/>
      </w:tblPr>
      <w:tblGrid>
        <w:gridCol w:w="20"/>
        <w:gridCol w:w="273"/>
        <w:gridCol w:w="7056"/>
        <w:gridCol w:w="540"/>
        <w:gridCol w:w="630"/>
      </w:tblGrid>
      <w:tr w:rsidR="009F3ED8" w:rsidRPr="00B131B3" w14:paraId="6CE8C70D" w14:textId="77777777" w:rsidTr="00B131B3">
        <w:trPr>
          <w:cantSplit/>
          <w:trHeight w:val="12632"/>
        </w:trPr>
        <w:tc>
          <w:tcPr>
            <w:tcW w:w="6" w:type="dxa"/>
            <w:shd w:val="clear" w:color="auto" w:fill="auto"/>
            <w:textDirection w:val="btLr"/>
          </w:tcPr>
          <w:p w14:paraId="55F55D75" w14:textId="77777777" w:rsidR="009F3ED8" w:rsidRPr="00B131B3" w:rsidRDefault="009F3ED8" w:rsidP="00B131B3">
            <w:pPr>
              <w:pStyle w:val="SlimCell"/>
            </w:pPr>
            <w:r w:rsidRPr="00B131B3">
              <w:lastRenderedPageBreak/>
              <w:fldChar w:fldCharType="begin"/>
            </w:r>
            <w:r w:rsidRPr="009F3ED8">
              <w:instrText xml:space="preserve"> TC "</w:instrText>
            </w:r>
            <w:bookmarkStart w:id="111" w:name="_Toc511664526"/>
            <w:r w:rsidRPr="009F3ED8">
              <w:instrText>II.1.7.</w:instrText>
            </w:r>
            <w:r w:rsidRPr="009F3ED8">
              <w:tab/>
              <w:instrText>Contribution rates to the public pension system</w:instrText>
            </w:r>
            <w:bookmarkEnd w:id="111"/>
            <w:r w:rsidRPr="009F3ED8">
              <w:instrText xml:space="preserve">" \ftable \l 5 </w:instrText>
            </w:r>
            <w:r w:rsidRPr="00B131B3">
              <w:fldChar w:fldCharType="end"/>
            </w:r>
          </w:p>
        </w:tc>
        <w:tc>
          <w:tcPr>
            <w:tcW w:w="273" w:type="dxa"/>
            <w:shd w:val="clear" w:color="auto" w:fill="auto"/>
            <w:textDirection w:val="btLr"/>
          </w:tcPr>
          <w:p w14:paraId="410F44BE" w14:textId="77777777" w:rsidR="009F3ED8" w:rsidRPr="00B131B3" w:rsidRDefault="009F3ED8" w:rsidP="00B131B3">
            <w:pPr>
              <w:pStyle w:val="TableTitle"/>
              <w:rPr>
                <w:b/>
              </w:rPr>
            </w:pPr>
            <w:r w:rsidRPr="00B131B3">
              <w:t>Table II.1.7:</w:t>
            </w:r>
            <w:r w:rsidRPr="00B131B3">
              <w:rPr>
                <w:b/>
              </w:rPr>
              <w:tab/>
              <w:t>Contribution rates to the public pension system</w:t>
            </w:r>
          </w:p>
        </w:tc>
        <w:tc>
          <w:tcPr>
            <w:tcW w:w="7056" w:type="dxa"/>
            <w:shd w:val="clear" w:color="auto" w:fill="auto"/>
            <w:textDirection w:val="btLr"/>
          </w:tcPr>
          <w:p w14:paraId="01CD14CE" w14:textId="77777777" w:rsidR="009F3ED8" w:rsidRPr="00B131B3" w:rsidRDefault="009F3ED8" w:rsidP="00B131B3">
            <w:pPr>
              <w:pStyle w:val="TableShape"/>
              <w:jc w:val="right"/>
              <w:rPr>
                <w:sz w:val="2"/>
              </w:rPr>
            </w:pPr>
            <w:r>
              <w:rPr>
                <w:noProof/>
                <w:sz w:val="2"/>
                <w:lang w:val="hr-HR" w:eastAsia="hr-HR"/>
              </w:rPr>
              <w:drawing>
                <wp:inline distT="0" distB="0" distL="0" distR="0" wp14:anchorId="028213E0" wp14:editId="53413404">
                  <wp:extent cx="7985515" cy="4467299"/>
                  <wp:effectExtent l="6350" t="0" r="3175" b="3175"/>
                  <wp:docPr id="848" name="Picture 848" descr="&lt;nbr&gt;&lt;GETTEXTFROMWORD&gt;&lt;/nbr&gt;&#10;&lt;title&gt;&lt;GETTEXTFROMWORD&gt;&lt;/title&gt;&#10;&lt;id&gt;26a08ea1-6c02-4120-8f13-be2e24c0b310&lt;/id&gt;&#10;&lt;srcType&gt;EXCEL&lt;/srcType&gt;&#10;&lt;srcPath&gt;U:\Budgetary projections 2018\Reports\2018 AR\Tables_and_graphs\Part II Chapter 1\&lt;/srcPath&gt;&#10;&lt;srcName&gt;overview of pension system annex 2.xlsx&lt;/srcName&gt;&#10;&lt;type&gt;table&lt;/type&gt;&#10; &lt;srcSheet&gt;Contribution&lt;/srcSheet&gt;&#10; &lt;srcRange&gt;R2C2:R32C7&lt;/srcRange&gt;&#10;&lt;pos&gt;landscap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6T16:29:44&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16200000">
                            <a:off x="0" y="0"/>
                            <a:ext cx="7985515" cy="4467299"/>
                          </a:xfrm>
                          <a:prstGeom prst="rect">
                            <a:avLst/>
                          </a:prstGeom>
                          <a:noFill/>
                          <a:ln>
                            <a:noFill/>
                          </a:ln>
                        </pic:spPr>
                      </pic:pic>
                    </a:graphicData>
                  </a:graphic>
                </wp:inline>
              </w:drawing>
            </w:r>
          </w:p>
        </w:tc>
        <w:tc>
          <w:tcPr>
            <w:tcW w:w="540" w:type="dxa"/>
            <w:shd w:val="clear" w:color="auto" w:fill="auto"/>
            <w:textDirection w:val="btLr"/>
          </w:tcPr>
          <w:p w14:paraId="33A3C5E7" w14:textId="77777777" w:rsidR="009F3ED8" w:rsidRDefault="009F3ED8" w:rsidP="00B131B3">
            <w:pPr>
              <w:pStyle w:val="TableFootnote"/>
            </w:pPr>
            <w:r>
              <w:t xml:space="preserve">(1) When several schemes prevail, the information reported refers to the main (general regime) pension scheme. </w:t>
            </w:r>
          </w:p>
          <w:p w14:paraId="2CEC090F" w14:textId="77777777" w:rsidR="009F3ED8" w:rsidRPr="00B131B3" w:rsidRDefault="009F3ED8" w:rsidP="00B131B3">
            <w:pPr>
              <w:pStyle w:val="TableSource"/>
            </w:pPr>
            <w:r w:rsidRPr="00B131B3">
              <w:rPr>
                <w:b/>
                <w:i/>
              </w:rPr>
              <w:t>Source:</w:t>
            </w:r>
            <w:r w:rsidRPr="00B131B3">
              <w:t xml:space="preserve">    Commission services, EPC.</w:t>
            </w:r>
          </w:p>
        </w:tc>
        <w:tc>
          <w:tcPr>
            <w:tcW w:w="630" w:type="dxa"/>
            <w:shd w:val="clear" w:color="auto" w:fill="auto"/>
            <w:textDirection w:val="btLr"/>
          </w:tcPr>
          <w:p w14:paraId="762462A2" w14:textId="77777777" w:rsidR="009F3ED8" w:rsidRPr="00B131B3" w:rsidRDefault="009F3ED8" w:rsidP="00B131B3">
            <w:pPr>
              <w:pStyle w:val="SlimCell"/>
            </w:pPr>
          </w:p>
        </w:tc>
      </w:tr>
    </w:tbl>
    <w:p w14:paraId="392934A2" w14:textId="77777777" w:rsidR="009F3ED8" w:rsidRPr="00B131B3" w:rsidRDefault="009F3ED8" w:rsidP="00B131B3">
      <w:r w:rsidRPr="00B131B3">
        <w:lastRenderedPageBreak/>
        <w:fldChar w:fldCharType="begin"/>
      </w:r>
      <w:r w:rsidRPr="009F3ED8">
        <w:instrText xml:space="preserve"> TC "</w:instrText>
      </w:r>
      <w:bookmarkStart w:id="112" w:name="_Toc511664713"/>
      <w:r w:rsidRPr="009F3ED8">
        <w:instrText>II.1.2.</w:instrText>
      </w:r>
      <w:r w:rsidRPr="009F3ED8">
        <w:tab/>
        <w:instrText>Special pensions in the EU</w:instrText>
      </w:r>
      <w:bookmarkEnd w:id="112"/>
      <w:r w:rsidRPr="009F3ED8">
        <w:instrText xml:space="preserve">" \fbox \l 5 </w:instrText>
      </w:r>
      <w:r w:rsidRPr="00B131B3">
        <w:fldChar w:fldCharType="end"/>
      </w:r>
    </w:p>
    <w:p w14:paraId="7CD50EE1" w14:textId="77777777" w:rsidR="009F3ED8" w:rsidRPr="00B131B3" w:rsidRDefault="009F3ED8" w:rsidP="00B131B3">
      <w:pPr>
        <w:pStyle w:val="MultipageDelimiter"/>
      </w:pPr>
    </w:p>
    <w:tbl>
      <w:tblPr>
        <w:tblpPr w:horzAnchor="margin" w:tblpYSpec="top"/>
        <w:tblOverlap w:val="never"/>
        <w:tblW w:w="0" w:type="auto"/>
        <w:tblBorders>
          <w:top w:val="single" w:sz="4" w:space="0" w:color="333399"/>
          <w:left w:val="single" w:sz="4" w:space="0" w:color="333399"/>
          <w:bottom w:val="single" w:sz="4" w:space="0" w:color="333399"/>
          <w:right w:val="single" w:sz="4" w:space="0" w:color="333399"/>
        </w:tblBorders>
        <w:shd w:val="clear" w:color="auto" w:fill="F7FCFF"/>
        <w:tblLayout w:type="fixed"/>
        <w:tblCellMar>
          <w:left w:w="0" w:type="dxa"/>
          <w:right w:w="0" w:type="dxa"/>
        </w:tblCellMar>
        <w:tblLook w:val="0000" w:firstRow="0" w:lastRow="0" w:firstColumn="0" w:lastColumn="0" w:noHBand="0" w:noVBand="0"/>
      </w:tblPr>
      <w:tblGrid>
        <w:gridCol w:w="8505"/>
      </w:tblGrid>
      <w:tr w:rsidR="009F3ED8" w:rsidRPr="00B131B3" w14:paraId="28032A21" w14:textId="77777777" w:rsidTr="00B131B3">
        <w:trPr>
          <w:cantSplit/>
          <w:trHeight w:val="20"/>
        </w:trPr>
        <w:tc>
          <w:tcPr>
            <w:tcW w:w="8505" w:type="dxa"/>
            <w:shd w:val="clear" w:color="auto" w:fill="F7FCFF"/>
          </w:tcPr>
          <w:p w14:paraId="14A8BA63" w14:textId="77777777" w:rsidR="009F3ED8" w:rsidRPr="00B131B3" w:rsidRDefault="009F3ED8" w:rsidP="00B131B3">
            <w:pPr>
              <w:pStyle w:val="SlimCell"/>
              <w:keepNext/>
            </w:pPr>
          </w:p>
        </w:tc>
      </w:tr>
      <w:tr w:rsidR="009F3ED8" w:rsidRPr="00B131B3" w14:paraId="27BF982B" w14:textId="77777777" w:rsidTr="00B131B3">
        <w:trPr>
          <w:cantSplit/>
          <w:trHeight w:val="20"/>
        </w:trPr>
        <w:tc>
          <w:tcPr>
            <w:tcW w:w="8505" w:type="dxa"/>
            <w:shd w:val="clear" w:color="auto" w:fill="F7FCFF"/>
          </w:tcPr>
          <w:p w14:paraId="1C73F661" w14:textId="77777777" w:rsidR="009F3ED8" w:rsidRPr="00B131B3" w:rsidRDefault="009F3ED8" w:rsidP="00B131B3">
            <w:pPr>
              <w:pStyle w:val="SlimCell"/>
              <w:keepNext/>
            </w:pPr>
          </w:p>
        </w:tc>
      </w:tr>
      <w:tr w:rsidR="009F3ED8" w:rsidRPr="00B131B3" w14:paraId="5CAD1146" w14:textId="77777777" w:rsidTr="00B131B3">
        <w:trPr>
          <w:cantSplit/>
        </w:trPr>
        <w:tc>
          <w:tcPr>
            <w:tcW w:w="8505" w:type="dxa"/>
            <w:shd w:val="clear" w:color="auto" w:fill="F7FCFF"/>
          </w:tcPr>
          <w:p w14:paraId="7C3D748C" w14:textId="77777777" w:rsidR="009F3ED8" w:rsidRPr="00B131B3" w:rsidRDefault="009F3ED8" w:rsidP="00B131B3">
            <w:pPr>
              <w:pStyle w:val="BoxShape"/>
              <w:rPr>
                <w:sz w:val="2"/>
              </w:rPr>
            </w:pPr>
            <w:r>
              <w:rPr>
                <w:noProof/>
                <w:sz w:val="2"/>
                <w:lang w:val="hr-HR" w:eastAsia="hr-HR"/>
              </w:rPr>
              <w:drawing>
                <wp:inline distT="0" distB="0" distL="0" distR="0" wp14:anchorId="07756DC7" wp14:editId="3F011A20">
                  <wp:extent cx="5031492" cy="7515225"/>
                  <wp:effectExtent l="0" t="0" r="0" b="0"/>
                  <wp:docPr id="849" name="Picture 849" descr="&lt;nbr&gt;II.1.2&lt;/nbr&gt;&#10;&lt;title&gt;Special pensions in the EU&lt;/title&gt;&#10;&lt;id&gt;49d5cce1-6b20-4809-9501-592789d80c3b&lt;/id&gt;&#10;&lt;srcType&gt;WORD&lt;/srcType&gt;&#10;&lt;srcPath&gt;U:\Budgetary projections 2018\Reports\2018 AR\The 2018 Ageing Report Economic\Part II Long-term projections of\&lt;/srcPath&gt;&#10;&lt;srcName&gt;Box 2 Special Pensions.docx&lt;/srcName&gt;&#10;&lt;type&gt;box&lt;/type&gt;&#10;&lt;pos&gt;top&lt;/pos&gt;&#10;&lt;numbering&gt;external&lt;/numbering&gt;&#10;&lt;manNumb&gt;no&lt;/manNumb&gt;&#10;&lt;multi&gt;yes&lt;/multi&gt;&#10; &lt;partThis&gt;1&lt;/partThis&gt;&#10; &lt;partTot&gt;4&lt;/partTot&gt;&#10;&lt;statAnn&gt;no&lt;/statAnn&gt;&#10;&lt;float&gt;no&lt;/float&gt;&#10;&lt;bottomShapePageNumber&gt;-1&lt;/bottomShapePageNumber&gt;&#10;&lt;version&gt;2&lt;/version&gt;&#10;&lt;scrFileTime&gt;2018-04-13T15:26:29&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031492" cy="7515225"/>
                          </a:xfrm>
                          <a:prstGeom prst="rect">
                            <a:avLst/>
                          </a:prstGeom>
                          <a:noFill/>
                          <a:ln>
                            <a:noFill/>
                          </a:ln>
                        </pic:spPr>
                      </pic:pic>
                    </a:graphicData>
                  </a:graphic>
                </wp:inline>
              </w:drawing>
            </w:r>
          </w:p>
        </w:tc>
      </w:tr>
      <w:tr w:rsidR="009F3ED8" w:rsidRPr="00B131B3" w14:paraId="2407846D" w14:textId="77777777" w:rsidTr="00B131B3">
        <w:trPr>
          <w:cantSplit/>
          <w:trHeight w:val="20"/>
        </w:trPr>
        <w:tc>
          <w:tcPr>
            <w:tcW w:w="8505" w:type="dxa"/>
            <w:shd w:val="clear" w:color="auto" w:fill="F7FCFF"/>
          </w:tcPr>
          <w:p w14:paraId="767C925A" w14:textId="77777777" w:rsidR="009F3ED8" w:rsidRPr="00B131B3" w:rsidRDefault="009F3ED8" w:rsidP="00B131B3">
            <w:pPr>
              <w:pStyle w:val="SlimCell"/>
              <w:keepNext/>
            </w:pPr>
          </w:p>
        </w:tc>
      </w:tr>
      <w:tr w:rsidR="009F3ED8" w:rsidRPr="00B131B3" w14:paraId="1AE15ED0" w14:textId="77777777" w:rsidTr="00B131B3">
        <w:trPr>
          <w:cantSplit/>
        </w:trPr>
        <w:tc>
          <w:tcPr>
            <w:tcW w:w="8505" w:type="dxa"/>
            <w:shd w:val="clear" w:color="auto" w:fill="F7FCFF"/>
            <w:vAlign w:val="bottom"/>
          </w:tcPr>
          <w:p w14:paraId="4F701BA5" w14:textId="77777777" w:rsidR="009F3ED8" w:rsidRPr="00B131B3" w:rsidRDefault="009F3ED8" w:rsidP="00B131B3">
            <w:pPr>
              <w:pStyle w:val="BoxContinueBottom"/>
            </w:pPr>
            <w:r>
              <w:t>(Continued on the next page)</w:t>
            </w:r>
          </w:p>
        </w:tc>
      </w:tr>
    </w:tbl>
    <w:p w14:paraId="52FF0B2E" w14:textId="77777777" w:rsidR="009F3ED8" w:rsidRPr="00B131B3" w:rsidRDefault="009F3ED8" w:rsidP="00B131B3">
      <w:pPr>
        <w:pStyle w:val="MultipageDelimiter"/>
      </w:pPr>
    </w:p>
    <w:tbl>
      <w:tblPr>
        <w:tblpPr w:horzAnchor="margin" w:tblpYSpec="top"/>
        <w:tblOverlap w:val="never"/>
        <w:tblW w:w="0" w:type="auto"/>
        <w:tblBorders>
          <w:top w:val="single" w:sz="4" w:space="0" w:color="333399"/>
          <w:left w:val="single" w:sz="4" w:space="0" w:color="333399"/>
          <w:bottom w:val="single" w:sz="4" w:space="0" w:color="333399"/>
          <w:right w:val="single" w:sz="4" w:space="0" w:color="333399"/>
        </w:tblBorders>
        <w:shd w:val="clear" w:color="auto" w:fill="F7FCFF"/>
        <w:tblLayout w:type="fixed"/>
        <w:tblCellMar>
          <w:left w:w="0" w:type="dxa"/>
          <w:right w:w="0" w:type="dxa"/>
        </w:tblCellMar>
        <w:tblLook w:val="0000" w:firstRow="0" w:lastRow="0" w:firstColumn="0" w:lastColumn="0" w:noHBand="0" w:noVBand="0"/>
      </w:tblPr>
      <w:tblGrid>
        <w:gridCol w:w="8505"/>
      </w:tblGrid>
      <w:tr w:rsidR="009F3ED8" w:rsidRPr="00B131B3" w14:paraId="0DCBCEC3" w14:textId="77777777" w:rsidTr="00B131B3">
        <w:trPr>
          <w:cantSplit/>
        </w:trPr>
        <w:tc>
          <w:tcPr>
            <w:tcW w:w="8505" w:type="dxa"/>
            <w:shd w:val="clear" w:color="auto" w:fill="F7FCFF"/>
          </w:tcPr>
          <w:p w14:paraId="1D5CD7B4" w14:textId="77777777" w:rsidR="009F3ED8" w:rsidRPr="00B131B3" w:rsidRDefault="009F3ED8" w:rsidP="00B131B3">
            <w:pPr>
              <w:pStyle w:val="BoxContinueTop"/>
            </w:pPr>
            <w:r>
              <w:lastRenderedPageBreak/>
              <w:t>Box (continued)</w:t>
            </w:r>
          </w:p>
        </w:tc>
      </w:tr>
      <w:tr w:rsidR="009F3ED8" w:rsidRPr="00B131B3" w14:paraId="33536E1F" w14:textId="77777777" w:rsidTr="00B131B3">
        <w:trPr>
          <w:cantSplit/>
          <w:trHeight w:val="20"/>
        </w:trPr>
        <w:tc>
          <w:tcPr>
            <w:tcW w:w="8505" w:type="dxa"/>
            <w:shd w:val="clear" w:color="auto" w:fill="F7FCFF"/>
          </w:tcPr>
          <w:p w14:paraId="5EC7D56C" w14:textId="77777777" w:rsidR="009F3ED8" w:rsidRPr="00B131B3" w:rsidRDefault="009F3ED8" w:rsidP="00B131B3">
            <w:pPr>
              <w:pStyle w:val="SlimCell"/>
              <w:keepNext/>
            </w:pPr>
          </w:p>
        </w:tc>
      </w:tr>
      <w:tr w:rsidR="009F3ED8" w:rsidRPr="00B131B3" w14:paraId="7DAA32E2" w14:textId="77777777" w:rsidTr="00B131B3">
        <w:trPr>
          <w:cantSplit/>
        </w:trPr>
        <w:tc>
          <w:tcPr>
            <w:tcW w:w="8505" w:type="dxa"/>
            <w:shd w:val="clear" w:color="auto" w:fill="F7FCFF"/>
          </w:tcPr>
          <w:p w14:paraId="22B46598" w14:textId="77777777" w:rsidR="009F3ED8" w:rsidRPr="00B131B3" w:rsidRDefault="009F3ED8" w:rsidP="00B131B3">
            <w:pPr>
              <w:pStyle w:val="BoxShape"/>
              <w:rPr>
                <w:sz w:val="2"/>
              </w:rPr>
            </w:pPr>
            <w:r>
              <w:rPr>
                <w:noProof/>
                <w:sz w:val="2"/>
                <w:lang w:val="hr-HR" w:eastAsia="hr-HR"/>
              </w:rPr>
              <w:drawing>
                <wp:inline distT="0" distB="0" distL="0" distR="0" wp14:anchorId="28540542" wp14:editId="3A5A8154">
                  <wp:extent cx="4913217" cy="7409180"/>
                  <wp:effectExtent l="0" t="0" r="1905" b="1270"/>
                  <wp:docPr id="850" name="Picture 850" descr="&lt;nbr&gt;II.1.2&lt;/nbr&gt;&#10;&lt;title&gt;Special pensions in the EU&lt;/title&gt;&#10;&lt;id&gt;49d5cce1-6b20-4809-9501-592789d80c3b&lt;/id&gt;&#10;&lt;srcType&gt;WORD&lt;/srcType&gt;&#10;&lt;srcPath&gt;U:\Budgetary projections 2018\Reports\2018 AR\The 2018 Ageing Report Economic\Part II Long-term projections of\&lt;/srcPath&gt;&#10;&lt;srcName&gt;Box 2 Special Pensions.docx&lt;/srcName&gt;&#10;&lt;type&gt;box&lt;/type&gt;&#10;&lt;pos&gt;top&lt;/pos&gt;&#10;&lt;numbering&gt;external&lt;/numbering&gt;&#10;&lt;manNumb&gt;no&lt;/manNumb&gt;&#10;&lt;multi&gt;yes&lt;/multi&gt;&#10; &lt;partThis&gt;2&lt;/partThis&gt;&#10; &lt;partTot&gt;4&lt;/partTot&gt;&#10;&lt;statAnn&gt;no&lt;/statAnn&gt;&#10;&lt;float&gt;no&lt;/float&gt;&#10;&lt;bottomShapePageNumber&gt;-1&lt;/bottomShapePageNumber&gt;&#10;&lt;version&gt;2&lt;/version&gt;&#10;&lt;scrFileTime&gt;2018-04-13T15:26:29&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913217" cy="7409180"/>
                          </a:xfrm>
                          <a:prstGeom prst="rect">
                            <a:avLst/>
                          </a:prstGeom>
                          <a:noFill/>
                          <a:ln>
                            <a:noFill/>
                          </a:ln>
                        </pic:spPr>
                      </pic:pic>
                    </a:graphicData>
                  </a:graphic>
                </wp:inline>
              </w:drawing>
            </w:r>
          </w:p>
        </w:tc>
      </w:tr>
      <w:tr w:rsidR="009F3ED8" w:rsidRPr="00B131B3" w14:paraId="10E8FB4A" w14:textId="77777777" w:rsidTr="00B131B3">
        <w:trPr>
          <w:cantSplit/>
          <w:trHeight w:val="20"/>
        </w:trPr>
        <w:tc>
          <w:tcPr>
            <w:tcW w:w="8505" w:type="dxa"/>
            <w:shd w:val="clear" w:color="auto" w:fill="F7FCFF"/>
          </w:tcPr>
          <w:p w14:paraId="056F10ED" w14:textId="77777777" w:rsidR="009F3ED8" w:rsidRPr="00B131B3" w:rsidRDefault="009F3ED8" w:rsidP="00B131B3">
            <w:pPr>
              <w:pStyle w:val="SlimCell"/>
              <w:keepNext/>
            </w:pPr>
          </w:p>
        </w:tc>
      </w:tr>
      <w:tr w:rsidR="009F3ED8" w:rsidRPr="00B131B3" w14:paraId="07F4303A" w14:textId="77777777" w:rsidTr="00B131B3">
        <w:trPr>
          <w:cantSplit/>
        </w:trPr>
        <w:tc>
          <w:tcPr>
            <w:tcW w:w="8505" w:type="dxa"/>
            <w:shd w:val="clear" w:color="auto" w:fill="F7FCFF"/>
            <w:vAlign w:val="bottom"/>
          </w:tcPr>
          <w:p w14:paraId="54FCF948" w14:textId="77777777" w:rsidR="009F3ED8" w:rsidRPr="00B131B3" w:rsidRDefault="009F3ED8" w:rsidP="00B131B3">
            <w:pPr>
              <w:pStyle w:val="BoxContinueBottom"/>
            </w:pPr>
            <w:r>
              <w:t>(Continued on the next page)</w:t>
            </w:r>
          </w:p>
        </w:tc>
      </w:tr>
    </w:tbl>
    <w:p w14:paraId="3DEAD838" w14:textId="77777777" w:rsidR="009F3ED8" w:rsidRPr="00B131B3" w:rsidRDefault="009F3ED8" w:rsidP="00B131B3">
      <w:pPr>
        <w:pStyle w:val="MultipageDelimiter"/>
      </w:pPr>
    </w:p>
    <w:tbl>
      <w:tblPr>
        <w:tblpPr w:horzAnchor="margin" w:tblpYSpec="top"/>
        <w:tblOverlap w:val="never"/>
        <w:tblW w:w="0" w:type="auto"/>
        <w:tblBorders>
          <w:top w:val="single" w:sz="4" w:space="0" w:color="333399"/>
          <w:left w:val="single" w:sz="4" w:space="0" w:color="333399"/>
          <w:bottom w:val="single" w:sz="4" w:space="0" w:color="333399"/>
          <w:right w:val="single" w:sz="4" w:space="0" w:color="333399"/>
        </w:tblBorders>
        <w:shd w:val="clear" w:color="auto" w:fill="F7FCFF"/>
        <w:tblLayout w:type="fixed"/>
        <w:tblCellMar>
          <w:left w:w="0" w:type="dxa"/>
          <w:right w:w="0" w:type="dxa"/>
        </w:tblCellMar>
        <w:tblLook w:val="0000" w:firstRow="0" w:lastRow="0" w:firstColumn="0" w:lastColumn="0" w:noHBand="0" w:noVBand="0"/>
      </w:tblPr>
      <w:tblGrid>
        <w:gridCol w:w="8505"/>
      </w:tblGrid>
      <w:tr w:rsidR="009F3ED8" w:rsidRPr="00B131B3" w14:paraId="3E0F0F70" w14:textId="77777777" w:rsidTr="00B131B3">
        <w:trPr>
          <w:cantSplit/>
        </w:trPr>
        <w:tc>
          <w:tcPr>
            <w:tcW w:w="8505" w:type="dxa"/>
            <w:shd w:val="clear" w:color="auto" w:fill="F7FCFF"/>
          </w:tcPr>
          <w:p w14:paraId="7575AA31" w14:textId="77777777" w:rsidR="009F3ED8" w:rsidRPr="00B131B3" w:rsidRDefault="009F3ED8" w:rsidP="00B131B3">
            <w:pPr>
              <w:pStyle w:val="BoxContinueTop"/>
            </w:pPr>
            <w:r>
              <w:lastRenderedPageBreak/>
              <w:t>Box (continued)</w:t>
            </w:r>
          </w:p>
        </w:tc>
      </w:tr>
      <w:tr w:rsidR="009F3ED8" w:rsidRPr="00B131B3" w14:paraId="64DF21D1" w14:textId="77777777" w:rsidTr="00B131B3">
        <w:trPr>
          <w:cantSplit/>
          <w:trHeight w:val="20"/>
        </w:trPr>
        <w:tc>
          <w:tcPr>
            <w:tcW w:w="8505" w:type="dxa"/>
            <w:shd w:val="clear" w:color="auto" w:fill="F7FCFF"/>
          </w:tcPr>
          <w:p w14:paraId="62D01C6B" w14:textId="77777777" w:rsidR="009F3ED8" w:rsidRPr="00B131B3" w:rsidRDefault="009F3ED8" w:rsidP="00B131B3">
            <w:pPr>
              <w:pStyle w:val="SlimCell"/>
              <w:keepNext/>
            </w:pPr>
          </w:p>
        </w:tc>
      </w:tr>
      <w:tr w:rsidR="009F3ED8" w:rsidRPr="00B131B3" w14:paraId="16C0F1E5" w14:textId="77777777" w:rsidTr="00B131B3">
        <w:trPr>
          <w:cantSplit/>
        </w:trPr>
        <w:tc>
          <w:tcPr>
            <w:tcW w:w="8505" w:type="dxa"/>
            <w:shd w:val="clear" w:color="auto" w:fill="F7FCFF"/>
          </w:tcPr>
          <w:p w14:paraId="5F212CCF" w14:textId="77777777" w:rsidR="009F3ED8" w:rsidRPr="00B131B3" w:rsidRDefault="009F3ED8" w:rsidP="00B131B3">
            <w:pPr>
              <w:pStyle w:val="BoxShape"/>
              <w:rPr>
                <w:sz w:val="2"/>
              </w:rPr>
            </w:pPr>
            <w:r>
              <w:rPr>
                <w:noProof/>
                <w:sz w:val="2"/>
                <w:lang w:val="hr-HR" w:eastAsia="hr-HR"/>
              </w:rPr>
              <w:drawing>
                <wp:inline distT="0" distB="0" distL="0" distR="0" wp14:anchorId="3D2050E0" wp14:editId="1BCB87A8">
                  <wp:extent cx="4951911" cy="7409181"/>
                  <wp:effectExtent l="0" t="0" r="1270" b="1270"/>
                  <wp:docPr id="851" name="Picture 851" descr="&lt;nbr&gt;II.1.2&lt;/nbr&gt;&#10;&lt;title&gt;Special pensions in the EU&lt;/title&gt;&#10;&lt;id&gt;49d5cce1-6b20-4809-9501-592789d80c3b&lt;/id&gt;&#10;&lt;srcType&gt;WORD&lt;/srcType&gt;&#10;&lt;srcPath&gt;U:\Budgetary projections 2018\Reports\2018 AR\The 2018 Ageing Report Economic\Part II Long-term projections of\&lt;/srcPath&gt;&#10;&lt;srcName&gt;Box 2 Special Pensions.docx&lt;/srcName&gt;&#10;&lt;type&gt;box&lt;/type&gt;&#10;&lt;pos&gt;top&lt;/pos&gt;&#10;&lt;numbering&gt;external&lt;/numbering&gt;&#10;&lt;manNumb&gt;no&lt;/manNumb&gt;&#10;&lt;multi&gt;yes&lt;/multi&gt;&#10; &lt;partThis&gt;3&lt;/partThis&gt;&#10; &lt;partTot&gt;4&lt;/partTot&gt;&#10;&lt;statAnn&gt;no&lt;/statAnn&gt;&#10;&lt;float&gt;no&lt;/float&gt;&#10;&lt;bottomShapePageNumber&gt;-1&lt;/bottomShapePageNumber&gt;&#10;&lt;version&gt;2&lt;/version&gt;&#10;&lt;scrFileTime&gt;2018-04-13T15:26:29&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951911" cy="7409181"/>
                          </a:xfrm>
                          <a:prstGeom prst="rect">
                            <a:avLst/>
                          </a:prstGeom>
                          <a:noFill/>
                          <a:ln>
                            <a:noFill/>
                          </a:ln>
                        </pic:spPr>
                      </pic:pic>
                    </a:graphicData>
                  </a:graphic>
                </wp:inline>
              </w:drawing>
            </w:r>
          </w:p>
        </w:tc>
      </w:tr>
      <w:tr w:rsidR="009F3ED8" w:rsidRPr="00B131B3" w14:paraId="15511261" w14:textId="77777777" w:rsidTr="00B131B3">
        <w:trPr>
          <w:cantSplit/>
          <w:trHeight w:val="20"/>
        </w:trPr>
        <w:tc>
          <w:tcPr>
            <w:tcW w:w="8505" w:type="dxa"/>
            <w:shd w:val="clear" w:color="auto" w:fill="F7FCFF"/>
          </w:tcPr>
          <w:p w14:paraId="030C98DD" w14:textId="77777777" w:rsidR="009F3ED8" w:rsidRPr="00B131B3" w:rsidRDefault="009F3ED8" w:rsidP="00B131B3">
            <w:pPr>
              <w:pStyle w:val="SlimCell"/>
              <w:keepNext/>
            </w:pPr>
          </w:p>
        </w:tc>
      </w:tr>
      <w:tr w:rsidR="009F3ED8" w:rsidRPr="00B131B3" w14:paraId="07C8D66A" w14:textId="77777777" w:rsidTr="00B131B3">
        <w:trPr>
          <w:cantSplit/>
        </w:trPr>
        <w:tc>
          <w:tcPr>
            <w:tcW w:w="8505" w:type="dxa"/>
            <w:shd w:val="clear" w:color="auto" w:fill="F7FCFF"/>
            <w:vAlign w:val="bottom"/>
          </w:tcPr>
          <w:p w14:paraId="623AE0A4" w14:textId="77777777" w:rsidR="009F3ED8" w:rsidRPr="00B131B3" w:rsidRDefault="009F3ED8" w:rsidP="00B131B3">
            <w:pPr>
              <w:pStyle w:val="BoxContinueBottom"/>
            </w:pPr>
            <w:r>
              <w:t>(Continued on the next page)</w:t>
            </w:r>
          </w:p>
        </w:tc>
      </w:tr>
    </w:tbl>
    <w:p w14:paraId="3ED64406" w14:textId="77777777" w:rsidR="009F3ED8" w:rsidRPr="00B131B3" w:rsidRDefault="009F3ED8" w:rsidP="00B131B3">
      <w:pPr>
        <w:pStyle w:val="MultipageDelimiter"/>
      </w:pPr>
    </w:p>
    <w:tbl>
      <w:tblPr>
        <w:tblpPr w:bottomFromText="240" w:horzAnchor="margin" w:tblpYSpec="top"/>
        <w:tblOverlap w:val="never"/>
        <w:tblW w:w="0" w:type="auto"/>
        <w:tblBorders>
          <w:top w:val="single" w:sz="4" w:space="0" w:color="333399"/>
          <w:left w:val="single" w:sz="4" w:space="0" w:color="333399"/>
          <w:bottom w:val="single" w:sz="4" w:space="0" w:color="333399"/>
          <w:right w:val="single" w:sz="4" w:space="0" w:color="333399"/>
        </w:tblBorders>
        <w:shd w:val="clear" w:color="auto" w:fill="F7FCFF"/>
        <w:tblLayout w:type="fixed"/>
        <w:tblCellMar>
          <w:left w:w="0" w:type="dxa"/>
          <w:right w:w="0" w:type="dxa"/>
        </w:tblCellMar>
        <w:tblLook w:val="0000" w:firstRow="0" w:lastRow="0" w:firstColumn="0" w:lastColumn="0" w:noHBand="0" w:noVBand="0"/>
      </w:tblPr>
      <w:tblGrid>
        <w:gridCol w:w="8505"/>
      </w:tblGrid>
      <w:tr w:rsidR="009F3ED8" w:rsidRPr="00B131B3" w14:paraId="3C8B6F06" w14:textId="77777777" w:rsidTr="00B131B3">
        <w:trPr>
          <w:cantSplit/>
        </w:trPr>
        <w:tc>
          <w:tcPr>
            <w:tcW w:w="8505" w:type="dxa"/>
            <w:shd w:val="clear" w:color="auto" w:fill="F7FCFF"/>
          </w:tcPr>
          <w:p w14:paraId="3CFC77C4" w14:textId="77777777" w:rsidR="009F3ED8" w:rsidRPr="00B131B3" w:rsidRDefault="009F3ED8" w:rsidP="00B131B3">
            <w:pPr>
              <w:pStyle w:val="BoxContinueTop"/>
            </w:pPr>
            <w:r>
              <w:lastRenderedPageBreak/>
              <w:t>Box (continued)</w:t>
            </w:r>
          </w:p>
        </w:tc>
      </w:tr>
      <w:tr w:rsidR="009F3ED8" w:rsidRPr="00B131B3" w14:paraId="42C611D6" w14:textId="77777777" w:rsidTr="00B131B3">
        <w:trPr>
          <w:cantSplit/>
          <w:trHeight w:val="20"/>
        </w:trPr>
        <w:tc>
          <w:tcPr>
            <w:tcW w:w="8505" w:type="dxa"/>
            <w:shd w:val="clear" w:color="auto" w:fill="F7FCFF"/>
          </w:tcPr>
          <w:p w14:paraId="4C2F0455" w14:textId="77777777" w:rsidR="009F3ED8" w:rsidRPr="00B131B3" w:rsidRDefault="009F3ED8" w:rsidP="00B131B3">
            <w:pPr>
              <w:pStyle w:val="SlimCell"/>
              <w:keepNext/>
            </w:pPr>
          </w:p>
        </w:tc>
      </w:tr>
      <w:tr w:rsidR="009F3ED8" w:rsidRPr="00B131B3" w14:paraId="7CA61AF4" w14:textId="77777777" w:rsidTr="00B131B3">
        <w:trPr>
          <w:cantSplit/>
        </w:trPr>
        <w:tc>
          <w:tcPr>
            <w:tcW w:w="8505" w:type="dxa"/>
            <w:shd w:val="clear" w:color="auto" w:fill="F7FCFF"/>
          </w:tcPr>
          <w:p w14:paraId="43A71A3B" w14:textId="77777777" w:rsidR="009F3ED8" w:rsidRPr="00B131B3" w:rsidRDefault="009F3ED8" w:rsidP="00B131B3">
            <w:pPr>
              <w:pStyle w:val="BoxShape"/>
              <w:rPr>
                <w:sz w:val="2"/>
              </w:rPr>
            </w:pPr>
            <w:r>
              <w:rPr>
                <w:noProof/>
                <w:sz w:val="2"/>
                <w:lang w:val="hr-HR" w:eastAsia="hr-HR"/>
              </w:rPr>
              <w:drawing>
                <wp:inline distT="0" distB="0" distL="0" distR="0" wp14:anchorId="6A1FE92F" wp14:editId="65418FE8">
                  <wp:extent cx="5040929" cy="5962050"/>
                  <wp:effectExtent l="0" t="0" r="7620" b="635"/>
                  <wp:docPr id="852" name="Picture 852" descr="&lt;nbr&gt;II.1.2&lt;/nbr&gt;&#10;&lt;title&gt;Special pensions in the EU&lt;/title&gt;&#10;&lt;id&gt;49d5cce1-6b20-4809-9501-592789d80c3b&lt;/id&gt;&#10;&lt;srcType&gt;WORD&lt;/srcType&gt;&#10;&lt;srcPath&gt;U:\Budgetary projections 2018\Reports\2018 AR\The 2018 Ageing Report Economic\Part II Long-term projections of\&lt;/srcPath&gt;&#10;&lt;srcName&gt;Box 2 Special Pensions.docx&lt;/srcName&gt;&#10;&lt;type&gt;box&lt;/type&gt;&#10;&lt;pos&gt;top&lt;/pos&gt;&#10;&lt;numbering&gt;external&lt;/numbering&gt;&#10;&lt;manNumb&gt;no&lt;/manNumb&gt;&#10;&lt;multi&gt;yes&lt;/multi&gt;&#10; &lt;partThis&gt;4&lt;/partThis&gt;&#10; &lt;partTot&gt;4&lt;/partTot&gt;&#10;&lt;statAnn&gt;no&lt;/statAnn&gt;&#10;&lt;float&gt;no&lt;/float&gt;&#10;&lt;bottomShapePageNumber&gt;-1&lt;/bottomShapePageNumber&gt;&#10;&lt;version&gt;2&lt;/version&gt;&#10;&lt;scrFileTime&gt;2018-04-13T15:26:29&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040929" cy="5962050"/>
                          </a:xfrm>
                          <a:prstGeom prst="rect">
                            <a:avLst/>
                          </a:prstGeom>
                          <a:noFill/>
                          <a:ln>
                            <a:noFill/>
                          </a:ln>
                        </pic:spPr>
                      </pic:pic>
                    </a:graphicData>
                  </a:graphic>
                </wp:inline>
              </w:drawing>
            </w:r>
          </w:p>
        </w:tc>
      </w:tr>
      <w:tr w:rsidR="009F3ED8" w:rsidRPr="00B131B3" w14:paraId="3B03030C" w14:textId="77777777" w:rsidTr="00B131B3">
        <w:trPr>
          <w:cantSplit/>
          <w:trHeight w:val="20"/>
        </w:trPr>
        <w:tc>
          <w:tcPr>
            <w:tcW w:w="8505" w:type="dxa"/>
            <w:shd w:val="clear" w:color="auto" w:fill="F7FCFF"/>
          </w:tcPr>
          <w:p w14:paraId="0B64F476" w14:textId="77777777" w:rsidR="009F3ED8" w:rsidRPr="00B131B3" w:rsidRDefault="009F3ED8" w:rsidP="00B131B3">
            <w:pPr>
              <w:pStyle w:val="SlimCell"/>
              <w:keepNext/>
            </w:pPr>
          </w:p>
        </w:tc>
      </w:tr>
      <w:tr w:rsidR="009F3ED8" w:rsidRPr="00B131B3" w14:paraId="66714CC7" w14:textId="77777777" w:rsidTr="00B131B3">
        <w:trPr>
          <w:cantSplit/>
          <w:trHeight w:val="20"/>
        </w:trPr>
        <w:tc>
          <w:tcPr>
            <w:tcW w:w="8505" w:type="dxa"/>
            <w:shd w:val="clear" w:color="auto" w:fill="F7FCFF"/>
            <w:vAlign w:val="bottom"/>
          </w:tcPr>
          <w:p w14:paraId="7D98B554" w14:textId="77777777" w:rsidR="009F3ED8" w:rsidRPr="00B131B3" w:rsidRDefault="009F3ED8" w:rsidP="00B131B3">
            <w:pPr>
              <w:pStyle w:val="SlimCell"/>
            </w:pPr>
          </w:p>
        </w:tc>
      </w:tr>
    </w:tbl>
    <w:p w14:paraId="239B5279" w14:textId="77777777" w:rsidR="009F3ED8" w:rsidRPr="00B131B3" w:rsidRDefault="009F3ED8" w:rsidP="00B131B3"/>
    <w:p w14:paraId="18B7C02E" w14:textId="77777777" w:rsidR="009F3ED8" w:rsidRPr="00B131B3" w:rsidRDefault="009F3ED8" w:rsidP="00B131B3">
      <w:pPr>
        <w:pStyle w:val="NumberedHeading1"/>
        <w:tabs>
          <w:tab w:val="left" w:pos="567"/>
        </w:tabs>
      </w:pPr>
      <w:r w:rsidRPr="00B131B3">
        <w:br w:type="page"/>
      </w:r>
      <w:bookmarkStart w:id="113" w:name="_Toc511664428"/>
      <w:r w:rsidRPr="00B131B3">
        <w:lastRenderedPageBreak/>
        <w:t>1.5.</w:t>
      </w:r>
      <w:r w:rsidRPr="00B131B3">
        <w:tab/>
        <w:t>Pension expenditure projections</w:t>
      </w:r>
      <w:bookmarkEnd w:id="113"/>
      <w:r w:rsidRPr="00B131B3">
        <w:t xml:space="preserve"> </w:t>
      </w:r>
    </w:p>
    <w:p w14:paraId="5C545E7B" w14:textId="77777777" w:rsidR="009F3ED8" w:rsidRPr="00B131B3" w:rsidRDefault="009F3ED8" w:rsidP="00B131B3">
      <w:pPr>
        <w:pStyle w:val="NumberedHeading2"/>
        <w:tabs>
          <w:tab w:val="left" w:pos="567"/>
        </w:tabs>
      </w:pPr>
      <w:r w:rsidRPr="00B131B3">
        <w:t>1.5.1.</w:t>
      </w:r>
      <w:r w:rsidRPr="00B131B3">
        <w:tab/>
        <w:t>Public pensions</w:t>
      </w:r>
    </w:p>
    <w:p w14:paraId="2BB9703F" w14:textId="77777777" w:rsidR="009F3ED8" w:rsidRPr="00B131B3" w:rsidRDefault="009F3ED8" w:rsidP="00B131B3">
      <w:pPr>
        <w:pStyle w:val="Heading"/>
      </w:pPr>
      <w:r w:rsidRPr="00B131B3">
        <w:t xml:space="preserve">Public pension expenditure projections until 2070 </w:t>
      </w:r>
    </w:p>
    <w:p w14:paraId="0413F962" w14:textId="77777777" w:rsidR="009F3ED8" w:rsidRPr="00B131B3" w:rsidRDefault="009F3ED8" w:rsidP="00B131B3">
      <w:r w:rsidRPr="00B131B3">
        <w:t xml:space="preserve">In the EU, public pension expenditure is projected to increase by 0.8 pps. of GDP between 2016 and 2040 (Table </w:t>
      </w:r>
      <w:r w:rsidRPr="00B131B3">
        <w:fldChar w:fldCharType="begin"/>
      </w:r>
      <w:r w:rsidRPr="00B131B3">
        <w:instrText xml:space="preserve"> QUOTE "II.1.8"</w:instrText>
      </w:r>
      <w:r w:rsidRPr="00B131B3">
        <w:fldChar w:fldCharType="begin">
          <w:fldData xml:space="preserve">QwBSAE8AUwBTAFIARQBGAEUAUgBFAE4AQwBFACoAVABBAEIATABFACoAYgA5ADUANAA2ADkAZQA5
AC0ANQA5ADMANwAtADQANQA1ADkALQBhAGUAYwAwAC0AZgBkAGMAMQA3ADMAYwA0AGEAMgA4AGIA
</w:fldData>
        </w:fldChar>
      </w:r>
      <w:r w:rsidRPr="00B131B3">
        <w:instrText xml:space="preserve"> ADDIN </w:instrText>
      </w:r>
      <w:r w:rsidRPr="00B131B3">
        <w:fldChar w:fldCharType="end"/>
      </w:r>
      <w:r w:rsidRPr="00B131B3">
        <w:instrText xml:space="preserve"> </w:instrText>
      </w:r>
      <w:r w:rsidRPr="00B131B3">
        <w:fldChar w:fldCharType="separate"/>
      </w:r>
      <w:r w:rsidRPr="00B131B3">
        <w:t>II.1.8</w:t>
      </w:r>
      <w:r w:rsidRPr="00B131B3">
        <w:fldChar w:fldCharType="end"/>
      </w:r>
      <w:r w:rsidRPr="00B131B3">
        <w:t xml:space="preserve">). In the period 2040-2070 spending would decline by 1 pp. of GDP with pension expenditure in 2070 returning to around the 2016 level. In the euro area, dynamics follow a comparable pattern, though with a larger amplitude: public pension expenditure is projected to increase by 1.3 pps. of GDP in 2016-2040 and to decline thereafter by 1.7 pps. of GDP. </w:t>
      </w:r>
    </w:p>
    <w:p w14:paraId="0D52C593" w14:textId="77777777" w:rsidR="009F3ED8" w:rsidRPr="00B131B3" w:rsidRDefault="009F3ED8" w:rsidP="00B131B3">
      <w:r w:rsidRPr="00B131B3">
        <w:t xml:space="preserve">This overall pattern conceals, however, notable differences between Member States. In 2016-2040, projected changes in public pension expenditure vary from -4.4 pps. of GDP in Greece to +3.2 pps. in Slovenia with a rising expenditure ratio in 17 Member States and in Norway. In 2040-2070, changes range between -4.8 pps. of GDP in Italy and +6.4 pps. in Luxembourg. For 14 Member States plus Norway an increase is expected in the second half of the projection exercise. </w:t>
      </w:r>
    </w:p>
    <w:p w14:paraId="3B7248E2" w14:textId="77777777" w:rsidR="009F3ED8" w:rsidRPr="00B131B3" w:rsidRDefault="009F3ED8" w:rsidP="00B131B3">
      <w:r w:rsidRPr="00B131B3">
        <w:t xml:space="preserve">Overall, pension spending is projected to rise by as much as 8.9 pps. of GDP in Luxembourg between 2016 and 2070, the highest increase of all countries (see Graph </w:t>
      </w:r>
      <w:r w:rsidRPr="00B131B3">
        <w:fldChar w:fldCharType="begin"/>
      </w:r>
      <w:r w:rsidRPr="00B131B3">
        <w:instrText xml:space="preserve"> QUOTE "II.1.4"</w:instrText>
      </w:r>
      <w:r w:rsidRPr="00B131B3">
        <w:fldChar w:fldCharType="begin">
          <w:fldData xml:space="preserve">QwBSAE8AUwBTAFIARQBGAEUAUgBFAE4AQwBFACoARwBSAEEAUABIACoAZABkADMANABmADgANgBl
AC0AMAA1ADcAMgAtADQAYgAzAGQALQBiADMAMwA4AC0AYgBiADkAMABlADEAOABkAGIAMQAzAGEA
</w:fldData>
        </w:fldChar>
      </w:r>
      <w:r w:rsidRPr="00B131B3">
        <w:instrText xml:space="preserve"> ADDIN </w:instrText>
      </w:r>
      <w:r w:rsidRPr="00B131B3">
        <w:fldChar w:fldCharType="end"/>
      </w:r>
      <w:r w:rsidRPr="00B131B3">
        <w:instrText xml:space="preserve"> </w:instrText>
      </w:r>
      <w:r w:rsidRPr="00B131B3">
        <w:fldChar w:fldCharType="separate"/>
      </w:r>
      <w:r w:rsidRPr="00B131B3">
        <w:t>II.1.4</w:t>
      </w:r>
      <w:r w:rsidRPr="00B131B3">
        <w:fldChar w:fldCharType="end"/>
      </w:r>
      <w:r w:rsidRPr="00B131B3">
        <w:t xml:space="preserve">). Also Slovenia (+3.9 pps.), Belgium and Malta (+2.9 pps.), the Czech Republic (+2.8 pps.), Germany (+2.4 pps.), Cyprus (+2.3 pps.) and Norway (+2.1 pps.) are expected to show an increase of more than two percentage points of GDP. The United Kingdom, Ireland, Hungary, Bulgaria and Slovakia would see an increase of 1.2-1.7 pps. of GDP in 2070. In the cases of Romania, Finland, the Netherlands and Austria, the increase would amount to around 0.5 pps. of GDP. </w:t>
      </w:r>
    </w:p>
    <w:p w14:paraId="2A62CD96" w14:textId="77777777" w:rsidR="009F3ED8" w:rsidRPr="00B131B3" w:rsidRDefault="009F3ED8" w:rsidP="00B131B3">
      <w:r w:rsidRPr="00B131B3">
        <w:t>Conversely, twelve Member States are expected to experience an overall decline in their public pension expenditure. The largest decrease would be in Greece (-6.6 pps. of GDP), followed by Croatia (-3.8 pps.), France (-3.3 pps.), Latvia (</w:t>
      </w:r>
      <w:r w:rsidRPr="00B131B3">
        <w:noBreakHyphen/>
        <w:t xml:space="preserve">2.6 pps.) and Portugal (-2.2 pps.). Seven other Member States would see spending decline by between 1 pp. and 1.9 pps. of GDP, namely </w:t>
      </w:r>
      <w:r w:rsidRPr="00B131B3">
        <w:lastRenderedPageBreak/>
        <w:t>Denmark, Estonia, Italy, Lithuania, Spain, Sweden and Poland.</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5D36F6E2" w14:textId="77777777" w:rsidTr="00B131B3">
        <w:trPr>
          <w:cantSplit/>
          <w:trHeight w:val="20"/>
        </w:trPr>
        <w:tc>
          <w:tcPr>
            <w:tcW w:w="4110" w:type="dxa"/>
            <w:shd w:val="clear" w:color="auto" w:fill="auto"/>
          </w:tcPr>
          <w:p w14:paraId="2B75B1E9" w14:textId="77777777" w:rsidR="009F3ED8" w:rsidRPr="00B131B3" w:rsidRDefault="009F3ED8" w:rsidP="00B131B3">
            <w:pPr>
              <w:pStyle w:val="SlimCell"/>
              <w:keepNext/>
            </w:pPr>
          </w:p>
        </w:tc>
      </w:tr>
      <w:tr w:rsidR="009F3ED8" w:rsidRPr="00B131B3" w14:paraId="39D8FC0C" w14:textId="77777777" w:rsidTr="00B131B3">
        <w:trPr>
          <w:cantSplit/>
        </w:trPr>
        <w:tc>
          <w:tcPr>
            <w:tcW w:w="4110" w:type="dxa"/>
            <w:shd w:val="clear" w:color="auto" w:fill="auto"/>
          </w:tcPr>
          <w:p w14:paraId="20AA21A2" w14:textId="77777777" w:rsidR="009F3ED8" w:rsidRPr="00B131B3" w:rsidRDefault="009F3ED8" w:rsidP="00B131B3">
            <w:pPr>
              <w:pStyle w:val="TableTitle"/>
              <w:rPr>
                <w:b/>
              </w:rPr>
            </w:pPr>
            <w:r w:rsidRPr="00B131B3">
              <w:t>Table II.1.8:</w:t>
            </w:r>
            <w:r w:rsidRPr="00B131B3">
              <w:rPr>
                <w:b/>
              </w:rPr>
              <w:tab/>
              <w:t>Level and change in gross public pension expenditure; 2016-2070, baseline scenario (%/pps. of GDP)</w:t>
            </w:r>
          </w:p>
        </w:tc>
      </w:tr>
      <w:tr w:rsidR="009F3ED8" w:rsidRPr="00B131B3" w14:paraId="3EC7D0F0" w14:textId="77777777" w:rsidTr="00B131B3">
        <w:trPr>
          <w:cantSplit/>
        </w:trPr>
        <w:tc>
          <w:tcPr>
            <w:tcW w:w="4110" w:type="dxa"/>
            <w:shd w:val="clear" w:color="auto" w:fill="auto"/>
          </w:tcPr>
          <w:p w14:paraId="544A3B0A" w14:textId="77777777" w:rsidR="009F3ED8" w:rsidRPr="00B131B3" w:rsidRDefault="009F3ED8" w:rsidP="00B131B3">
            <w:pPr>
              <w:pStyle w:val="TableShape"/>
              <w:rPr>
                <w:sz w:val="2"/>
              </w:rPr>
            </w:pPr>
            <w:r w:rsidRPr="00B131B3">
              <w:fldChar w:fldCharType="begin"/>
            </w:r>
            <w:r w:rsidRPr="009F3ED8">
              <w:instrText xml:space="preserve"> TC "</w:instrText>
            </w:r>
            <w:bookmarkStart w:id="114" w:name="_Toc511664527"/>
            <w:r w:rsidRPr="009F3ED8">
              <w:instrText>II.1.8.</w:instrText>
            </w:r>
            <w:r w:rsidRPr="009F3ED8">
              <w:tab/>
              <w:instrText>Level and change in gross public pension expenditure; 2016-2070, baseline scenario (%/pps. of GDP)</w:instrText>
            </w:r>
            <w:bookmarkEnd w:id="114"/>
            <w:r w:rsidRPr="009F3ED8">
              <w:instrText xml:space="preserve">" \ftable \l 5 </w:instrText>
            </w:r>
            <w:r w:rsidRPr="00B131B3">
              <w:fldChar w:fldCharType="end"/>
            </w:r>
            <w:r w:rsidRPr="00B131B3">
              <w:rPr>
                <w:noProof/>
                <w:sz w:val="2"/>
                <w:lang w:val="hr-HR" w:eastAsia="hr-HR"/>
              </w:rPr>
              <w:drawing>
                <wp:inline distT="0" distB="0" distL="0" distR="0" wp14:anchorId="1F3A9D56" wp14:editId="26B2AEDB">
                  <wp:extent cx="2597595" cy="3682242"/>
                  <wp:effectExtent l="0" t="0" r="0" b="0"/>
                  <wp:docPr id="853" name="Picture 853" descr="&lt;nbr&gt;&lt;GETTEXTFROMWORD&gt;&lt;/nbr&gt;&#10;&lt;title&gt;&lt;GETTEXTFROMWORD&gt;&lt;/title&gt;&#10;&lt;id&gt;b95469e9-5937-4559-aec0-fdc173c4a28b&lt;/id&gt;&#10;&lt;srcType&gt;EXCEL&lt;/srcType&gt;&#10;&lt;srcPath&gt;U:\Budgetary projections 2018\Reports\2018 AR\Tables_and_graphs\Part II Chapter 1\&lt;/srcPath&gt;&#10;&lt;srcName&gt;Tables_graphs_projections.xlsx&lt;/srcName&gt;&#10;&lt;type&gt;table&lt;/type&gt;&#10; &lt;srcSheet&gt;Table 11&lt;/srcSheet&gt;&#10; &lt;srcRange&gt;R2C2:R35C7&lt;/srcRang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97595" cy="3682242"/>
                          </a:xfrm>
                          <a:prstGeom prst="rect">
                            <a:avLst/>
                          </a:prstGeom>
                          <a:noFill/>
                          <a:ln>
                            <a:noFill/>
                          </a:ln>
                        </pic:spPr>
                      </pic:pic>
                    </a:graphicData>
                  </a:graphic>
                </wp:inline>
              </w:drawing>
            </w:r>
          </w:p>
        </w:tc>
      </w:tr>
      <w:tr w:rsidR="009F3ED8" w:rsidRPr="00B131B3" w14:paraId="011D14E1" w14:textId="77777777" w:rsidTr="00B131B3">
        <w:trPr>
          <w:cantSplit/>
        </w:trPr>
        <w:tc>
          <w:tcPr>
            <w:tcW w:w="4110" w:type="dxa"/>
            <w:shd w:val="clear" w:color="auto" w:fill="auto"/>
          </w:tcPr>
          <w:p w14:paraId="12A76D05" w14:textId="77777777" w:rsidR="009F3ED8" w:rsidRDefault="009F3ED8" w:rsidP="00B131B3">
            <w:pPr>
              <w:pStyle w:val="TableFootnote"/>
            </w:pPr>
            <w:r>
              <w:t>(1) IE: data include the Public Social Security (PSS) scheme as well as the Private Occupational Public Service (POPS) scheme for public servants.</w:t>
            </w:r>
            <w:r>
              <w:br/>
              <w:t>(2) LT: The reduction of public pension expenditure as a share of GDP is largely driven by the decline in the benefit ratio over almost the entire horizon due to the valorisation and indexation of pensions to the wage bill, which is growing at a slower pace than wage growth in most years. Legislation foresees, however, that the Government shall provide a proposal with necessary measures in the case where the replacement ratio decreased the previous year. When assuming that the valorisation and the indexation of pensions to average wage growth – instead of wage bill growth – in the period 2022-2039 would lead to an unchanged total benefit ratio by 2070, this results in pension expenditure of 7% of GDP in 2070 compared to the baseline projection of 5.2% of GDP. This represents a sizeable risk to the projections.</w:t>
            </w:r>
          </w:p>
          <w:p w14:paraId="3C0E0686"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23EAF175" w14:textId="77777777" w:rsidTr="00B131B3">
        <w:trPr>
          <w:cantSplit/>
          <w:trHeight w:val="20"/>
        </w:trPr>
        <w:tc>
          <w:tcPr>
            <w:tcW w:w="4110" w:type="dxa"/>
            <w:shd w:val="clear" w:color="auto" w:fill="auto"/>
            <w:tcMar>
              <w:bottom w:w="240" w:type="dxa"/>
            </w:tcMar>
          </w:tcPr>
          <w:p w14:paraId="53B6B92E" w14:textId="77777777" w:rsidR="009F3ED8" w:rsidRPr="00B131B3" w:rsidRDefault="009F3ED8" w:rsidP="00B131B3">
            <w:pPr>
              <w:pStyle w:val="SlimCell"/>
            </w:pPr>
          </w:p>
        </w:tc>
      </w:tr>
    </w:tbl>
    <w:p w14:paraId="073DC8FC" w14:textId="77777777" w:rsidR="009F3ED8" w:rsidRPr="00B131B3" w:rsidRDefault="009F3ED8" w:rsidP="00B131B3">
      <w:r w:rsidRPr="00B131B3">
        <w:t xml:space="preserve">While projected expenditure changes are important for tracing potential pension sustainability risks, also the overall level of pension spending needs to be factored in to obtain a more balanced picture of the potential pension challenge. In the case of two countries spending for example 8% of GDP and 12% of GDP respectively on pension benefits in </w:t>
      </w:r>
      <w:r w:rsidRPr="00B131B3">
        <w:lastRenderedPageBreak/>
        <w:t xml:space="preserve">2016, an identical projected increase of 3 pps. of GDP by 2070 does not necessarily bear the same policy implications. </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7CFDA8F2" w14:textId="77777777" w:rsidTr="00B131B3">
        <w:trPr>
          <w:cantSplit/>
        </w:trPr>
        <w:tc>
          <w:tcPr>
            <w:tcW w:w="4110" w:type="dxa"/>
            <w:shd w:val="clear" w:color="auto" w:fill="auto"/>
          </w:tcPr>
          <w:p w14:paraId="685416DA" w14:textId="77777777" w:rsidR="009F3ED8" w:rsidRPr="00B131B3" w:rsidRDefault="009F3ED8" w:rsidP="00B131B3">
            <w:pPr>
              <w:pStyle w:val="GraphTitle"/>
              <w:rPr>
                <w:b/>
              </w:rPr>
            </w:pPr>
            <w:r w:rsidRPr="00B131B3">
              <w:t>Graph II.1.4:</w:t>
            </w:r>
            <w:r w:rsidRPr="00B131B3">
              <w:rPr>
                <w:b/>
              </w:rPr>
              <w:tab/>
              <w:t>Change in gross public pension expenditure; 2016-2070 (pps. of GDP)</w:t>
            </w:r>
          </w:p>
        </w:tc>
      </w:tr>
      <w:tr w:rsidR="009F3ED8" w:rsidRPr="00B131B3" w14:paraId="0A82609F" w14:textId="77777777" w:rsidTr="00B131B3">
        <w:trPr>
          <w:cantSplit/>
        </w:trPr>
        <w:tc>
          <w:tcPr>
            <w:tcW w:w="4110" w:type="dxa"/>
            <w:shd w:val="clear" w:color="auto" w:fill="auto"/>
          </w:tcPr>
          <w:p w14:paraId="2A474081" w14:textId="77777777" w:rsidR="009F3ED8" w:rsidRPr="00B131B3" w:rsidRDefault="009F3ED8" w:rsidP="00B131B3">
            <w:pPr>
              <w:pStyle w:val="GraphShape"/>
              <w:rPr>
                <w:sz w:val="2"/>
              </w:rPr>
            </w:pPr>
            <w:r w:rsidRPr="00B131B3">
              <w:fldChar w:fldCharType="begin"/>
            </w:r>
            <w:r w:rsidRPr="009F3ED8">
              <w:instrText xml:space="preserve"> TC "</w:instrText>
            </w:r>
            <w:bookmarkStart w:id="115" w:name="_Toc511664654"/>
            <w:r w:rsidRPr="009F3ED8">
              <w:instrText>II.1.4.</w:instrText>
            </w:r>
            <w:r w:rsidRPr="009F3ED8">
              <w:tab/>
              <w:instrText>Change in gross public pension expenditure; 2016-2070 (pps. of GDP)</w:instrText>
            </w:r>
            <w:bookmarkEnd w:id="115"/>
            <w:r w:rsidRPr="009F3ED8">
              <w:instrText xml:space="preserve">" \fgraph \l 5 </w:instrText>
            </w:r>
            <w:r w:rsidRPr="00B131B3">
              <w:fldChar w:fldCharType="end"/>
            </w:r>
            <w:r w:rsidRPr="00B131B3">
              <w:rPr>
                <w:noProof/>
                <w:sz w:val="2"/>
                <w:lang w:val="hr-HR" w:eastAsia="hr-HR"/>
              </w:rPr>
              <w:drawing>
                <wp:inline distT="0" distB="0" distL="0" distR="0" wp14:anchorId="2FEACD65" wp14:editId="5DD65A41">
                  <wp:extent cx="2597595" cy="2553083"/>
                  <wp:effectExtent l="0" t="0" r="0" b="0"/>
                  <wp:docPr id="28" name="Picture 28" descr="&lt;nbr&gt;&lt;GETTEXTFROMWORD&gt;&lt;/nbr&gt;&#10;&lt;title&gt;&lt;GETTEXTFROMWORD&gt;&lt;/title&gt;&#10;&lt;id&gt;dd34f86e-0572-4b3d-b338-bb90e18db13a&lt;/id&gt;&#10;&lt;srcType&gt;EXCEL&lt;/srcType&gt;&#10;&lt;srcPath&gt;\\net1.cec.eu.int\ECFIN\C\2\Budgetary projections 2018\Reports\2018 AR\Tables_and_graphs\Part II Chapter 1\&lt;/srcPath&gt;&#10;&lt;srcName&gt;Tables_graphs_projections.xlsx&lt;/srcName&gt;&#10;&lt;type&gt;graph&lt;/type&gt;&#10; &lt;srcSheet&gt;Graph 4&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97595" cy="2553083"/>
                          </a:xfrm>
                          <a:prstGeom prst="rect">
                            <a:avLst/>
                          </a:prstGeom>
                          <a:noFill/>
                          <a:ln>
                            <a:noFill/>
                          </a:ln>
                        </pic:spPr>
                      </pic:pic>
                    </a:graphicData>
                  </a:graphic>
                </wp:inline>
              </w:drawing>
            </w:r>
          </w:p>
        </w:tc>
      </w:tr>
      <w:tr w:rsidR="009F3ED8" w:rsidRPr="00B131B3" w14:paraId="028E98C3" w14:textId="77777777" w:rsidTr="00B131B3">
        <w:trPr>
          <w:cantSplit/>
        </w:trPr>
        <w:tc>
          <w:tcPr>
            <w:tcW w:w="4110" w:type="dxa"/>
            <w:shd w:val="clear" w:color="auto" w:fill="auto"/>
            <w:tcMar>
              <w:bottom w:w="240" w:type="dxa"/>
            </w:tcMar>
          </w:tcPr>
          <w:p w14:paraId="46C15960" w14:textId="77777777" w:rsidR="009F3ED8" w:rsidRPr="00B131B3" w:rsidRDefault="009F3ED8" w:rsidP="00B131B3">
            <w:pPr>
              <w:pStyle w:val="GraphSource"/>
              <w:keepNext/>
            </w:pPr>
            <w:r w:rsidRPr="00B131B3">
              <w:rPr>
                <w:b/>
                <w:i/>
              </w:rPr>
              <w:t>Source:</w:t>
            </w:r>
            <w:r w:rsidRPr="00B131B3">
              <w:t xml:space="preserve"> Commission services, EPC.</w:t>
            </w:r>
          </w:p>
        </w:tc>
      </w:tr>
    </w:tbl>
    <w:p w14:paraId="33871EFF" w14:textId="77777777" w:rsidR="009F3ED8" w:rsidRPr="00B131B3" w:rsidRDefault="009F3ED8" w:rsidP="00B131B3">
      <w:r w:rsidRPr="00B131B3">
        <w:t xml:space="preserve">Countries located in the upper-right quadrant of Graph </w:t>
      </w:r>
      <w:r w:rsidRPr="00B131B3">
        <w:fldChar w:fldCharType="begin"/>
      </w:r>
      <w:r w:rsidRPr="00B131B3">
        <w:instrText xml:space="preserve"> QUOTE "II.1.5"</w:instrText>
      </w:r>
      <w:r w:rsidRPr="00B131B3">
        <w:fldChar w:fldCharType="begin">
          <w:fldData xml:space="preserve">QwBSAE8AUwBTAFIARQBGAEUAUgBFAE4AQwBFACoARwBSAEEAUABIACoAMABiADAANwA4ADYANwBh
AC0ANAA0ADAANQAtADQAOQBiADMALQBiAGEAMwA0AC0AYgBiADMAMwA3AGUAMQA0AGMANwBiAGEA
</w:fldData>
        </w:fldChar>
      </w:r>
      <w:r w:rsidRPr="00B131B3">
        <w:instrText xml:space="preserve"> ADDIN </w:instrText>
      </w:r>
      <w:r w:rsidRPr="00B131B3">
        <w:fldChar w:fldCharType="end"/>
      </w:r>
      <w:r w:rsidRPr="00B131B3">
        <w:instrText xml:space="preserve"> </w:instrText>
      </w:r>
      <w:r w:rsidRPr="00B131B3">
        <w:fldChar w:fldCharType="separate"/>
      </w:r>
      <w:r w:rsidRPr="00B131B3">
        <w:t>II.1.5</w:t>
      </w:r>
      <w:r w:rsidRPr="00B131B3">
        <w:fldChar w:fldCharType="end"/>
      </w:r>
      <w:r w:rsidRPr="00B131B3">
        <w:t xml:space="preserve"> have a higher public pension expenditure level than the EU average, both in 2016 and 2070. Those situated right of the 45-degree line in the upper-right quadrant (e.g. Belgium, Slovenia and Norway) show a larger than average increase over the considered period. Conversely, France, Greece, Italy, Portugal and Spain move closer to the EU average as a result of a projected decrease in pension expenditure. In the case of Luxembourg, the high projected expenditure increase by 2070 is to some extent mitigated by the starting position, namely an expenditure ratio that lies below the EU average in 2016. Graph </w:t>
      </w:r>
      <w:r w:rsidRPr="00B131B3">
        <w:fldChar w:fldCharType="begin"/>
      </w:r>
      <w:r w:rsidRPr="00B131B3">
        <w:instrText xml:space="preserve"> QUOTE "II.1.5"</w:instrText>
      </w:r>
      <w:r w:rsidRPr="00B131B3">
        <w:fldChar w:fldCharType="begin">
          <w:fldData xml:space="preserve">QwBSAE8AUwBTAFIARQBGAEUAUgBFAE4AQwBFACoARwBSAEEAUABIACoAMABiADAANwA4ADYANwBh
AC0ANAA0ADAANQAtADQAOQBiADMALQBiAGEAMwA0AC0AYgBiADMAMwA3AGUAMQA0AGMANwBiAGEA
</w:fldData>
        </w:fldChar>
      </w:r>
      <w:r w:rsidRPr="00B131B3">
        <w:instrText xml:space="preserve"> ADDIN </w:instrText>
      </w:r>
      <w:r w:rsidRPr="00B131B3">
        <w:fldChar w:fldCharType="end"/>
      </w:r>
      <w:r w:rsidRPr="00B131B3">
        <w:instrText xml:space="preserve"> </w:instrText>
      </w:r>
      <w:r w:rsidRPr="00B131B3">
        <w:fldChar w:fldCharType="separate"/>
      </w:r>
      <w:r w:rsidRPr="00B131B3">
        <w:t>II.1.5</w:t>
      </w:r>
      <w:r w:rsidRPr="00B131B3">
        <w:fldChar w:fldCharType="end"/>
      </w:r>
      <w:r w:rsidRPr="00B131B3">
        <w:t xml:space="preserve"> shows how the country would nevertheless have the highest pension spending in terms of GDP of all Member States in 2070, compared to the 17</w:t>
      </w:r>
      <w:r w:rsidRPr="00B131B3">
        <w:rPr>
          <w:vertAlign w:val="superscript"/>
        </w:rPr>
        <w:t>th</w:t>
      </w:r>
      <w:r w:rsidRPr="00B131B3">
        <w:t xml:space="preserve"> highest in 2016.</w:t>
      </w:r>
    </w:p>
    <w:p w14:paraId="61BCF248" w14:textId="77777777" w:rsidR="009F3ED8" w:rsidRPr="00B131B3" w:rsidRDefault="009F3ED8" w:rsidP="00B131B3">
      <w:r w:rsidRPr="00B131B3">
        <w:t xml:space="preserve">Looking back from 2016, many Member States already had to cope with rising pension costs. Between 2003 and 2016 the pension expenditure-to-GDP ratio rose for example sharply in Spain (+3.7 pps.), Italy (+2.4 pps.) and Romania (+1.8 pps.). Also Portugal (+2.7 pps.), Belgium (+2.4 pps.), the United Kingdom (+2.3 pps.) and Finland (+0.6 pps.) saw strong increases in pension spending, especially when considering the shorter </w:t>
      </w:r>
      <w:r w:rsidRPr="00B131B3">
        <w:lastRenderedPageBreak/>
        <w:t xml:space="preserve">period during which these took place (see Graph </w:t>
      </w:r>
      <w:r w:rsidRPr="00B131B3">
        <w:fldChar w:fldCharType="begin"/>
      </w:r>
      <w:r w:rsidRPr="00B131B3">
        <w:instrText xml:space="preserve"> QUOTE "II.1.6"</w:instrText>
      </w:r>
      <w:r w:rsidRPr="00B131B3">
        <w:fldChar w:fldCharType="begin">
          <w:fldData xml:space="preserve">QwBSAE8AUwBTAFIARQBGAEUAUgBFAE4AQwBFACoARwBSAEEAUABIACoANQBhADAANQBiADQAZQBk
AC0AZgBlADUAMQAtADQAMgBjAGIALQA5ADYANwA5AC0AOAAwADcAZQAyAGUANgAwADQAMAA0AGMA
</w:fldData>
        </w:fldChar>
      </w:r>
      <w:r w:rsidRPr="00B131B3">
        <w:instrText xml:space="preserve"> ADDIN </w:instrText>
      </w:r>
      <w:r w:rsidRPr="00B131B3">
        <w:fldChar w:fldCharType="end"/>
      </w:r>
      <w:r w:rsidRPr="00B131B3">
        <w:instrText xml:space="preserve"> </w:instrText>
      </w:r>
      <w:r w:rsidRPr="00B131B3">
        <w:fldChar w:fldCharType="separate"/>
      </w:r>
      <w:r w:rsidRPr="00B131B3">
        <w:t>II.1.6</w:t>
      </w:r>
      <w:r w:rsidRPr="00B131B3">
        <w:fldChar w:fldCharType="end"/>
      </w:r>
      <w:r w:rsidRPr="00B131B3">
        <w:t>). Those past increases, sometimes induced by the denominator effect from the 2008-2009 and 2012-2013 crises, add to future pension challenges.</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403B7315" w14:textId="77777777" w:rsidTr="00B131B3">
        <w:trPr>
          <w:cantSplit/>
        </w:trPr>
        <w:tc>
          <w:tcPr>
            <w:tcW w:w="4110" w:type="dxa"/>
            <w:shd w:val="clear" w:color="auto" w:fill="auto"/>
          </w:tcPr>
          <w:p w14:paraId="28A7963D" w14:textId="77777777" w:rsidR="009F3ED8" w:rsidRPr="00B131B3" w:rsidRDefault="009F3ED8" w:rsidP="00B131B3">
            <w:pPr>
              <w:pStyle w:val="GraphTitle"/>
              <w:rPr>
                <w:b/>
              </w:rPr>
            </w:pPr>
            <w:r w:rsidRPr="00B131B3">
              <w:t>Graph II.1.5:</w:t>
            </w:r>
            <w:r w:rsidRPr="00B131B3">
              <w:rPr>
                <w:b/>
              </w:rPr>
              <w:tab/>
              <w:t>Pension spending in 2016 and 2070: relative position towards the EU average (pps. of GDP)</w:t>
            </w:r>
          </w:p>
        </w:tc>
      </w:tr>
      <w:tr w:rsidR="009F3ED8" w:rsidRPr="00B131B3" w14:paraId="7059AFE2" w14:textId="77777777" w:rsidTr="00B131B3">
        <w:trPr>
          <w:cantSplit/>
        </w:trPr>
        <w:tc>
          <w:tcPr>
            <w:tcW w:w="4110" w:type="dxa"/>
            <w:shd w:val="clear" w:color="auto" w:fill="auto"/>
          </w:tcPr>
          <w:p w14:paraId="43BACD10" w14:textId="77777777" w:rsidR="009F3ED8" w:rsidRPr="00B131B3" w:rsidRDefault="009F3ED8" w:rsidP="00B131B3">
            <w:pPr>
              <w:pStyle w:val="GraphShape"/>
              <w:rPr>
                <w:sz w:val="2"/>
              </w:rPr>
            </w:pPr>
            <w:r w:rsidRPr="00B131B3">
              <w:fldChar w:fldCharType="begin"/>
            </w:r>
            <w:r w:rsidRPr="009F3ED8">
              <w:instrText xml:space="preserve"> TC "</w:instrText>
            </w:r>
            <w:bookmarkStart w:id="116" w:name="_Toc511664655"/>
            <w:r w:rsidRPr="009F3ED8">
              <w:instrText>II.1.5.</w:instrText>
            </w:r>
            <w:r w:rsidRPr="009F3ED8">
              <w:tab/>
              <w:instrText>Pension spending in 2016 and 2070: relative position towards the EU average (pps. of GDP)</w:instrText>
            </w:r>
            <w:bookmarkEnd w:id="116"/>
            <w:r w:rsidRPr="009F3ED8">
              <w:instrText xml:space="preserve">" \fgraph \l 5 </w:instrText>
            </w:r>
            <w:r w:rsidRPr="00B131B3">
              <w:fldChar w:fldCharType="end"/>
            </w:r>
            <w:r w:rsidRPr="00B131B3">
              <w:rPr>
                <w:noProof/>
                <w:sz w:val="2"/>
                <w:lang w:val="hr-HR" w:eastAsia="hr-HR"/>
              </w:rPr>
              <w:drawing>
                <wp:inline distT="0" distB="0" distL="0" distR="0" wp14:anchorId="03516328" wp14:editId="6455AC74">
                  <wp:extent cx="2597595" cy="2597595"/>
                  <wp:effectExtent l="0" t="0" r="0" b="0"/>
                  <wp:docPr id="27" name="Picture 27" descr="&lt;nbr&gt;&lt;GETTEXTFROMWORD&gt;&lt;/nbr&gt;&#10;&lt;title&gt;&lt;GETTEXTFROMWORD&gt;&lt;/title&gt;&#10;&lt;id&gt;0b07867a-4405-49b3-ba34-bb337e14c7ba&lt;/id&gt;&#10;&lt;srcType&gt;EXCEL&lt;/srcType&gt;&#10;&lt;srcPath&gt;\\net1.cec.eu.int\ECFIN\C\2\Budgetary projections 2018\Reports\2018 AR\Tables_and_graphs\Part II Chapter 1\&lt;/srcPath&gt;&#10;&lt;srcName&gt;Tables_graphs_projections.xlsx&lt;/srcName&gt;&#10;&lt;type&gt;graph&lt;/type&gt;&#10; &lt;srcSheet&gt;levels&lt;/srcSheet&gt;&#10; &lt;srcChartTitle&gt;Chart 6&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97595" cy="2597595"/>
                          </a:xfrm>
                          <a:prstGeom prst="rect">
                            <a:avLst/>
                          </a:prstGeom>
                          <a:noFill/>
                          <a:ln>
                            <a:noFill/>
                          </a:ln>
                        </pic:spPr>
                      </pic:pic>
                    </a:graphicData>
                  </a:graphic>
                </wp:inline>
              </w:drawing>
            </w:r>
          </w:p>
        </w:tc>
      </w:tr>
      <w:tr w:rsidR="009F3ED8" w:rsidRPr="00B131B3" w14:paraId="6B046DDC" w14:textId="77777777" w:rsidTr="00B131B3">
        <w:trPr>
          <w:cantSplit/>
        </w:trPr>
        <w:tc>
          <w:tcPr>
            <w:tcW w:w="4110" w:type="dxa"/>
            <w:shd w:val="clear" w:color="auto" w:fill="auto"/>
            <w:tcMar>
              <w:bottom w:w="240" w:type="dxa"/>
            </w:tcMar>
          </w:tcPr>
          <w:p w14:paraId="3BBD5F79" w14:textId="77777777" w:rsidR="009F3ED8" w:rsidRPr="00B131B3" w:rsidRDefault="009F3ED8" w:rsidP="00B131B3">
            <w:pPr>
              <w:pStyle w:val="GraphSource"/>
              <w:keepNext/>
            </w:pPr>
            <w:r w:rsidRPr="00B131B3">
              <w:rPr>
                <w:b/>
                <w:i/>
              </w:rPr>
              <w:t>Source:</w:t>
            </w:r>
            <w:r w:rsidRPr="00B131B3">
              <w:t xml:space="preserve"> Commission services, EPC.</w:t>
            </w:r>
          </w:p>
        </w:tc>
      </w:tr>
    </w:tbl>
    <w:p w14:paraId="23F78703" w14:textId="77777777" w:rsidR="009F3ED8" w:rsidRPr="00B131B3" w:rsidRDefault="009F3ED8" w:rsidP="00B131B3">
      <w:pPr>
        <w:pStyle w:val="MultipageDelimiter"/>
      </w:pP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191847C3" w14:textId="77777777" w:rsidTr="00B131B3">
        <w:trPr>
          <w:cantSplit/>
        </w:trPr>
        <w:tc>
          <w:tcPr>
            <w:tcW w:w="4110" w:type="dxa"/>
            <w:shd w:val="clear" w:color="auto" w:fill="auto"/>
          </w:tcPr>
          <w:p w14:paraId="6A033BC1" w14:textId="77777777" w:rsidR="009F3ED8" w:rsidRPr="00B131B3" w:rsidRDefault="009F3ED8" w:rsidP="00B131B3">
            <w:pPr>
              <w:pStyle w:val="GraphTitle"/>
              <w:rPr>
                <w:b/>
              </w:rPr>
            </w:pPr>
            <w:r w:rsidRPr="00B131B3">
              <w:t>Graph II.1.6:</w:t>
            </w:r>
            <w:r w:rsidRPr="00B131B3">
              <w:rPr>
                <w:b/>
              </w:rPr>
              <w:tab/>
              <w:t>Change in gross public pension expenditure prior to 2016, selected countries (pps. of GDP)</w:t>
            </w:r>
          </w:p>
        </w:tc>
      </w:tr>
      <w:tr w:rsidR="009F3ED8" w:rsidRPr="00B131B3" w14:paraId="4E041702" w14:textId="77777777" w:rsidTr="00B131B3">
        <w:trPr>
          <w:cantSplit/>
        </w:trPr>
        <w:tc>
          <w:tcPr>
            <w:tcW w:w="4110" w:type="dxa"/>
            <w:shd w:val="clear" w:color="auto" w:fill="auto"/>
          </w:tcPr>
          <w:p w14:paraId="5385C5DA" w14:textId="77777777" w:rsidR="009F3ED8" w:rsidRPr="00B131B3" w:rsidRDefault="009F3ED8" w:rsidP="00B131B3">
            <w:pPr>
              <w:pStyle w:val="GraphShape"/>
              <w:rPr>
                <w:sz w:val="2"/>
              </w:rPr>
            </w:pPr>
            <w:r w:rsidRPr="00B131B3">
              <w:fldChar w:fldCharType="begin"/>
            </w:r>
            <w:r w:rsidRPr="009F3ED8">
              <w:instrText xml:space="preserve"> TC "</w:instrText>
            </w:r>
            <w:bookmarkStart w:id="117" w:name="_Toc511664656"/>
            <w:r w:rsidRPr="009F3ED8">
              <w:instrText>II.1.6.</w:instrText>
            </w:r>
            <w:r w:rsidRPr="009F3ED8">
              <w:tab/>
              <w:instrText>Change in gross public pension expenditure prior to 2016, selected countries (pps. of GDP)</w:instrText>
            </w:r>
            <w:bookmarkEnd w:id="117"/>
            <w:r w:rsidRPr="009F3ED8">
              <w:instrText xml:space="preserve">" \fgraph \l 5 </w:instrText>
            </w:r>
            <w:r w:rsidRPr="00B131B3">
              <w:fldChar w:fldCharType="end"/>
            </w:r>
            <w:r w:rsidRPr="00B131B3">
              <w:rPr>
                <w:noProof/>
                <w:sz w:val="2"/>
                <w:lang w:val="hr-HR" w:eastAsia="hr-HR"/>
              </w:rPr>
              <w:drawing>
                <wp:inline distT="0" distB="0" distL="0" distR="0" wp14:anchorId="45C5BD74" wp14:editId="4E01D76B">
                  <wp:extent cx="2597595" cy="2160451"/>
                  <wp:effectExtent l="0" t="0" r="0" b="0"/>
                  <wp:docPr id="26" name="Picture 26" descr="&lt;nbr&gt;&lt;GETTEXTFROMWORD&gt;&lt;/nbr&gt;&#10;&lt;title&gt;&lt;GETTEXTFROMWORD&gt;&lt;/title&gt;&#10;&lt;id&gt;5a05b4ed-fe51-42cb-9679-807e2e60404c&lt;/id&gt;&#10;&lt;srcType&gt;EXCEL&lt;/srcType&gt;&#10;&lt;srcPath&gt;\\net1.cec.eu.int\ECFIN\C\2\Budgetary projections 2018\Reports\2018 AR\Tables_and_graphs\Part II Chapter 1\&lt;/srcPath&gt;&#10;&lt;srcName&gt;Tables_graphs_projections.xlsx&lt;/srcName&gt;&#10;&lt;type&gt;graph&lt;/type&gt;&#10; &lt;srcSheet&gt;pre-2016&lt;/srcSheet&gt;&#10; &lt;srcChartTitle&gt;Chart 1&lt;/srcChartTitl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597595" cy="2160451"/>
                          </a:xfrm>
                          <a:prstGeom prst="rect">
                            <a:avLst/>
                          </a:prstGeom>
                          <a:noFill/>
                          <a:ln>
                            <a:noFill/>
                          </a:ln>
                        </pic:spPr>
                      </pic:pic>
                    </a:graphicData>
                  </a:graphic>
                </wp:inline>
              </w:drawing>
            </w:r>
          </w:p>
        </w:tc>
      </w:tr>
      <w:tr w:rsidR="009F3ED8" w:rsidRPr="00B131B3" w14:paraId="4DC3C469" w14:textId="77777777" w:rsidTr="00B131B3">
        <w:trPr>
          <w:cantSplit/>
        </w:trPr>
        <w:tc>
          <w:tcPr>
            <w:tcW w:w="4110" w:type="dxa"/>
            <w:shd w:val="clear" w:color="auto" w:fill="auto"/>
            <w:tcMar>
              <w:bottom w:w="240" w:type="dxa"/>
            </w:tcMar>
          </w:tcPr>
          <w:p w14:paraId="0DF38743" w14:textId="77777777" w:rsidR="009F3ED8" w:rsidRDefault="009F3ED8" w:rsidP="00B131B3">
            <w:pPr>
              <w:pStyle w:val="GraphFootnote"/>
              <w:keepNext/>
            </w:pPr>
            <w:r>
              <w:t>(1) Countries not depicted in the graph did not report pension expenditure levels for years prior to 2016.</w:t>
            </w:r>
          </w:p>
          <w:p w14:paraId="5298DF85" w14:textId="77777777" w:rsidR="009F3ED8" w:rsidRPr="00B131B3" w:rsidRDefault="009F3ED8" w:rsidP="00B131B3">
            <w:pPr>
              <w:pStyle w:val="GraphSource"/>
              <w:keepNext/>
            </w:pPr>
            <w:r w:rsidRPr="00B131B3">
              <w:rPr>
                <w:b/>
                <w:i/>
              </w:rPr>
              <w:t>Source:</w:t>
            </w:r>
            <w:r w:rsidRPr="00B131B3">
              <w:t xml:space="preserve"> Commission services, EPC.</w:t>
            </w:r>
          </w:p>
        </w:tc>
      </w:tr>
    </w:tbl>
    <w:p w14:paraId="6A52DAD7" w14:textId="77777777" w:rsidR="009F3ED8" w:rsidRPr="00B131B3" w:rsidRDefault="009F3ED8" w:rsidP="00B131B3">
      <w:pPr>
        <w:pStyle w:val="Heading"/>
      </w:pPr>
      <w:r w:rsidRPr="00B131B3">
        <w:t>Changes for the main general schemes</w:t>
      </w:r>
    </w:p>
    <w:p w14:paraId="07A25D20" w14:textId="77777777" w:rsidR="009F3ED8" w:rsidRPr="00B131B3" w:rsidRDefault="009F3ED8" w:rsidP="00B131B3">
      <w:r w:rsidRPr="00B131B3">
        <w:t xml:space="preserve">Changes in public pension expenditure are predominantly driven by old-age and early pension schemes (see Graph </w:t>
      </w:r>
      <w:r w:rsidRPr="00B131B3">
        <w:fldChar w:fldCharType="begin"/>
      </w:r>
      <w:r w:rsidRPr="00B131B3">
        <w:instrText xml:space="preserve"> QUOTE "II.1.7"</w:instrText>
      </w:r>
      <w:r w:rsidRPr="00B131B3">
        <w:fldChar w:fldCharType="begin">
          <w:fldData xml:space="preserve">QwBSAE8AUwBTAFIARQBGAEUAUgBFAE4AQwBFACoAQwBMAFUAUwBUAEUAUgAgAE8ARgAgAEcAUgBB
AFAASABTACoAYgAyADMAOABkAGEANwBkAC0AZQA1AGUAOQAtADQAYwBhAGMALQA4AGEAYwA0AC0A
NAA5ADcAOQA2ADkAYQBlAGEAMQBjADIA
</w:fldData>
        </w:fldChar>
      </w:r>
      <w:r w:rsidRPr="00B131B3">
        <w:instrText xml:space="preserve"> ADDIN </w:instrText>
      </w:r>
      <w:r w:rsidRPr="00B131B3">
        <w:fldChar w:fldCharType="end"/>
      </w:r>
      <w:r w:rsidRPr="00B131B3">
        <w:instrText xml:space="preserve"> </w:instrText>
      </w:r>
      <w:r w:rsidRPr="00B131B3">
        <w:fldChar w:fldCharType="separate"/>
      </w:r>
      <w:r w:rsidRPr="00B131B3">
        <w:t>II.1.7</w:t>
      </w:r>
      <w:r w:rsidRPr="00B131B3">
        <w:fldChar w:fldCharType="end"/>
      </w:r>
      <w:r w:rsidRPr="00B131B3">
        <w:t xml:space="preserve">). Indeed, all countries that display a higher overall expenditure ratio in 2070 compared to 2016 are projected to see </w:t>
      </w:r>
      <w:r w:rsidRPr="00B131B3">
        <w:lastRenderedPageBreak/>
        <w:fldChar w:fldCharType="begin"/>
      </w:r>
      <w:r w:rsidRPr="009F3ED8">
        <w:instrText xml:space="preserve"> TC "</w:instrText>
      </w:r>
      <w:bookmarkStart w:id="118" w:name="_Toc511664657"/>
      <w:r w:rsidRPr="009F3ED8">
        <w:instrText>II.1.7.</w:instrText>
      </w:r>
      <w:r w:rsidRPr="009F3ED8">
        <w:tab/>
        <w:instrText>Change in gross public pension expenditure for the main general schemes, 2016-2070 (pps. of GDP)</w:instrText>
      </w:r>
      <w:bookmarkEnd w:id="118"/>
      <w:r w:rsidRPr="009F3ED8">
        <w:instrText xml:space="preserve">" \fgraph \l 5 </w:instrText>
      </w:r>
      <w:r w:rsidRPr="00B131B3">
        <w:fldChar w:fldCharType="end"/>
      </w:r>
      <w:r w:rsidRPr="00B131B3">
        <w:t>spending on old-age and early pensions rise. For the EU as a whole, the increase amounts to 0.3 pps. of GDP. The largest difference is projected in Luxembourg (8.3 pps. of GDP). Malta, Belgium and Slovenia also show increases of at least 3 pps. of GDP. At the other end of the spectrum, Greece has the largest projected fall, at 4.5 pps. of GDP. Latvia, France and Croatia are expected to see a decrease of at least 2 pps. of GDP for old-age and early pensions.</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9F3ED8" w:rsidRPr="00B131B3" w14:paraId="485E8B25" w14:textId="77777777" w:rsidTr="00B131B3">
        <w:trPr>
          <w:cantSplit/>
        </w:trPr>
        <w:tc>
          <w:tcPr>
            <w:tcW w:w="8505" w:type="dxa"/>
            <w:shd w:val="clear" w:color="auto" w:fill="auto"/>
          </w:tcPr>
          <w:p w14:paraId="7ADB4121" w14:textId="77777777" w:rsidR="009F3ED8" w:rsidRPr="00B131B3" w:rsidRDefault="009F3ED8" w:rsidP="00B131B3">
            <w:pPr>
              <w:pStyle w:val="GraphTitle"/>
              <w:rPr>
                <w:b/>
              </w:rPr>
            </w:pPr>
            <w:r w:rsidRPr="00B131B3">
              <w:t>Graph II.1.7:</w:t>
            </w:r>
            <w:r w:rsidRPr="00B131B3">
              <w:rPr>
                <w:b/>
              </w:rPr>
              <w:tab/>
              <w:t>Change in gross public pension expenditure for the main general schemes, 2016-2070 (pps. of GDP)</w:t>
            </w:r>
          </w:p>
        </w:tc>
      </w:tr>
      <w:tr w:rsidR="009F3ED8" w:rsidRPr="00B131B3" w14:paraId="7F81B11E" w14:textId="77777777" w:rsidTr="00B131B3">
        <w:trPr>
          <w:cantSplit/>
        </w:trPr>
        <w:tc>
          <w:tcPr>
            <w:tcW w:w="8505" w:type="dxa"/>
            <w:shd w:val="clear" w:color="auto" w:fill="auto"/>
          </w:tcPr>
          <w:p w14:paraId="6E0CE387" w14:textId="77777777" w:rsidR="009F3ED8" w:rsidRPr="00B131B3" w:rsidRDefault="009F3ED8" w:rsidP="00B131B3">
            <w:pPr>
              <w:pStyle w:val="GraphShape"/>
              <w:rPr>
                <w:sz w:val="2"/>
              </w:rPr>
            </w:pPr>
            <w:r w:rsidRPr="00B131B3">
              <w:rPr>
                <w:noProof/>
                <w:sz w:val="2"/>
                <w:lang w:val="hr-HR" w:eastAsia="hr-HR"/>
              </w:rPr>
              <w:drawing>
                <wp:inline distT="0" distB="0" distL="0" distR="0" wp14:anchorId="37B1FA44" wp14:editId="41DAC6BD">
                  <wp:extent cx="5400929" cy="2990776"/>
                  <wp:effectExtent l="0" t="0" r="0" b="635"/>
                  <wp:docPr id="25" name="Picture 25" descr="&lt;nbr&gt;&lt;GETTEXTFROMWORD&gt;&lt;/nbr&gt;&#10;&lt;title&gt;&lt;GETTEXTFROMWORD&gt;&lt;/title&gt;&#10;&lt;id&gt;b238da7d-e5e9-4cac-8ac4-497969aea1c2&lt;/id&gt;&#10;&lt;srcType&gt;EXCEL&lt;/srcType&gt;&#10;&lt;srcPath&gt;\\net1.cec.eu.int\ECFIN\C\2\Budgetary projections 2018\Reports\2018 AR\Tables_and_graphs\Part II Chapter 1\&lt;/srcPath&gt;&#10;&lt;srcName&gt;Tables_graphs_projections.xlsx&lt;/srcName&gt;&#10;&lt;type&gt;clusterofgraphs&lt;/type&gt;&#10; &lt;srcSheet&gt;Graph 5&lt;/srcSheet&gt;&#10; &lt;individualNumbers&gt;no&lt;/individualNumbers&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400929" cy="2990776"/>
                          </a:xfrm>
                          <a:prstGeom prst="rect">
                            <a:avLst/>
                          </a:prstGeom>
                          <a:noFill/>
                          <a:ln>
                            <a:noFill/>
                          </a:ln>
                        </pic:spPr>
                      </pic:pic>
                    </a:graphicData>
                  </a:graphic>
                </wp:inline>
              </w:drawing>
            </w:r>
          </w:p>
        </w:tc>
      </w:tr>
      <w:tr w:rsidR="009F3ED8" w:rsidRPr="00B131B3" w14:paraId="536E1BA9" w14:textId="77777777" w:rsidTr="00B131B3">
        <w:trPr>
          <w:cantSplit/>
        </w:trPr>
        <w:tc>
          <w:tcPr>
            <w:tcW w:w="8505" w:type="dxa"/>
            <w:shd w:val="clear" w:color="auto" w:fill="auto"/>
          </w:tcPr>
          <w:p w14:paraId="2D74CE80" w14:textId="77777777" w:rsidR="009F3ED8" w:rsidRDefault="009F3ED8" w:rsidP="00B131B3">
            <w:pPr>
              <w:pStyle w:val="GraphFootnote"/>
              <w:keepNext/>
            </w:pPr>
            <w:r>
              <w:t>(1) IE: old-age and early pensions do not include public service occupational schemes.</w:t>
            </w:r>
            <w:r>
              <w:br/>
              <w:t>(2) MT: other pensions include treasury pensions, access to which for new government employees was closed in 1979.</w:t>
            </w:r>
            <w:r>
              <w:br/>
              <w:t>(3) UK: disability benefits paid to pensioners are not included in the projections as these are not considered a pension.</w:t>
            </w:r>
          </w:p>
          <w:p w14:paraId="7522CF0D" w14:textId="77777777" w:rsidR="009F3ED8" w:rsidRPr="00B131B3" w:rsidRDefault="009F3ED8" w:rsidP="00B131B3">
            <w:pPr>
              <w:pStyle w:val="GraphSource"/>
              <w:keepNext/>
            </w:pPr>
            <w:r w:rsidRPr="00B131B3">
              <w:rPr>
                <w:b/>
                <w:i/>
              </w:rPr>
              <w:t>Source:</w:t>
            </w:r>
            <w:r w:rsidRPr="00B131B3">
              <w:t xml:space="preserve"> Commission services, EPC.</w:t>
            </w:r>
          </w:p>
        </w:tc>
      </w:tr>
    </w:tbl>
    <w:p w14:paraId="4227F8A3" w14:textId="77777777" w:rsidR="009F3ED8" w:rsidRPr="00B131B3" w:rsidRDefault="009F3ED8" w:rsidP="00B131B3">
      <w:r w:rsidRPr="00B131B3">
        <w:t>Disability pensions and other pensions (including survivors' schemes) contribute generally more modestly to the overall trend with a negative contribution for most countries. At the EU level, disability pensions are projected to decrease by 0.1 pps. of GDP. Only Bulgaria and Denmark are expected to see disability pensions increase by 0.5 pps. of GDP or more. The largest decrease would be for Estonia (</w:t>
      </w:r>
      <w:r w:rsidRPr="00B131B3">
        <w:noBreakHyphen/>
        <w:t>1.3 pps. of GDP) (</w:t>
      </w:r>
      <w:r w:rsidRPr="00B131B3">
        <w:rPr>
          <w:rStyle w:val="Referencafusnote"/>
        </w:rPr>
        <w:footnoteReference w:id="51"/>
      </w:r>
      <w:r w:rsidRPr="00B131B3">
        <w:t>) with also Croatia and Norway projected to see a decrease of at least 0.5 pps. of GDP.</w:t>
      </w:r>
    </w:p>
    <w:p w14:paraId="127A61AE" w14:textId="77777777" w:rsidR="009F3ED8" w:rsidRPr="00B131B3" w:rsidRDefault="009F3ED8" w:rsidP="00B131B3">
      <w:r w:rsidRPr="00B131B3">
        <w:t xml:space="preserve">Other pension schemes (including survivors' pensions) would fall by 0.6 pps. of GDP at the EU level over the period 2016-2070. These schemes would see additional spending for only six countries, of at most 0.7 pps. of GDP for Estonia. Most countries are expected to have lower spending for these schemes, with a decline of at least 1 pp. of GDP in the cases of Austria, Malta, Greece and Denmark. This general trend results from converging life expectancies between men and women, fewer marriages and the impact of a higher female participation rate, sometimes induced by recent reforms. </w:t>
      </w:r>
    </w:p>
    <w:p w14:paraId="7C02093A" w14:textId="77777777" w:rsidR="009F3ED8" w:rsidRPr="00B131B3" w:rsidRDefault="009F3ED8" w:rsidP="00B131B3">
      <w:r w:rsidRPr="00B131B3">
        <w:t>Cyprus, Luxembourg, Slovenia and Slovakia are the only countries with a projected increase for all three general schemes. For eight countries spending is expected to fall in the three schemes (</w:t>
      </w:r>
      <w:r w:rsidRPr="00B131B3">
        <w:rPr>
          <w:rStyle w:val="Referencafusnote"/>
        </w:rPr>
        <w:footnoteReference w:id="52"/>
      </w:r>
      <w:r w:rsidRPr="00B131B3">
        <w:t>).</w:t>
      </w:r>
    </w:p>
    <w:p w14:paraId="7528FF09" w14:textId="77777777" w:rsidR="009F3ED8" w:rsidRPr="00B131B3" w:rsidRDefault="009F3ED8" w:rsidP="00B131B3">
      <w:pPr>
        <w:pStyle w:val="Heading"/>
      </w:pPr>
      <w:r w:rsidRPr="00B131B3">
        <w:lastRenderedPageBreak/>
        <w:t>Public pension expenditure: time profile</w:t>
      </w:r>
    </w:p>
    <w:p w14:paraId="40CCFDF8" w14:textId="77777777" w:rsidR="009F3ED8" w:rsidRPr="00B131B3" w:rsidRDefault="009F3ED8" w:rsidP="00B131B3">
      <w:r w:rsidRPr="00B131B3">
        <w:t xml:space="preserve">Both at the EU and the euro area level, public pension expenditure is projected to remain quite stable in the short term, before starting to increase upon entering the 2020s (see Graph </w:t>
      </w:r>
      <w:r w:rsidRPr="00B131B3">
        <w:fldChar w:fldCharType="begin"/>
      </w:r>
      <w:r w:rsidRPr="00B131B3">
        <w:instrText xml:space="preserve"> QUOTE "II.1.8"</w:instrText>
      </w:r>
      <w:r w:rsidRPr="00B131B3">
        <w:fldChar w:fldCharType="begin">
          <w:fldData xml:space="preserve">QwBSAE8AUwBTAFIARQBGAEUAUgBFAE4AQwBFACoAQwBMAFUAUwBUAEUAUgAgAE8ARgAgAEcAUgBB
AFAASABTACoAYgBkADAAOAA3ADgANwAwAC0AMgBjADgANgAtADQAMwBkAGUALQA5ADMANABiAC0A
NAA0ADkAMABkADQAZgAyAGYAMQBkADkA
</w:fldData>
        </w:fldChar>
      </w:r>
      <w:r w:rsidRPr="00B131B3">
        <w:instrText xml:space="preserve"> ADDIN </w:instrText>
      </w:r>
      <w:r w:rsidRPr="00B131B3">
        <w:fldChar w:fldCharType="end"/>
      </w:r>
      <w:r w:rsidRPr="00B131B3">
        <w:instrText xml:space="preserve"> </w:instrText>
      </w:r>
      <w:r w:rsidRPr="00B131B3">
        <w:fldChar w:fldCharType="separate"/>
      </w:r>
      <w:r w:rsidRPr="00B131B3">
        <w:t>II.1.8</w:t>
      </w:r>
      <w:r w:rsidRPr="00B131B3">
        <w:fldChar w:fldCharType="end"/>
      </w:r>
      <w:r w:rsidRPr="00B131B3">
        <w:t xml:space="preserve">). Spending would then rise steadily and peak in 2040, at 12% of GDP for the EU and at 13.5% of GDP for the euro area. Following those peaks, pension expenditure would decrease all the way through the remainder of the projection horizon. </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65F6428F" w14:textId="77777777" w:rsidTr="00B131B3">
        <w:trPr>
          <w:cantSplit/>
        </w:trPr>
        <w:tc>
          <w:tcPr>
            <w:tcW w:w="4110" w:type="dxa"/>
            <w:shd w:val="clear" w:color="auto" w:fill="auto"/>
          </w:tcPr>
          <w:p w14:paraId="1337FD1F" w14:textId="77777777" w:rsidR="009F3ED8" w:rsidRPr="00B131B3" w:rsidRDefault="009F3ED8" w:rsidP="00B131B3">
            <w:pPr>
              <w:pStyle w:val="GraphTitle"/>
              <w:rPr>
                <w:b/>
              </w:rPr>
            </w:pPr>
            <w:r w:rsidRPr="00B131B3">
              <w:t>Graph II.1.8:</w:t>
            </w:r>
            <w:r w:rsidRPr="00B131B3">
              <w:rPr>
                <w:b/>
              </w:rPr>
              <w:tab/>
              <w:t>Gross public pension expenditure in EU: time profile 2016-2070 (%GDP)</w:t>
            </w:r>
          </w:p>
        </w:tc>
      </w:tr>
      <w:tr w:rsidR="009F3ED8" w:rsidRPr="00B131B3" w14:paraId="2CC04011" w14:textId="77777777" w:rsidTr="00B131B3">
        <w:trPr>
          <w:cantSplit/>
        </w:trPr>
        <w:tc>
          <w:tcPr>
            <w:tcW w:w="4110" w:type="dxa"/>
            <w:shd w:val="clear" w:color="auto" w:fill="auto"/>
          </w:tcPr>
          <w:p w14:paraId="33645FE9" w14:textId="77777777" w:rsidR="009F3ED8" w:rsidRPr="00B131B3" w:rsidRDefault="009F3ED8" w:rsidP="00B131B3">
            <w:pPr>
              <w:pStyle w:val="GraphShape"/>
              <w:rPr>
                <w:sz w:val="2"/>
              </w:rPr>
            </w:pPr>
            <w:r w:rsidRPr="00B131B3">
              <w:fldChar w:fldCharType="begin"/>
            </w:r>
            <w:r w:rsidRPr="009F3ED8">
              <w:instrText xml:space="preserve"> TC "</w:instrText>
            </w:r>
            <w:bookmarkStart w:id="119" w:name="_Toc511664658"/>
            <w:r w:rsidRPr="009F3ED8">
              <w:instrText>II.1.8.</w:instrText>
            </w:r>
            <w:r w:rsidRPr="009F3ED8">
              <w:tab/>
              <w:instrText>Gross public pension expenditure in EU: time profile 2016-2070 (%GDP)</w:instrText>
            </w:r>
            <w:bookmarkEnd w:id="119"/>
            <w:r w:rsidRPr="009F3ED8">
              <w:instrText xml:space="preserve">" \fgraph \l 5 </w:instrText>
            </w:r>
            <w:r w:rsidRPr="00B131B3">
              <w:fldChar w:fldCharType="end"/>
            </w:r>
            <w:r w:rsidRPr="00B131B3">
              <w:rPr>
                <w:noProof/>
                <w:sz w:val="2"/>
                <w:lang w:val="hr-HR" w:eastAsia="hr-HR"/>
              </w:rPr>
              <w:drawing>
                <wp:inline distT="0" distB="0" distL="0" distR="0" wp14:anchorId="010717CE" wp14:editId="0828F6D5">
                  <wp:extent cx="2597595" cy="2081487"/>
                  <wp:effectExtent l="0" t="0" r="0" b="0"/>
                  <wp:docPr id="24" name="Picture 24" descr="&lt;nbr&gt;&lt;GETTEXTFROMWORD&gt;&lt;/nbr&gt;&#10;&lt;title&gt;&lt;GETTEXTFROMWORD&gt;&lt;/title&gt;&#10;&lt;id&gt;bd087870-2c86-43de-934b-4490d4f2f1d9&lt;/id&gt;&#10;&lt;srcType&gt;EXCEL&lt;/srcType&gt;&#10;&lt;srcPath&gt;\\net1.cec.eu.int\ECFIN\C\2\Budgetary projections 2018\Reports\2018 AR\Tables_and_graphs\Part II Chapter 1\&lt;/srcPath&gt;&#10;&lt;srcName&gt;Tables_graphs_projections.xlsx&lt;/srcName&gt;&#10;&lt;type&gt;clusterofgraphs&lt;/type&gt;&#10; &lt;srcSheet&gt;EU time profile&lt;/srcSheet&gt;&#10; &lt;individualNumbers&gt;no&lt;/individualNumbers&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97595" cy="2081487"/>
                          </a:xfrm>
                          <a:prstGeom prst="rect">
                            <a:avLst/>
                          </a:prstGeom>
                          <a:noFill/>
                          <a:ln>
                            <a:noFill/>
                          </a:ln>
                        </pic:spPr>
                      </pic:pic>
                    </a:graphicData>
                  </a:graphic>
                </wp:inline>
              </w:drawing>
            </w:r>
          </w:p>
        </w:tc>
      </w:tr>
      <w:tr w:rsidR="009F3ED8" w:rsidRPr="00B131B3" w14:paraId="09DC4610" w14:textId="77777777" w:rsidTr="00B131B3">
        <w:trPr>
          <w:cantSplit/>
        </w:trPr>
        <w:tc>
          <w:tcPr>
            <w:tcW w:w="4110" w:type="dxa"/>
            <w:shd w:val="clear" w:color="auto" w:fill="auto"/>
            <w:tcMar>
              <w:bottom w:w="240" w:type="dxa"/>
            </w:tcMar>
          </w:tcPr>
          <w:p w14:paraId="66669E85" w14:textId="77777777" w:rsidR="009F3ED8" w:rsidRPr="00B131B3" w:rsidRDefault="009F3ED8" w:rsidP="00B131B3">
            <w:pPr>
              <w:pStyle w:val="GraphSource"/>
              <w:keepNext/>
            </w:pPr>
            <w:r w:rsidRPr="00B131B3">
              <w:rPr>
                <w:b/>
                <w:i/>
              </w:rPr>
              <w:t>Source:</w:t>
            </w:r>
            <w:r w:rsidRPr="00B131B3">
              <w:t xml:space="preserve"> Commission services, EPC.</w:t>
            </w:r>
          </w:p>
        </w:tc>
      </w:tr>
    </w:tbl>
    <w:p w14:paraId="62787CF2" w14:textId="77777777" w:rsidR="009F3ED8" w:rsidRPr="00B131B3" w:rsidRDefault="009F3ED8" w:rsidP="00B131B3">
      <w:r w:rsidRPr="00B131B3">
        <w:t>This two-phased trajectory reflects how, initially, pension expenditure would experience a strong upward push from a higher dependency ratio (see Section 1.6.1). The latter's rise slows down beyond 2040. In addition, the delayed effect of automatic pension system stabilisers and phased-in reforms in certain countries, counteract the initial expenditure rise.</w:t>
      </w:r>
    </w:p>
    <w:p w14:paraId="435E4567" w14:textId="77777777" w:rsidR="009F3ED8" w:rsidRPr="00B131B3" w:rsidRDefault="009F3ED8" w:rsidP="00B131B3">
      <w:r w:rsidRPr="00B131B3">
        <w:t xml:space="preserve">The bell-shaped curve for the EU and the euro area does, however, not apply to all individual Member States. As shown in Graph </w:t>
      </w:r>
      <w:r w:rsidRPr="00B131B3">
        <w:fldChar w:fldCharType="begin"/>
      </w:r>
      <w:r w:rsidRPr="00B131B3">
        <w:instrText xml:space="preserve"> QUOTE "II.1.9"</w:instrText>
      </w:r>
      <w:r w:rsidRPr="00B131B3">
        <w:fldChar w:fldCharType="begin">
          <w:fldData xml:space="preserve">QwBSAE8AUwBTAFIARQBGAEUAUgBFAE4AQwBFACoARwBSAEEAUABIACoAOQA4ADMAYQAzADUAZgA2
AC0ANgBiAGUAOQAtADQAZQBmAGYALQA5AGQAMQBhAC0ANABjADgANQAxAGEAZQBkAGQAYgBjADYA
</w:fldData>
        </w:fldChar>
      </w:r>
      <w:r w:rsidRPr="00B131B3">
        <w:instrText xml:space="preserve"> ADDIN </w:instrText>
      </w:r>
      <w:r w:rsidRPr="00B131B3">
        <w:fldChar w:fldCharType="end"/>
      </w:r>
      <w:r w:rsidRPr="00B131B3">
        <w:instrText xml:space="preserve"> </w:instrText>
      </w:r>
      <w:r w:rsidRPr="00B131B3">
        <w:fldChar w:fldCharType="separate"/>
      </w:r>
      <w:r w:rsidRPr="00B131B3">
        <w:t>II.1.9</w:t>
      </w:r>
      <w:r w:rsidRPr="00B131B3">
        <w:fldChar w:fldCharType="end"/>
      </w:r>
      <w:r w:rsidRPr="00B131B3">
        <w:t xml:space="preserve">, the number of years until a peak is reached and the expenditure increase from trough to peak vary greatly among countries. As a result, the total change in public pension expenditure between 2016 and 2070, as shown in Graph </w:t>
      </w:r>
      <w:r w:rsidRPr="00B131B3">
        <w:fldChar w:fldCharType="begin"/>
      </w:r>
      <w:r w:rsidRPr="00B131B3">
        <w:instrText xml:space="preserve"> QUOTE "II.1.4"</w:instrText>
      </w:r>
      <w:r w:rsidRPr="00B131B3">
        <w:fldChar w:fldCharType="begin">
          <w:fldData xml:space="preserve">QwBSAE8AUwBTAFIARQBGAEUAUgBFAE4AQwBFACoARwBSAEEAUABIACoAZABkADMANABmADgANgBl
AC0AMAA1ADcAMgAtADQAYgAzAGQALQBiADMAMwA4AC0AYgBiADkAMABlADEAOABkAGIAMQAzAGEA
</w:fldData>
        </w:fldChar>
      </w:r>
      <w:r w:rsidRPr="00B131B3">
        <w:instrText xml:space="preserve"> ADDIN </w:instrText>
      </w:r>
      <w:r w:rsidRPr="00B131B3">
        <w:fldChar w:fldCharType="end"/>
      </w:r>
      <w:r w:rsidRPr="00B131B3">
        <w:instrText xml:space="preserve"> </w:instrText>
      </w:r>
      <w:r w:rsidRPr="00B131B3">
        <w:fldChar w:fldCharType="separate"/>
      </w:r>
      <w:r w:rsidRPr="00B131B3">
        <w:t>II.1.4</w:t>
      </w:r>
      <w:r w:rsidRPr="00B131B3">
        <w:fldChar w:fldCharType="end"/>
      </w:r>
      <w:r w:rsidRPr="00B131B3">
        <w:t xml:space="preserve"> above, does not appropriately signal risks for those countries where pension expenditure peaks in the first decades of the projection horizon and decreases afterwards. Such frontloading appears for example to be the case for Italy and Spain. These countries would see pension spending fall in 2070 as compared to the </w:t>
      </w:r>
      <w:r w:rsidRPr="00B131B3">
        <w:lastRenderedPageBreak/>
        <w:t>2016 baseline. However, spending is projected to rise in the coming decades, increasing by 3.1 pps. of GDP for Italy in 2040 and by 2.2 pps. of GDP for Spain in 2045.</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1F147411" w14:textId="77777777" w:rsidTr="00B131B3">
        <w:trPr>
          <w:cantSplit/>
          <w:trHeight w:val="20"/>
        </w:trPr>
        <w:tc>
          <w:tcPr>
            <w:tcW w:w="4110" w:type="dxa"/>
            <w:shd w:val="clear" w:color="auto" w:fill="auto"/>
          </w:tcPr>
          <w:p w14:paraId="12995311" w14:textId="77777777" w:rsidR="009F3ED8" w:rsidRPr="00B131B3" w:rsidRDefault="009F3ED8" w:rsidP="00B131B3">
            <w:pPr>
              <w:pStyle w:val="SlimCell"/>
              <w:keepNext/>
            </w:pPr>
          </w:p>
        </w:tc>
      </w:tr>
      <w:tr w:rsidR="009F3ED8" w:rsidRPr="00B131B3" w14:paraId="41777B6D" w14:textId="77777777" w:rsidTr="00B131B3">
        <w:trPr>
          <w:cantSplit/>
        </w:trPr>
        <w:tc>
          <w:tcPr>
            <w:tcW w:w="4110" w:type="dxa"/>
            <w:shd w:val="clear" w:color="auto" w:fill="auto"/>
          </w:tcPr>
          <w:p w14:paraId="6EB56F30" w14:textId="77777777" w:rsidR="009F3ED8" w:rsidRPr="00B131B3" w:rsidRDefault="009F3ED8" w:rsidP="00B131B3">
            <w:pPr>
              <w:pStyle w:val="TableTitle"/>
              <w:rPr>
                <w:b/>
              </w:rPr>
            </w:pPr>
            <w:r w:rsidRPr="00B131B3">
              <w:t>Table II.1.9:</w:t>
            </w:r>
            <w:r w:rsidRPr="00B131B3">
              <w:rPr>
                <w:b/>
              </w:rPr>
              <w:tab/>
              <w:t>Breakdown per period of change in gross public pension expenditure (pps. of GDP)</w:t>
            </w:r>
          </w:p>
        </w:tc>
      </w:tr>
      <w:tr w:rsidR="009F3ED8" w:rsidRPr="00B131B3" w14:paraId="281FE517" w14:textId="77777777" w:rsidTr="00B131B3">
        <w:trPr>
          <w:cantSplit/>
        </w:trPr>
        <w:tc>
          <w:tcPr>
            <w:tcW w:w="4110" w:type="dxa"/>
            <w:shd w:val="clear" w:color="auto" w:fill="auto"/>
          </w:tcPr>
          <w:p w14:paraId="1FC6C929" w14:textId="77777777" w:rsidR="009F3ED8" w:rsidRPr="00B131B3" w:rsidRDefault="009F3ED8" w:rsidP="00B131B3">
            <w:pPr>
              <w:pStyle w:val="TableShape"/>
              <w:rPr>
                <w:sz w:val="2"/>
              </w:rPr>
            </w:pPr>
            <w:r w:rsidRPr="00B131B3">
              <w:fldChar w:fldCharType="begin"/>
            </w:r>
            <w:r w:rsidRPr="009F3ED8">
              <w:instrText xml:space="preserve"> TC "</w:instrText>
            </w:r>
            <w:bookmarkStart w:id="120" w:name="_Toc511664528"/>
            <w:r w:rsidRPr="009F3ED8">
              <w:instrText>II.1.9.</w:instrText>
            </w:r>
            <w:r w:rsidRPr="009F3ED8">
              <w:tab/>
              <w:instrText>Breakdown per period of change in gross public pension expenditure (pps. of GDP)</w:instrText>
            </w:r>
            <w:bookmarkEnd w:id="120"/>
            <w:r w:rsidRPr="009F3ED8">
              <w:instrText xml:space="preserve">" \ftable \l 5 </w:instrText>
            </w:r>
            <w:r w:rsidRPr="00B131B3">
              <w:fldChar w:fldCharType="end"/>
            </w:r>
            <w:r w:rsidRPr="00B131B3">
              <w:rPr>
                <w:noProof/>
                <w:sz w:val="2"/>
                <w:lang w:val="hr-HR" w:eastAsia="hr-HR"/>
              </w:rPr>
              <w:drawing>
                <wp:inline distT="0" distB="0" distL="0" distR="0" wp14:anchorId="2691F750" wp14:editId="48C9844D">
                  <wp:extent cx="2597595" cy="2649849"/>
                  <wp:effectExtent l="0" t="0" r="0" b="0"/>
                  <wp:docPr id="854" name="Picture 854" descr="&lt;nbr&gt;&lt;GETTEXTFROMWORD&gt;&lt;/nbr&gt;&#10;&lt;title&gt;&lt;GETTEXTFROMWORD&gt;&lt;/title&gt;&#10;&lt;id&gt;34736065-089e-4139-a151-f61517d351f9&lt;/id&gt;&#10;&lt;srcType&gt;EXCEL&lt;/srcType&gt;&#10;&lt;srcPath&gt;U:\Budgetary projections 2018\Reports\2018 AR\Tables_and_graphs\Part II Chapter 1\&lt;/srcPath&gt;&#10;&lt;srcName&gt;Tables_graphs_projections.xlsx&lt;/srcName&gt;&#10;&lt;type&gt;table&lt;/type&gt;&#10; &lt;srcSheet&gt;Table 14 and graph 6&lt;/srcSheet&gt;&#10; &lt;srcRange&gt;R2C2:R37C9&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97595" cy="2649849"/>
                          </a:xfrm>
                          <a:prstGeom prst="rect">
                            <a:avLst/>
                          </a:prstGeom>
                          <a:noFill/>
                          <a:ln>
                            <a:noFill/>
                          </a:ln>
                        </pic:spPr>
                      </pic:pic>
                    </a:graphicData>
                  </a:graphic>
                </wp:inline>
              </w:drawing>
            </w:r>
          </w:p>
        </w:tc>
      </w:tr>
      <w:tr w:rsidR="009F3ED8" w:rsidRPr="00B131B3" w14:paraId="407E1A34" w14:textId="77777777" w:rsidTr="00B131B3">
        <w:trPr>
          <w:cantSplit/>
        </w:trPr>
        <w:tc>
          <w:tcPr>
            <w:tcW w:w="4110" w:type="dxa"/>
            <w:shd w:val="clear" w:color="auto" w:fill="auto"/>
          </w:tcPr>
          <w:p w14:paraId="6AA469DC"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227FE944" w14:textId="77777777" w:rsidTr="00B131B3">
        <w:trPr>
          <w:cantSplit/>
          <w:trHeight w:val="20"/>
        </w:trPr>
        <w:tc>
          <w:tcPr>
            <w:tcW w:w="4110" w:type="dxa"/>
            <w:shd w:val="clear" w:color="auto" w:fill="auto"/>
            <w:tcMar>
              <w:bottom w:w="240" w:type="dxa"/>
            </w:tcMar>
          </w:tcPr>
          <w:p w14:paraId="40C00B57" w14:textId="77777777" w:rsidR="009F3ED8" w:rsidRPr="00B131B3" w:rsidRDefault="009F3ED8" w:rsidP="00B131B3">
            <w:pPr>
              <w:pStyle w:val="SlimCell"/>
            </w:pPr>
          </w:p>
        </w:tc>
      </w:tr>
    </w:tbl>
    <w:p w14:paraId="20249552" w14:textId="77777777" w:rsidR="009F3ED8" w:rsidRPr="00B131B3" w:rsidRDefault="009F3ED8" w:rsidP="00B131B3">
      <w:r w:rsidRPr="00B131B3">
        <w:t xml:space="preserve">Table </w:t>
      </w:r>
      <w:r w:rsidRPr="00B131B3">
        <w:fldChar w:fldCharType="begin"/>
      </w:r>
      <w:r w:rsidRPr="00B131B3">
        <w:instrText xml:space="preserve"> QUOTE "II.1.9"</w:instrText>
      </w:r>
      <w:r w:rsidRPr="00B131B3">
        <w:fldChar w:fldCharType="begin">
          <w:fldData xml:space="preserve">QwBSAE8AUwBTAFIARQBGAEUAUgBFAE4AQwBFACoAVABBAEIATABFACoAMwA0ADcAMwA2ADAANgA1
AC0AMAA4ADkAZQAtADQAMQAzADkALQBhADEANQAxAC0AZgA2ADEANQAxADcAZAAzADUAMQBmADkA
</w:fldData>
        </w:fldChar>
      </w:r>
      <w:r w:rsidRPr="00B131B3">
        <w:instrText xml:space="preserve"> ADDIN </w:instrText>
      </w:r>
      <w:r w:rsidRPr="00B131B3">
        <w:fldChar w:fldCharType="end"/>
      </w:r>
      <w:r w:rsidRPr="00B131B3">
        <w:instrText xml:space="preserve"> </w:instrText>
      </w:r>
      <w:r w:rsidRPr="00B131B3">
        <w:fldChar w:fldCharType="separate"/>
      </w:r>
      <w:r w:rsidRPr="00B131B3">
        <w:t>II.1.9</w:t>
      </w:r>
      <w:r w:rsidRPr="00B131B3">
        <w:fldChar w:fldCharType="end"/>
      </w:r>
      <w:r w:rsidRPr="00B131B3">
        <w:t xml:space="preserve"> summarises spending dynamics by sub-period. </w:t>
      </w:r>
    </w:p>
    <w:p w14:paraId="3681266F" w14:textId="77777777" w:rsidR="009F3ED8" w:rsidRPr="00B131B3" w:rsidRDefault="009F3ED8" w:rsidP="009F3ED8">
      <w:pPr>
        <w:pStyle w:val="Grafikeoznake"/>
        <w:numPr>
          <w:ilvl w:val="0"/>
          <w:numId w:val="1"/>
        </w:numPr>
      </w:pPr>
      <w:r w:rsidRPr="00B131B3">
        <w:t>In 2016-2020, the strong decrease in pension expenditure in Greece (-3.9 pps. of GDP) stands out. Also Denmark, Hungary and Romania (</w:t>
      </w:r>
      <w:r w:rsidRPr="00B131B3">
        <w:noBreakHyphen/>
        <w:t>0.7 pps.), Latvia (-0.6 pps.), Bulgaria and Sweden (-0.5 pps.) display a relatively strong decline when considering that only four years are covered. Eleven Member States plus Norway would see pension expenditure increase in 2016-2020, led by Belgium (+0.5 pps.) and Finland (+0.4 pps.).</w:t>
      </w:r>
    </w:p>
    <w:p w14:paraId="13AC3A48" w14:textId="77777777" w:rsidR="009F3ED8" w:rsidRPr="00B131B3" w:rsidRDefault="009F3ED8" w:rsidP="009F3ED8">
      <w:pPr>
        <w:pStyle w:val="Grafikeoznake"/>
        <w:numPr>
          <w:ilvl w:val="0"/>
          <w:numId w:val="1"/>
        </w:numPr>
      </w:pPr>
      <w:r w:rsidRPr="00B131B3">
        <w:t>Over the next decade, pension expenditure is set to increase for sixteen Member States plus Norway. The strongest rise is projected for Italy (+1.6 pps.), Belgium and Luxembourg (+1.2 pps.), Germany and Slovenia (+1.1 pps.), and Finland (+1 pp.). The strong decrease in the case of Greece would continue in 2020-2030 (-1.4 pps.).</w:t>
      </w:r>
    </w:p>
    <w:p w14:paraId="51449A59" w14:textId="77777777" w:rsidR="009F3ED8" w:rsidRPr="00B131B3" w:rsidRDefault="009F3ED8" w:rsidP="009F3ED8">
      <w:pPr>
        <w:pStyle w:val="Grafikeoznake"/>
        <w:numPr>
          <w:ilvl w:val="0"/>
          <w:numId w:val="1"/>
        </w:numPr>
      </w:pPr>
      <w:r w:rsidRPr="00B131B3">
        <w:t xml:space="preserve">In 2030-2040, the upward trend is confirmed with pension expenditure expected to increase in 20 Member States plus Norway. Slovenia is </w:t>
      </w:r>
      <w:r w:rsidRPr="00B131B3">
        <w:lastRenderedPageBreak/>
        <w:fldChar w:fldCharType="begin"/>
      </w:r>
      <w:r w:rsidRPr="009F3ED8">
        <w:instrText xml:space="preserve"> TC "</w:instrText>
      </w:r>
      <w:bookmarkStart w:id="121" w:name="_Toc511664659"/>
      <w:r w:rsidRPr="009F3ED8">
        <w:instrText>II.1.9.</w:instrText>
      </w:r>
      <w:r w:rsidRPr="009F3ED8">
        <w:tab/>
        <w:instrText>Years and increase to peak expenditure</w:instrText>
      </w:r>
      <w:bookmarkEnd w:id="121"/>
      <w:r w:rsidRPr="009F3ED8">
        <w:instrText xml:space="preserve">" \fgraph \l 5 </w:instrText>
      </w:r>
      <w:r w:rsidRPr="00B131B3">
        <w:fldChar w:fldCharType="end"/>
      </w:r>
      <w:r w:rsidRPr="00B131B3">
        <w:t>projected to see an increase by 2.1 pps. of GDP during the decade, followed by Spain, Italy and Luxembourg (+1.4 pps.), Romania (+1.1 pps.) and the Czech Republic, Hungary and the Netherlands (+1 pp.).</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9F3ED8" w:rsidRPr="00B131B3" w14:paraId="2FE7136F" w14:textId="77777777" w:rsidTr="00B131B3">
        <w:trPr>
          <w:cantSplit/>
        </w:trPr>
        <w:tc>
          <w:tcPr>
            <w:tcW w:w="8505" w:type="dxa"/>
            <w:shd w:val="clear" w:color="auto" w:fill="auto"/>
          </w:tcPr>
          <w:p w14:paraId="4FE21907" w14:textId="77777777" w:rsidR="009F3ED8" w:rsidRPr="00B131B3" w:rsidRDefault="009F3ED8" w:rsidP="00B131B3">
            <w:pPr>
              <w:pStyle w:val="GraphTitle"/>
              <w:rPr>
                <w:b/>
              </w:rPr>
            </w:pPr>
            <w:r w:rsidRPr="00B131B3">
              <w:t>Graph II.1.9:</w:t>
            </w:r>
            <w:r w:rsidRPr="00B131B3">
              <w:rPr>
                <w:b/>
              </w:rPr>
              <w:tab/>
              <w:t>Years and increase to peak expenditure</w:t>
            </w:r>
          </w:p>
        </w:tc>
      </w:tr>
      <w:tr w:rsidR="009F3ED8" w:rsidRPr="00B131B3" w14:paraId="38300DB9" w14:textId="77777777" w:rsidTr="00B131B3">
        <w:trPr>
          <w:cantSplit/>
        </w:trPr>
        <w:tc>
          <w:tcPr>
            <w:tcW w:w="8505" w:type="dxa"/>
            <w:shd w:val="clear" w:color="auto" w:fill="auto"/>
          </w:tcPr>
          <w:p w14:paraId="4EE166C2" w14:textId="77777777" w:rsidR="009F3ED8" w:rsidRPr="00B131B3" w:rsidRDefault="009F3ED8" w:rsidP="00B131B3">
            <w:pPr>
              <w:pStyle w:val="GraphShape"/>
              <w:rPr>
                <w:sz w:val="2"/>
              </w:rPr>
            </w:pPr>
            <w:r w:rsidRPr="00B131B3">
              <w:rPr>
                <w:noProof/>
                <w:sz w:val="2"/>
                <w:lang w:val="hr-HR" w:eastAsia="hr-HR"/>
              </w:rPr>
              <w:drawing>
                <wp:inline distT="0" distB="0" distL="0" distR="0" wp14:anchorId="75E5640F" wp14:editId="7C3C9320">
                  <wp:extent cx="5400929" cy="2093162"/>
                  <wp:effectExtent l="0" t="0" r="0" b="2540"/>
                  <wp:docPr id="855" name="Picture 855" descr="&lt;nbr&gt;&lt;GETTEXTFROMWORD&gt;&lt;/nbr&gt;&#10;&lt;title&gt;&lt;GETTEXTFROMWORD&gt;&lt;/title&gt;&#10;&lt;id&gt;983a35f6-6be9-4eff-9d1a-4c851aeddbc6&lt;/id&gt;&#10;&lt;srcType&gt;EXCEL&lt;/srcType&gt;&#10;&lt;srcPath&gt;\\net1.cec.eu.int\ECFIN\C\2\Budgetary projections 2018\Reports\2018 AR\Tables_and_graphs\Part II Chapter 1\&lt;/srcPath&gt;&#10;&lt;srcName&gt;Tables_graphs_projections.xlsx&lt;/srcName&gt;&#10;&lt;type&gt;graph&lt;/type&gt;&#10; &lt;srcSheet&gt;peak-trough&lt;/srcSheet&gt;&#10; &lt;srcChartTitle&gt;Chart 4&lt;/srcChartTitl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00929" cy="2093162"/>
                          </a:xfrm>
                          <a:prstGeom prst="rect">
                            <a:avLst/>
                          </a:prstGeom>
                          <a:noFill/>
                          <a:ln>
                            <a:noFill/>
                          </a:ln>
                        </pic:spPr>
                      </pic:pic>
                    </a:graphicData>
                  </a:graphic>
                </wp:inline>
              </w:drawing>
            </w:r>
          </w:p>
        </w:tc>
      </w:tr>
      <w:tr w:rsidR="009F3ED8" w:rsidRPr="00B131B3" w14:paraId="5DA48BB2" w14:textId="77777777" w:rsidTr="00B131B3">
        <w:trPr>
          <w:cantSplit/>
        </w:trPr>
        <w:tc>
          <w:tcPr>
            <w:tcW w:w="8505" w:type="dxa"/>
            <w:shd w:val="clear" w:color="auto" w:fill="auto"/>
          </w:tcPr>
          <w:p w14:paraId="268B459B" w14:textId="77777777" w:rsidR="009F3ED8" w:rsidRDefault="009F3ED8" w:rsidP="00B131B3">
            <w:pPr>
              <w:pStyle w:val="GraphFootnote"/>
              <w:keepNext/>
            </w:pPr>
            <w:r>
              <w:t>(1) The graph shows on the horizontal axis the number of years between the trough (situated between 2016 and the peak) and the year expenditure peaks. The increase in pension expenditure over this trough-to-peak period is depicted on the vertical axis. For example, in the case of Hungary pension expenditure falls between 2016 and 2031. Following this trough, spending rises and reaches a peak in 2063, i.e. 32 years later, when the pension-expenditure-to GDP ratio is expected to rise by 2.9 pps. of GDP as compared to 2031.</w:t>
            </w:r>
            <w:r>
              <w:br/>
              <w:t>(2) Graph excludes LU to enhance readability. In LU, pension expenditure increases by 8.9 pps. of GDP in 2070, i.e. 50 years after its trough in 2020.</w:t>
            </w:r>
          </w:p>
          <w:p w14:paraId="47FA0527" w14:textId="77777777" w:rsidR="009F3ED8" w:rsidRPr="00B131B3" w:rsidRDefault="009F3ED8" w:rsidP="00B131B3">
            <w:pPr>
              <w:pStyle w:val="GraphSource"/>
              <w:keepNext/>
            </w:pPr>
            <w:r w:rsidRPr="00B131B3">
              <w:rPr>
                <w:b/>
                <w:i/>
              </w:rPr>
              <w:t>Source:</w:t>
            </w:r>
            <w:r w:rsidRPr="00B131B3">
              <w:t xml:space="preserve"> Commission services, EPC.</w:t>
            </w:r>
          </w:p>
        </w:tc>
      </w:tr>
    </w:tbl>
    <w:p w14:paraId="0C902666" w14:textId="77777777" w:rsidR="009F3ED8" w:rsidRPr="00B131B3" w:rsidRDefault="009F3ED8" w:rsidP="009F3ED8">
      <w:pPr>
        <w:pStyle w:val="Grafikeoznake"/>
        <w:numPr>
          <w:ilvl w:val="0"/>
          <w:numId w:val="1"/>
        </w:numPr>
      </w:pPr>
      <w:r w:rsidRPr="00B131B3">
        <w:t xml:space="preserve">In 2040-2050, a trend reversal appears to take place as rising expenditure is limited to 12 Member States plus Norway. However, the expenditure increase for these countries is generally high: +1.7 pps. of GDP for the Czech Republic, +1.4 pps. for Luxembourg and Slovenia, +1.3 pps. for Malta, +1.2 pps. for Bulgaria and Hungary, and +1 pp. for Romania and Slovakia. </w:t>
      </w:r>
    </w:p>
    <w:p w14:paraId="111DDEC4" w14:textId="77777777" w:rsidR="009F3ED8" w:rsidRPr="00B131B3" w:rsidRDefault="009F3ED8" w:rsidP="009F3ED8">
      <w:pPr>
        <w:pStyle w:val="Grafikeoznake"/>
        <w:numPr>
          <w:ilvl w:val="0"/>
          <w:numId w:val="1"/>
        </w:numPr>
      </w:pPr>
      <w:r w:rsidRPr="00B131B3">
        <w:t>In 2050-2060 only Luxembourg (+3 pps.), Malta (+1.8 pps.) and Slovakia (+1.1 pps.) would show a pension expenditure increase of at least 1 pp. of GDP. Countries with a strongly declining expenditure ratio include Spain (</w:t>
      </w:r>
      <w:r w:rsidRPr="00B131B3">
        <w:noBreakHyphen/>
        <w:t>2.5 pps.), Italy (-2.2 pps.) and Portugal (</w:t>
      </w:r>
      <w:r w:rsidRPr="00B131B3">
        <w:noBreakHyphen/>
        <w:t>1.7 pps.), countries which are expected to record relatively strong increases earlier on.</w:t>
      </w:r>
    </w:p>
    <w:p w14:paraId="41F7B229" w14:textId="77777777" w:rsidR="009F3ED8" w:rsidRPr="00B131B3" w:rsidRDefault="009F3ED8" w:rsidP="009F3ED8">
      <w:pPr>
        <w:pStyle w:val="Grafikeoznake"/>
        <w:numPr>
          <w:ilvl w:val="0"/>
          <w:numId w:val="1"/>
        </w:numPr>
      </w:pPr>
      <w:r w:rsidRPr="00B131B3">
        <w:t xml:space="preserve">Finally, in 2060-2070, pension spending is expected to decrease or to increase just slightly. This links in with the projected developments in dependency ratios after 2060 (see Part I, Chapter 1). The only notable exception to that rule would be Luxembourg, with an additional expenditure increase of 2 pps. of GDP in the last decade covered by the projections. Seven other Member States plus Norway are expected to show a rise of at most 0.5 pps. of GDP in their expenditure ratio. </w:t>
      </w:r>
    </w:p>
    <w:p w14:paraId="567AA822" w14:textId="77777777" w:rsidR="009F3ED8" w:rsidRPr="00B131B3" w:rsidRDefault="009F3ED8" w:rsidP="00B131B3">
      <w:r w:rsidRPr="00B131B3">
        <w:t>When considering the entire projection horizon, five broad time profiles can be distilled:</w:t>
      </w:r>
    </w:p>
    <w:p w14:paraId="3A910701" w14:textId="77777777" w:rsidR="009F3ED8" w:rsidRPr="00B131B3" w:rsidRDefault="009F3ED8" w:rsidP="009F3ED8">
      <w:pPr>
        <w:pStyle w:val="Grafikeoznake"/>
        <w:numPr>
          <w:ilvl w:val="0"/>
          <w:numId w:val="1"/>
        </w:numPr>
      </w:pPr>
      <w:r w:rsidRPr="00B131B3">
        <w:rPr>
          <w:i/>
        </w:rPr>
        <w:t>STABLE</w:t>
      </w:r>
      <w:r w:rsidRPr="00B131B3">
        <w:t xml:space="preserve">: for seven countries pension expenditure is projected to be broadly stable throughout 2016-2070, with a difference of less than 2 pps. of GDP between the maximum and minimum values projected over this period: Estonia, the Netherlands, Austria, Poland, Finland, Sweden and the United Kingdom. For this group of countries, peak years vary notably; from 2016 for Sweden to 2070 for the United Kingdom. The relative stability of the public pension expenditure ratio for this set of countries is confirmed by their standard deviation, which is lower than for the other countries. Graph </w:t>
      </w:r>
      <w:r w:rsidRPr="00B131B3">
        <w:fldChar w:fldCharType="begin"/>
      </w:r>
      <w:r w:rsidRPr="00B131B3">
        <w:instrText xml:space="preserve"> QUOTE "II.1.10"</w:instrText>
      </w:r>
      <w:r w:rsidRPr="00B131B3">
        <w:fldChar w:fldCharType="begin">
          <w:fldData xml:space="preserve">QwBSAE8AUwBTAFIARQBGAEUAUgBFAE4AQwBFACoAQwBMAFUAUwBUAEUAUgAgAE8ARgAgAEcAUgBB
AFAASABTACoANwA5ADEAZAAyAGYAMABkAC0AMAA0AGMANgAtADQAOQA4AGEALQBhAGMAYwBjAC0A
OABlADkAYQBkADAAOQA3ADMAYgA2ADQA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II.1.10</w:t>
      </w:r>
      <w:r w:rsidRPr="00B131B3">
        <w:fldChar w:fldCharType="end"/>
      </w:r>
      <w:r w:rsidRPr="00B131B3">
        <w:t xml:space="preserve"> illustrates the time profile for these countries on the basis of the Netherlands: pension spending decreases slightly from 7.3% of GDP in 2016 to a minimum of 6.9% of GDP in 2021. It then rises to 8.5% of GDP in 2040, after which it </w:t>
      </w:r>
      <w:r w:rsidRPr="00B131B3">
        <w:lastRenderedPageBreak/>
        <w:t xml:space="preserve">contracts again, to 7.9% of GDP at the end of the projection horizon. </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9F3ED8" w:rsidRPr="00B131B3" w14:paraId="22F6E5A7" w14:textId="77777777" w:rsidTr="00B131B3">
        <w:trPr>
          <w:cantSplit/>
        </w:trPr>
        <w:tc>
          <w:tcPr>
            <w:tcW w:w="8505" w:type="dxa"/>
            <w:shd w:val="clear" w:color="auto" w:fill="auto"/>
          </w:tcPr>
          <w:p w14:paraId="68C6855B" w14:textId="77777777" w:rsidR="009F3ED8" w:rsidRPr="00B131B3" w:rsidRDefault="009F3ED8" w:rsidP="00B131B3">
            <w:pPr>
              <w:pStyle w:val="GraphTitle"/>
              <w:rPr>
                <w:b/>
              </w:rPr>
            </w:pPr>
            <w:r w:rsidRPr="00B131B3">
              <w:fldChar w:fldCharType="begin"/>
            </w:r>
            <w:r w:rsidRPr="009F3ED8">
              <w:instrText xml:space="preserve"> TC "</w:instrText>
            </w:r>
            <w:bookmarkStart w:id="122" w:name="_Toc511664660"/>
            <w:r w:rsidRPr="009F3ED8">
              <w:instrText>II.1.10.</w:instrText>
            </w:r>
            <w:r w:rsidRPr="009F3ED8">
              <w:tab/>
              <w:instrText>Gross public pension expenditure: time profile 2016-2070 for selected countries (%GDP)</w:instrText>
            </w:r>
            <w:bookmarkEnd w:id="122"/>
            <w:r w:rsidRPr="009F3ED8">
              <w:instrText xml:space="preserve">" \fgraph \l 5 </w:instrText>
            </w:r>
            <w:r w:rsidRPr="00B131B3">
              <w:fldChar w:fldCharType="end"/>
            </w:r>
            <w:r w:rsidRPr="00B131B3">
              <w:t>Graph II.1.10:</w:t>
            </w:r>
            <w:r w:rsidRPr="00B131B3">
              <w:rPr>
                <w:b/>
              </w:rPr>
              <w:tab/>
              <w:t>Gross public pension expenditure: time profile 2016-2070 for selected countries (%GDP)</w:t>
            </w:r>
          </w:p>
        </w:tc>
      </w:tr>
      <w:tr w:rsidR="009F3ED8" w:rsidRPr="00B131B3" w14:paraId="296A23CD" w14:textId="77777777" w:rsidTr="00B131B3">
        <w:trPr>
          <w:cantSplit/>
        </w:trPr>
        <w:tc>
          <w:tcPr>
            <w:tcW w:w="8505" w:type="dxa"/>
            <w:shd w:val="clear" w:color="auto" w:fill="auto"/>
          </w:tcPr>
          <w:p w14:paraId="74D4F93A" w14:textId="77777777" w:rsidR="009F3ED8" w:rsidRPr="00B131B3" w:rsidRDefault="009F3ED8" w:rsidP="00B131B3">
            <w:pPr>
              <w:pStyle w:val="GraphShape"/>
              <w:rPr>
                <w:sz w:val="2"/>
              </w:rPr>
            </w:pPr>
            <w:r w:rsidRPr="00B131B3">
              <w:rPr>
                <w:noProof/>
                <w:sz w:val="2"/>
                <w:lang w:val="hr-HR" w:eastAsia="hr-HR"/>
              </w:rPr>
              <w:drawing>
                <wp:inline distT="0" distB="0" distL="0" distR="0" wp14:anchorId="3AE5203F" wp14:editId="0312E0D7">
                  <wp:extent cx="5400929" cy="3611962"/>
                  <wp:effectExtent l="0" t="0" r="9525" b="7620"/>
                  <wp:docPr id="22" name="Picture 22" descr="&lt;nbr&gt;&lt;GETTEXTFROMWORD&gt;&lt;/nbr&gt;&#10;&lt;title&gt;&lt;GETTEXTFROMWORD&gt;&lt;/title&gt;&#10;&lt;id&gt;791d2f0d-04c6-498a-accc-8e9ad0973b64&lt;/id&gt;&#10;&lt;srcType&gt;EXCEL&lt;/srcType&gt;&#10;&lt;srcPath&gt;\\net1.cec.eu.int\ECFIN\C\2\Budgetary projections 2018\Reports\2018 AR\Tables_and_graphs\Part II Chapter 1\&lt;/srcPath&gt;&#10;&lt;srcName&gt;Tables_graphs_projections.xlsx&lt;/srcName&gt;&#10;&lt;type&gt;clusterofgraphs&lt;/type&gt;&#10; &lt;srcSheet&gt;cluster time profile (2)&lt;/srcSheet&gt;&#10; &lt;individualNumbers&gt;no&lt;/individualNumbers&gt;&#10;&lt;pos&gt;top&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400929" cy="3611962"/>
                          </a:xfrm>
                          <a:prstGeom prst="rect">
                            <a:avLst/>
                          </a:prstGeom>
                          <a:noFill/>
                          <a:ln>
                            <a:noFill/>
                          </a:ln>
                        </pic:spPr>
                      </pic:pic>
                    </a:graphicData>
                  </a:graphic>
                </wp:inline>
              </w:drawing>
            </w:r>
          </w:p>
        </w:tc>
      </w:tr>
      <w:tr w:rsidR="009F3ED8" w:rsidRPr="00B131B3" w14:paraId="6D9A612F" w14:textId="77777777" w:rsidTr="00B131B3">
        <w:trPr>
          <w:cantSplit/>
        </w:trPr>
        <w:tc>
          <w:tcPr>
            <w:tcW w:w="8505" w:type="dxa"/>
            <w:shd w:val="clear" w:color="auto" w:fill="auto"/>
          </w:tcPr>
          <w:p w14:paraId="67EC4184" w14:textId="77777777" w:rsidR="009F3ED8" w:rsidRPr="00B131B3" w:rsidRDefault="009F3ED8" w:rsidP="00B131B3">
            <w:pPr>
              <w:pStyle w:val="GraphSource"/>
              <w:keepNext/>
            </w:pPr>
            <w:r w:rsidRPr="00B131B3">
              <w:rPr>
                <w:b/>
                <w:i/>
              </w:rPr>
              <w:t>Source:</w:t>
            </w:r>
            <w:r w:rsidRPr="00B131B3">
              <w:t xml:space="preserve"> Commission services, EPC.</w:t>
            </w:r>
          </w:p>
        </w:tc>
      </w:tr>
    </w:tbl>
    <w:p w14:paraId="568F280E" w14:textId="77777777" w:rsidR="009F3ED8" w:rsidRPr="00B131B3" w:rsidRDefault="009F3ED8" w:rsidP="009F3ED8">
      <w:pPr>
        <w:pStyle w:val="Grafikeoznake"/>
        <w:numPr>
          <w:ilvl w:val="0"/>
          <w:numId w:val="1"/>
        </w:numPr>
      </w:pPr>
      <w:r w:rsidRPr="00B131B3">
        <w:rPr>
          <w:i/>
        </w:rPr>
        <w:t>UP:</w:t>
      </w:r>
      <w:r w:rsidRPr="00B131B3">
        <w:t xml:space="preserve"> Five countries display an upward sloping profile for the entire period covered by the projections – limited, occasional but temporary declines notwithstanding: Belgium, Germany, Cyprus, Luxembourg and Norway. Peak values are situated around 2070, though in the case of Germany there is a broad stabilisation as of 2054, with projections peaking in 2061. Graph </w:t>
      </w:r>
      <w:r w:rsidRPr="00B131B3">
        <w:fldChar w:fldCharType="begin"/>
      </w:r>
      <w:r w:rsidRPr="00B131B3">
        <w:instrText xml:space="preserve"> QUOTE "II.1.10"</w:instrText>
      </w:r>
      <w:r w:rsidRPr="00B131B3">
        <w:fldChar w:fldCharType="begin">
          <w:fldData xml:space="preserve">QwBSAE8AUwBTAFIARQBGAEUAUgBFAE4AQwBFACoAQwBMAFUAUwBUAEUAUgAgAE8ARgAgAEcAUgBB
AFAASABTACoANwA5ADEAZAAyAGYAMABkAC0AMAA0AGMANgAtADQAOQA4AGEALQBhAGMAYwBjAC0A
OABlADkAYQBkADAAOQA3ADMAYgA2ADQA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II.1.10</w:t>
      </w:r>
      <w:r w:rsidRPr="00B131B3">
        <w:fldChar w:fldCharType="end"/>
      </w:r>
      <w:r w:rsidRPr="00B131B3">
        <w:t xml:space="preserve"> shows the time profile for Belgium: pension expenditure rises continuously, from 12.1% of GDP in 2016 to 15.1% in 2069, the penultimate year of the projection horizon. </w:t>
      </w:r>
    </w:p>
    <w:p w14:paraId="4D009526" w14:textId="77777777" w:rsidR="009F3ED8" w:rsidRPr="00B131B3" w:rsidRDefault="009F3ED8" w:rsidP="009F3ED8">
      <w:pPr>
        <w:pStyle w:val="Grafikeoznake"/>
        <w:numPr>
          <w:ilvl w:val="0"/>
          <w:numId w:val="1"/>
        </w:numPr>
      </w:pPr>
      <w:r w:rsidRPr="00B131B3">
        <w:rPr>
          <w:i/>
        </w:rPr>
        <w:t>UP/DOWN</w:t>
      </w:r>
      <w:r w:rsidRPr="00B131B3">
        <w:t xml:space="preserve">: for six countries there is an initial upward trend in pension expenditure, followed by a reversal: the Czech Republic, Ireland, Spain, Italy, Portugal and Slovenia. The infliction point is generally situated in the middle or in the second half of the projection horizon. In the cases of Spain, Italy and Portugal the decline in the second phase exceeds the initial increase with the pension expenditure-to-GDP ratio in 2070 ending below the 2016 baseline ratio. For the Czech Republic, Ireland and Slovenia, however, the trend reversal upon peaking in the 2050s fails to undo the initial increase. Graph </w:t>
      </w:r>
      <w:r w:rsidRPr="00B131B3">
        <w:fldChar w:fldCharType="begin"/>
      </w:r>
      <w:r w:rsidRPr="00B131B3">
        <w:instrText xml:space="preserve"> QUOTE "II.1.10"</w:instrText>
      </w:r>
      <w:r w:rsidRPr="00B131B3">
        <w:fldChar w:fldCharType="begin">
          <w:fldData xml:space="preserve">QwBSAE8AUwBTAFIARQBGAEUAUgBFAE4AQwBFACoAQwBMAFUAUwBUAEUAUgAgAE8ARgAgAEcAUgBB
AFAASABTACoANwA5ADEAZAAyAGYAMABkAC0AMAA0AGMANgAtADQAOQA4AGEALQBhAGMAYwBjAC0A
OABlADkAYQBkADAAOQA3ADMAYgA2ADQA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II.1.10</w:t>
      </w:r>
      <w:r w:rsidRPr="00B131B3">
        <w:fldChar w:fldCharType="end"/>
      </w:r>
      <w:r w:rsidRPr="00B131B3">
        <w:t xml:space="preserve"> illustrates both types on the basis of Italy and Slovenia. Both rise at first, though with a later peak in the case of Slovenia. From its peak, Italian pension expenditure falls by 4.8 pps. of GDP. In contrast, Slovenian pension expenditure falls by 0.8 pps. of GDP after attaining its peak.</w:t>
      </w:r>
    </w:p>
    <w:p w14:paraId="2A66BA82" w14:textId="77777777" w:rsidR="009F3ED8" w:rsidRPr="00B131B3" w:rsidRDefault="009F3ED8" w:rsidP="009F3ED8">
      <w:pPr>
        <w:pStyle w:val="Grafikeoznake"/>
        <w:numPr>
          <w:ilvl w:val="0"/>
          <w:numId w:val="1"/>
        </w:numPr>
      </w:pPr>
      <w:r w:rsidRPr="00B131B3">
        <w:rPr>
          <w:i/>
        </w:rPr>
        <w:t>DOWN/UP:</w:t>
      </w:r>
      <w:r w:rsidRPr="00B131B3">
        <w:t xml:space="preserve"> Five countries show a downward trend which is subsequently followed by an upward trend and an eventual stabilisation at a level above the 2016 starting point: Bulgaria, Hungary, Malta, Romania and Slovakia. These countries reach a minimum between 2024 and 2034, while peak expenditure is situated between 2055 and 2067, implying a back loading of higher pension costs. The increase from trough to peak amounts to 2.4-2.9 pps. of GDP, with an outlier of 3.9 pps. of GDP in the case of Malta. The typical time profile for these </w:t>
      </w:r>
      <w:r w:rsidRPr="00B131B3">
        <w:lastRenderedPageBreak/>
        <w:t xml:space="preserve">countries is illustrated by means of Bulgaria (see Graph </w:t>
      </w:r>
      <w:r w:rsidRPr="00B131B3">
        <w:fldChar w:fldCharType="begin"/>
      </w:r>
      <w:r w:rsidRPr="00B131B3">
        <w:instrText xml:space="preserve"> QUOTE "II.1.10"</w:instrText>
      </w:r>
      <w:r w:rsidRPr="00B131B3">
        <w:fldChar w:fldCharType="begin">
          <w:fldData xml:space="preserve">QwBSAE8AUwBTAFIARQBGAEUAUgBFAE4AQwBFACoAQwBMAFUAUwBUAEUAUgAgAE8ARgAgAEcAUgBB
AFAASABTACoANwA5ADEAZAAyAGYAMABkAC0AMAA0AGMANgAtADQAOQA4AGEALQBhAGMAYwBjAC0A
OABlADkAYQBkADAAOQA3ADMAYgA2ADQA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II.1.10</w:t>
      </w:r>
      <w:r w:rsidRPr="00B131B3">
        <w:fldChar w:fldCharType="end"/>
      </w:r>
      <w:r w:rsidRPr="00B131B3">
        <w:t>): expenditure falls before increasing, peaking and declining again.</w:t>
      </w:r>
    </w:p>
    <w:p w14:paraId="420DCFB0" w14:textId="77777777" w:rsidR="009F3ED8" w:rsidRPr="00B131B3" w:rsidRDefault="009F3ED8" w:rsidP="009F3ED8">
      <w:pPr>
        <w:pStyle w:val="Grafikeoznake"/>
        <w:numPr>
          <w:ilvl w:val="0"/>
          <w:numId w:val="1"/>
        </w:numPr>
      </w:pPr>
      <w:r w:rsidRPr="00B131B3">
        <w:rPr>
          <w:i/>
        </w:rPr>
        <w:t>DOWN:</w:t>
      </w:r>
      <w:r w:rsidRPr="00B131B3">
        <w:t xml:space="preserve"> six countries do not show any major increase throughout the projection horizon, following mostly a downward trajectory: Denmark, Greece, France, Croatia, Latvia and Lithuania. For these countries peak expenditure is situated at the very start of the projections. In the case of Denmark expenditure increases again somewhat after 2060 but stays nevertheless far below the 2016 level. For France and Lithuania the first half of the projections show an essentially flat expenditure ratio, followed be a steady decline in the second half. For Greece and, to a lesser extent, Latvia, the opposite holds: a sharp decline in the first decade of the projections and a broad stabilisation thereafter. Graph </w:t>
      </w:r>
      <w:r w:rsidRPr="00B131B3">
        <w:fldChar w:fldCharType="begin"/>
      </w:r>
      <w:r w:rsidRPr="00B131B3">
        <w:instrText xml:space="preserve"> QUOTE "II.1.10"</w:instrText>
      </w:r>
      <w:r w:rsidRPr="00B131B3">
        <w:fldChar w:fldCharType="begin">
          <w:fldData xml:space="preserve">QwBSAE8AUwBTAFIARQBGAEUAUgBFAE4AQwBFACoAQwBMAFUAUwBUAEUAUgAgAE8ARgAgAEcAUgBB
AFAASABTACoANwA5ADEAZAAyAGYAMABkAC0AMAA0AGMANgAtADQAOQA4AGEALQBhAGMAYwBjAC0A
OABlADkAYQBkADAAOQA3ADMAYgA2ADQA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II.1.10</w:t>
      </w:r>
      <w:r w:rsidRPr="00B131B3">
        <w:fldChar w:fldCharType="end"/>
      </w:r>
      <w:r w:rsidRPr="00B131B3">
        <w:t xml:space="preserve"> shows the time profile for France: from a peak value of 15.5% of GDP in 2032, slightly up compared to 2016, pension expenditure decreases and reaches its minimum only in 2070, at 11.8% of GDP.</w:t>
      </w:r>
    </w:p>
    <w:p w14:paraId="26E57133" w14:textId="77777777" w:rsidR="009F3ED8" w:rsidRPr="00B131B3" w:rsidRDefault="009F3ED8" w:rsidP="00B131B3">
      <w:pPr>
        <w:pStyle w:val="Heading"/>
      </w:pPr>
      <w:r w:rsidRPr="00B131B3">
        <w:t>Developments by age groups</w:t>
      </w:r>
    </w:p>
    <w:p w14:paraId="4B347856" w14:textId="77777777" w:rsidR="009F3ED8" w:rsidRPr="00B131B3" w:rsidRDefault="009F3ED8" w:rsidP="00B131B3">
      <w:r w:rsidRPr="00B131B3">
        <w:t xml:space="preserve">The share of all age groups of public pensioners below the age of 75 years old is projected to decrease between 2016 and 2070 (see Graph </w:t>
      </w:r>
      <w:r w:rsidRPr="00B131B3">
        <w:fldChar w:fldCharType="begin"/>
      </w:r>
      <w:r w:rsidRPr="00B131B3">
        <w:instrText xml:space="preserve"> QUOTE "II.1.11"</w:instrText>
      </w:r>
      <w:r w:rsidRPr="00B131B3">
        <w:fldChar w:fldCharType="begin">
          <w:fldData xml:space="preserve">QwBSAE8AUwBTAFIARQBGAEUAUgBFAE4AQwBFACoARwBSAEEAUABIACoAOQA2AGMAYQBkAGMAYgBh
AC0AMQBlADAAMgAtADQAOQA5ADYALQA4AGIANwA4AC0AMAAxAGMAMQBmAGQAZgAzAGQAMQA5AGEA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II.1.11</w:t>
      </w:r>
      <w:r w:rsidRPr="00B131B3">
        <w:fldChar w:fldCharType="end"/>
      </w:r>
      <w:r w:rsidRPr="00B131B3">
        <w:t xml:space="preserve">). The shares of pensioners younger than 54 and those in the age group 55-59 would fall by 2-3 pps. Most of this decline is situated in the period up to 2040. For the age group 60-64 the decline of the share extends into the second half of the projections, with a total expected decrease of 6.7 pps. The age group 65-69 accounts for the largest share loss, 8.6 pps. The share of pensioners aged 70-74 in total pensioners rises until 2035 but is then fully reversed. </w:t>
      </w:r>
    </w:p>
    <w:p w14:paraId="36F947AC" w14:textId="77777777" w:rsidR="009F3ED8" w:rsidRPr="00B131B3" w:rsidRDefault="009F3ED8" w:rsidP="00B131B3">
      <w:r w:rsidRPr="00B131B3">
        <w:t xml:space="preserve">The lower shares of pensioners younger than 75 are, evidently, fully absorbed by the rising share of pensioners beyond the age of 75. This group would expand its share from around four out of ten of all pensioners in 2016 to around six out of ten in 2070. Aside from demographic factors, these relative changes reflect how reforms introduced in many countries, including those to lift statutory and early retirement ages, lengthen the contribution period required for acquiring full </w:t>
      </w:r>
      <w:r w:rsidRPr="00B131B3">
        <w:lastRenderedPageBreak/>
        <w:t>pension benefits and restrictions on early and disability schemes.</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5BD7D0EF" w14:textId="77777777" w:rsidTr="00B131B3">
        <w:trPr>
          <w:cantSplit/>
        </w:trPr>
        <w:tc>
          <w:tcPr>
            <w:tcW w:w="4110" w:type="dxa"/>
            <w:shd w:val="clear" w:color="auto" w:fill="auto"/>
          </w:tcPr>
          <w:p w14:paraId="143F4F74" w14:textId="77777777" w:rsidR="009F3ED8" w:rsidRPr="00B131B3" w:rsidRDefault="009F3ED8" w:rsidP="00B131B3">
            <w:pPr>
              <w:pStyle w:val="GraphTitle"/>
              <w:rPr>
                <w:b/>
              </w:rPr>
            </w:pPr>
            <w:r w:rsidRPr="00B131B3">
              <w:t>Graph II.1.11:</w:t>
            </w:r>
            <w:r w:rsidRPr="00B131B3">
              <w:rPr>
                <w:b/>
              </w:rPr>
              <w:tab/>
              <w:t>Share of public pensioners per age group: EU (% of total public pensioners)</w:t>
            </w:r>
          </w:p>
        </w:tc>
      </w:tr>
      <w:tr w:rsidR="009F3ED8" w:rsidRPr="00B131B3" w14:paraId="55C7A0CB" w14:textId="77777777" w:rsidTr="00B131B3">
        <w:trPr>
          <w:cantSplit/>
        </w:trPr>
        <w:tc>
          <w:tcPr>
            <w:tcW w:w="4110" w:type="dxa"/>
            <w:shd w:val="clear" w:color="auto" w:fill="auto"/>
          </w:tcPr>
          <w:p w14:paraId="017738B8" w14:textId="77777777" w:rsidR="009F3ED8" w:rsidRPr="00B131B3" w:rsidRDefault="009F3ED8" w:rsidP="00B131B3">
            <w:pPr>
              <w:pStyle w:val="GraphShape"/>
              <w:rPr>
                <w:sz w:val="2"/>
              </w:rPr>
            </w:pPr>
            <w:r w:rsidRPr="00B131B3">
              <w:fldChar w:fldCharType="begin"/>
            </w:r>
            <w:r w:rsidRPr="009F3ED8">
              <w:instrText xml:space="preserve"> TC "</w:instrText>
            </w:r>
            <w:bookmarkStart w:id="123" w:name="_Toc511664661"/>
            <w:r w:rsidRPr="009F3ED8">
              <w:instrText>II.1.11.</w:instrText>
            </w:r>
            <w:r w:rsidRPr="009F3ED8">
              <w:tab/>
              <w:instrText>Share of public pensioners per age group: EU (% of total public pensioners)</w:instrText>
            </w:r>
            <w:bookmarkEnd w:id="123"/>
            <w:r w:rsidRPr="009F3ED8">
              <w:instrText xml:space="preserve">" \fgraph \l 5 </w:instrText>
            </w:r>
            <w:r w:rsidRPr="00B131B3">
              <w:fldChar w:fldCharType="end"/>
            </w:r>
            <w:r w:rsidRPr="00B131B3">
              <w:rPr>
                <w:noProof/>
                <w:sz w:val="2"/>
                <w:lang w:val="hr-HR" w:eastAsia="hr-HR"/>
              </w:rPr>
              <w:drawing>
                <wp:inline distT="0" distB="0" distL="0" distR="0" wp14:anchorId="06484451" wp14:editId="1D71915A">
                  <wp:extent cx="2597595" cy="2370179"/>
                  <wp:effectExtent l="0" t="0" r="0" b="0"/>
                  <wp:docPr id="21" name="Picture 21" descr="&lt;nbr&gt;&lt;GETTEXTFROMWORD&gt;&lt;/nbr&gt;&#10;&lt;title&gt;&lt;GETTEXTFROMWORD&gt;&lt;/title&gt;&#10;&lt;id&gt;96cadcba-1e02-4996-8b78-01c1fdf3d19a&lt;/id&gt;&#10;&lt;srcType&gt;EXCEL&lt;/srcType&gt;&#10;&lt;srcPath&gt;\\net1.cec.eu.int\ECFIN\C\2\Budgetary projections 2018\Reports\2018 AR\Tables_and_graphs\Part II Chapter 1\&lt;/srcPath&gt;&#10;&lt;srcName&gt;Tables_graphs_projections.xlsx&lt;/srcName&gt;&#10;&lt;type&gt;graph&lt;/type&gt;&#10; &lt;srcSheet&gt;Table 15&lt;/srcSheet&gt;&#10; &lt;srcChartTitle&gt;Chart 2&lt;/srcChartTitl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597595" cy="2370179"/>
                          </a:xfrm>
                          <a:prstGeom prst="rect">
                            <a:avLst/>
                          </a:prstGeom>
                          <a:noFill/>
                          <a:ln>
                            <a:noFill/>
                          </a:ln>
                        </pic:spPr>
                      </pic:pic>
                    </a:graphicData>
                  </a:graphic>
                </wp:inline>
              </w:drawing>
            </w:r>
          </w:p>
        </w:tc>
      </w:tr>
      <w:tr w:rsidR="009F3ED8" w:rsidRPr="00B131B3" w14:paraId="3AE7861B" w14:textId="77777777" w:rsidTr="00B131B3">
        <w:trPr>
          <w:cantSplit/>
        </w:trPr>
        <w:tc>
          <w:tcPr>
            <w:tcW w:w="4110" w:type="dxa"/>
            <w:shd w:val="clear" w:color="auto" w:fill="auto"/>
            <w:tcMar>
              <w:bottom w:w="240" w:type="dxa"/>
            </w:tcMar>
          </w:tcPr>
          <w:p w14:paraId="66705D31" w14:textId="77777777" w:rsidR="009F3ED8" w:rsidRDefault="009F3ED8" w:rsidP="00B131B3">
            <w:pPr>
              <w:pStyle w:val="GraphFootnote"/>
              <w:keepNext/>
            </w:pPr>
            <w:r>
              <w:t>(1) Excluding EL, AT and UK (no data).</w:t>
            </w:r>
          </w:p>
          <w:p w14:paraId="7FB4171C" w14:textId="77777777" w:rsidR="009F3ED8" w:rsidRPr="00B131B3" w:rsidRDefault="009F3ED8" w:rsidP="00B131B3">
            <w:pPr>
              <w:pStyle w:val="GraphSource"/>
              <w:keepNext/>
            </w:pPr>
            <w:r w:rsidRPr="00B131B3">
              <w:rPr>
                <w:b/>
                <w:i/>
              </w:rPr>
              <w:t>Source:</w:t>
            </w:r>
            <w:r w:rsidRPr="00B131B3">
              <w:t xml:space="preserve"> Commission services, EPC.</w:t>
            </w:r>
          </w:p>
        </w:tc>
      </w:tr>
    </w:tbl>
    <w:p w14:paraId="5F109A3D" w14:textId="77777777" w:rsidR="009F3ED8" w:rsidRPr="00B131B3" w:rsidRDefault="009F3ED8" w:rsidP="00B131B3">
      <w:r w:rsidRPr="00B131B3">
        <w:t xml:space="preserve">The aggregate picture at the EU level holds, by and large, for individual Member States, in particular for the age groups below the age of 70. The charts in Graph </w:t>
      </w:r>
      <w:r w:rsidRPr="00B131B3">
        <w:fldChar w:fldCharType="begin"/>
      </w:r>
      <w:r w:rsidRPr="00B131B3">
        <w:instrText xml:space="preserve"> QUOTE "II.1.12"</w:instrText>
      </w:r>
      <w:r w:rsidRPr="00B131B3">
        <w:fldChar w:fldCharType="begin">
          <w:fldData xml:space="preserve">QwBSAE8AUwBTAFIARQBGAEUAUgBFAE4AQwBFACoAQwBMAFUAUwBUAEUAUgAgAE8ARgAgAEcAUgBB
AFAASABTACoAOAAwADIAYwA0AGEAYQA1AC0ANQA0ADcAMwAtADQANQBhAGQALQBiADYAYwBhAC0A
MQA1AGEAYgA1AGEAOQAxADcAZQAxADkA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II.1.12</w:t>
      </w:r>
      <w:r w:rsidRPr="00B131B3">
        <w:fldChar w:fldCharType="end"/>
      </w:r>
      <w:r w:rsidRPr="00B131B3">
        <w:t xml:space="preserve"> compare the shares of age groups in 2016 and 2070. Countries situated above (below) the 45-degree line are projected to have a higher (lower) share of public pensioners in that respective age group compared to 2016. For the age groups up to 65, decreases in 2070 compared to the current situation </w:t>
      </w:r>
      <w:r w:rsidRPr="00B131B3">
        <w:softHyphen/>
        <w:t>are generally the largest for countries where those age groups currently represent relatively high shares of total pensioners, e.g. Ireland, Estonia, Lithuania, Slovakia and Norway for the age group below 54. This lower dispersion implies a higher degree of similarity among countries towards the end of the projections.</w:t>
      </w:r>
    </w:p>
    <w:p w14:paraId="1AFA0D99" w14:textId="77777777" w:rsidR="009F3ED8" w:rsidRPr="00B131B3" w:rsidRDefault="009F3ED8" w:rsidP="00B131B3">
      <w:r w:rsidRPr="00B131B3">
        <w:t>The projected impact of linking retirement ages to life expectancy, a mechanism introduced in several countries (</w:t>
      </w:r>
      <w:r w:rsidRPr="00B131B3">
        <w:rPr>
          <w:rStyle w:val="Referencafusnote"/>
        </w:rPr>
        <w:footnoteReference w:id="53"/>
      </w:r>
      <w:r w:rsidRPr="00B131B3">
        <w:t xml:space="preserve">), comes to the fore in the expected change in the share of pensioners in the age group 65-69. These countries commonly show the largest fall in the share of this age group. This is also the case for the age group 70-74, the only one for which not all countries move in the same </w:t>
      </w:r>
      <w:r w:rsidRPr="00B131B3">
        <w:lastRenderedPageBreak/>
        <w:t>direction (</w:t>
      </w:r>
      <w:r w:rsidRPr="00B131B3">
        <w:rPr>
          <w:rStyle w:val="Referencafusnote"/>
        </w:rPr>
        <w:footnoteReference w:id="54"/>
      </w:r>
      <w:r w:rsidRPr="00B131B3">
        <w:t xml:space="preserve">). Of those countries for which data is available, eight are projected to have a higher </w:t>
      </w:r>
      <w:r w:rsidRPr="00B131B3">
        <w:fldChar w:fldCharType="begin"/>
      </w:r>
      <w:r w:rsidRPr="009F3ED8">
        <w:instrText xml:space="preserve"> TC "</w:instrText>
      </w:r>
      <w:bookmarkStart w:id="124" w:name="_Toc511664662"/>
      <w:r w:rsidRPr="009F3ED8">
        <w:instrText>II.1.12.</w:instrText>
      </w:r>
      <w:r w:rsidRPr="009F3ED8">
        <w:tab/>
        <w:instrText>Share of public pensioners per age group: 2070 vs. 2016 (% of total public pensioners)</w:instrText>
      </w:r>
      <w:bookmarkEnd w:id="124"/>
      <w:r w:rsidRPr="009F3ED8">
        <w:instrText xml:space="preserve">" \fgraph \l 5 </w:instrText>
      </w:r>
      <w:r w:rsidRPr="00B131B3">
        <w:fldChar w:fldCharType="end"/>
      </w:r>
      <w:r w:rsidRPr="00B131B3">
        <w:t xml:space="preserve">share in total pensioners for this age group. For 18 countries the share would decrease. </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9F3ED8" w:rsidRPr="00B131B3" w14:paraId="40E75FB0" w14:textId="77777777" w:rsidTr="00B131B3">
        <w:trPr>
          <w:cantSplit/>
        </w:trPr>
        <w:tc>
          <w:tcPr>
            <w:tcW w:w="8505" w:type="dxa"/>
            <w:shd w:val="clear" w:color="auto" w:fill="auto"/>
          </w:tcPr>
          <w:p w14:paraId="05E86E98" w14:textId="77777777" w:rsidR="009F3ED8" w:rsidRPr="00B131B3" w:rsidRDefault="009F3ED8" w:rsidP="00B131B3">
            <w:pPr>
              <w:pStyle w:val="GraphTitle"/>
              <w:rPr>
                <w:b/>
              </w:rPr>
            </w:pPr>
            <w:r w:rsidRPr="00B131B3">
              <w:t>Graph II.1.12:</w:t>
            </w:r>
            <w:r w:rsidRPr="00B131B3">
              <w:rPr>
                <w:b/>
              </w:rPr>
              <w:tab/>
              <w:t>Share of public pensioners per age group: 2070 vs. 2016 (% of total public pensioners)</w:t>
            </w:r>
          </w:p>
        </w:tc>
      </w:tr>
      <w:tr w:rsidR="009F3ED8" w:rsidRPr="00B131B3" w14:paraId="701D8D73" w14:textId="77777777" w:rsidTr="00B131B3">
        <w:trPr>
          <w:cantSplit/>
        </w:trPr>
        <w:tc>
          <w:tcPr>
            <w:tcW w:w="8505" w:type="dxa"/>
            <w:shd w:val="clear" w:color="auto" w:fill="auto"/>
          </w:tcPr>
          <w:p w14:paraId="074EABB2" w14:textId="77777777" w:rsidR="009F3ED8" w:rsidRPr="00B131B3" w:rsidRDefault="009F3ED8" w:rsidP="00B131B3">
            <w:pPr>
              <w:pStyle w:val="GraphShape"/>
              <w:rPr>
                <w:sz w:val="2"/>
              </w:rPr>
            </w:pPr>
            <w:r w:rsidRPr="00B131B3">
              <w:rPr>
                <w:noProof/>
                <w:sz w:val="2"/>
                <w:lang w:val="hr-HR" w:eastAsia="hr-HR"/>
              </w:rPr>
              <w:drawing>
                <wp:inline distT="0" distB="0" distL="0" distR="0" wp14:anchorId="28E1DD77" wp14:editId="7BF9D629">
                  <wp:extent cx="5400929" cy="5788437"/>
                  <wp:effectExtent l="0" t="0" r="0" b="3175"/>
                  <wp:docPr id="856" name="Picture 856" descr="&lt;nbr&gt;&lt;GETTEXTFROMWORD&gt;&lt;/nbr&gt;&#10;&lt;title&gt;&lt;GETTEXTFROMWORD&gt;&lt;/title&gt;&#10;&lt;id&gt;802c4aa5-5473-45ad-b6ca-15ab5a917e19&lt;/id&gt;&#10;&lt;srcType&gt;EXCEL&lt;/srcType&gt;&#10;&lt;srcPath&gt;\\net1.cec.eu.int\ECFIN\C\2\Budgetary projections 2018\Reports\2018 AR\Tables_and_graphs\Part II Chapter 1\&lt;/srcPath&gt;&#10;&lt;srcName&gt;Tables_graphs_projections.xlsx&lt;/srcName&gt;&#10;&lt;type&gt;clusterofgraphs&lt;/type&gt;&#10; &lt;srcSheet&gt;age groups cluster&lt;/srcSheet&gt;&#10; &lt;individualNumbers&gt;no&lt;/individualNumbers&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400929" cy="5788437"/>
                          </a:xfrm>
                          <a:prstGeom prst="rect">
                            <a:avLst/>
                          </a:prstGeom>
                          <a:noFill/>
                          <a:ln>
                            <a:noFill/>
                          </a:ln>
                        </pic:spPr>
                      </pic:pic>
                    </a:graphicData>
                  </a:graphic>
                </wp:inline>
              </w:drawing>
            </w:r>
          </w:p>
        </w:tc>
      </w:tr>
      <w:tr w:rsidR="009F3ED8" w:rsidRPr="00B131B3" w14:paraId="02B38DE8" w14:textId="77777777" w:rsidTr="00B131B3">
        <w:trPr>
          <w:cantSplit/>
        </w:trPr>
        <w:tc>
          <w:tcPr>
            <w:tcW w:w="8505" w:type="dxa"/>
            <w:shd w:val="clear" w:color="auto" w:fill="auto"/>
          </w:tcPr>
          <w:p w14:paraId="38C8610D" w14:textId="77777777" w:rsidR="009F3ED8" w:rsidRDefault="009F3ED8" w:rsidP="00B131B3">
            <w:pPr>
              <w:pStyle w:val="GraphFootnote"/>
              <w:keepNext/>
            </w:pPr>
            <w:r>
              <w:t>(1) AT and UK are not included for reasons of data availability.</w:t>
            </w:r>
            <w:r>
              <w:br/>
              <w:t>(2) LT refers to 2017.</w:t>
            </w:r>
          </w:p>
          <w:p w14:paraId="7A3FF554" w14:textId="77777777" w:rsidR="009F3ED8" w:rsidRPr="00B131B3" w:rsidRDefault="009F3ED8" w:rsidP="00B131B3">
            <w:pPr>
              <w:pStyle w:val="GraphSource"/>
              <w:keepNext/>
            </w:pPr>
            <w:r w:rsidRPr="00B131B3">
              <w:rPr>
                <w:b/>
                <w:i/>
              </w:rPr>
              <w:t>Source:</w:t>
            </w:r>
            <w:r w:rsidRPr="00B131B3">
              <w:t xml:space="preserve"> Commission services, EPC.</w:t>
            </w:r>
          </w:p>
        </w:tc>
      </w:tr>
    </w:tbl>
    <w:p w14:paraId="3D57B075" w14:textId="77777777" w:rsidR="009F3ED8" w:rsidRPr="00B131B3" w:rsidRDefault="009F3ED8" w:rsidP="00B131B3">
      <w:r w:rsidRPr="00B131B3">
        <w:t xml:space="preserve">When looking at the age groups' shares in pension expenditures rather than their shares in the number of pensioners, a comparable development shows. For the EU as a whole, pension expenditure in terms of GDP is projected to decrease for all age groups below the age of 75 years old (see Graph </w:t>
      </w:r>
      <w:r w:rsidRPr="00B131B3">
        <w:fldChar w:fldCharType="begin"/>
      </w:r>
      <w:r w:rsidRPr="00B131B3">
        <w:instrText xml:space="preserve"> QUOTE "II.1.13"</w:instrText>
      </w:r>
      <w:r w:rsidRPr="00B131B3">
        <w:fldChar w:fldCharType="begin">
          <w:fldData xml:space="preserve">QwBSAE8AUwBTAFIARQBGAEUAUgBFAE4AQwBFACoARwBSAEEAUABIACoAYwA4ADUAZABhADUAYwAy
AC0AZQBlADYAYgAtADQAMgA0ADcALQA4ADUAYgBjAC0AYQBhAGUAYgA5ADkAZQBhADgAMABlADIA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II.1.13</w:t>
      </w:r>
      <w:r w:rsidRPr="00B131B3">
        <w:fldChar w:fldCharType="end"/>
      </w:r>
      <w:r w:rsidRPr="00B131B3">
        <w:t xml:space="preserve">), thereby compensating for the higher spending for the latter group. Pensioners above the age of 75 would represent almost 60% of total pension spending by 2070, compared to just below </w:t>
      </w:r>
      <w:r w:rsidRPr="00B131B3">
        <w:lastRenderedPageBreak/>
        <w:t xml:space="preserve">40% in 2016. This change is quasi identical to that observed for the number of pensioners and amounts to an increase of 2.2 pps. of GDP. </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2ED1FEA3" w14:textId="77777777" w:rsidTr="00B131B3">
        <w:trPr>
          <w:cantSplit/>
        </w:trPr>
        <w:tc>
          <w:tcPr>
            <w:tcW w:w="4110" w:type="dxa"/>
            <w:shd w:val="clear" w:color="auto" w:fill="auto"/>
          </w:tcPr>
          <w:p w14:paraId="681954AA" w14:textId="77777777" w:rsidR="009F3ED8" w:rsidRPr="00B131B3" w:rsidRDefault="009F3ED8" w:rsidP="00B131B3">
            <w:pPr>
              <w:pStyle w:val="GraphTitle"/>
              <w:rPr>
                <w:b/>
              </w:rPr>
            </w:pPr>
            <w:r w:rsidRPr="00B131B3">
              <w:t>Graph II.1.13:</w:t>
            </w:r>
            <w:r w:rsidRPr="00B131B3">
              <w:rPr>
                <w:b/>
              </w:rPr>
              <w:tab/>
              <w:t>Share of public pension expenditure per age group: EU (% of total; % of GDP in table)</w:t>
            </w:r>
          </w:p>
        </w:tc>
      </w:tr>
      <w:tr w:rsidR="009F3ED8" w:rsidRPr="00B131B3" w14:paraId="4A374A0A" w14:textId="77777777" w:rsidTr="00B131B3">
        <w:trPr>
          <w:cantSplit/>
        </w:trPr>
        <w:tc>
          <w:tcPr>
            <w:tcW w:w="4110" w:type="dxa"/>
            <w:shd w:val="clear" w:color="auto" w:fill="auto"/>
          </w:tcPr>
          <w:p w14:paraId="492276E0" w14:textId="77777777" w:rsidR="009F3ED8" w:rsidRPr="00B131B3" w:rsidRDefault="009F3ED8" w:rsidP="00B131B3">
            <w:pPr>
              <w:pStyle w:val="GraphShape"/>
              <w:rPr>
                <w:sz w:val="2"/>
              </w:rPr>
            </w:pPr>
            <w:r w:rsidRPr="00B131B3">
              <w:fldChar w:fldCharType="begin"/>
            </w:r>
            <w:r w:rsidRPr="009F3ED8">
              <w:instrText xml:space="preserve"> TC "</w:instrText>
            </w:r>
            <w:bookmarkStart w:id="125" w:name="_Toc511664663"/>
            <w:r w:rsidRPr="009F3ED8">
              <w:instrText>II.1.13.</w:instrText>
            </w:r>
            <w:r w:rsidRPr="009F3ED8">
              <w:tab/>
              <w:instrText>Share of public pension expenditure per age group: EU (% of total; % of GDP in table)</w:instrText>
            </w:r>
            <w:bookmarkEnd w:id="125"/>
            <w:r w:rsidRPr="009F3ED8">
              <w:instrText xml:space="preserve">" \fgraph \l 5 </w:instrText>
            </w:r>
            <w:r w:rsidRPr="00B131B3">
              <w:fldChar w:fldCharType="end"/>
            </w:r>
            <w:r w:rsidRPr="00B131B3">
              <w:rPr>
                <w:noProof/>
                <w:sz w:val="2"/>
                <w:lang w:val="hr-HR" w:eastAsia="hr-HR"/>
              </w:rPr>
              <w:drawing>
                <wp:inline distT="0" distB="0" distL="0" distR="0" wp14:anchorId="3A99E6BB" wp14:editId="3D357185">
                  <wp:extent cx="2597595" cy="2274159"/>
                  <wp:effectExtent l="0" t="0" r="0" b="0"/>
                  <wp:docPr id="857" name="Picture 857" descr="&lt;nbr&gt;&lt;GETTEXTFROMWORD&gt;&lt;/nbr&gt;&#10;&lt;title&gt;&lt;GETTEXTFROMWORD&gt;&lt;/title&gt;&#10;&lt;id&gt;c85da5c2-ee6b-4247-85bc-aaeb99ea80e2&lt;/id&gt;&#10;&lt;srcType&gt;EXCEL&lt;/srcType&gt;&#10;&lt;srcPath&gt;\\net1.cec.eu.int\ECFIN\C\2\Budgetary projections 2018\Reports\2018 AR\Tables_and_graphs\Part II Chapter 1\&lt;/srcPath&gt;&#10;&lt;srcName&gt;Tables_graphs_projections.xlsx&lt;/srcName&gt;&#10;&lt;type&gt;graph&lt;/type&gt;&#10; &lt;srcSheet&gt;Graph share age groups expendit&lt;/srcSheet&gt;&#10; &lt;srcChartTitle&gt;Chart 1&lt;/srcChartTitl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97595" cy="2274159"/>
                          </a:xfrm>
                          <a:prstGeom prst="rect">
                            <a:avLst/>
                          </a:prstGeom>
                          <a:noFill/>
                          <a:ln>
                            <a:noFill/>
                          </a:ln>
                        </pic:spPr>
                      </pic:pic>
                    </a:graphicData>
                  </a:graphic>
                </wp:inline>
              </w:drawing>
            </w:r>
          </w:p>
        </w:tc>
      </w:tr>
      <w:tr w:rsidR="009F3ED8" w:rsidRPr="00B131B3" w14:paraId="0B1113E9" w14:textId="77777777" w:rsidTr="00B131B3">
        <w:trPr>
          <w:cantSplit/>
        </w:trPr>
        <w:tc>
          <w:tcPr>
            <w:tcW w:w="4110" w:type="dxa"/>
            <w:shd w:val="clear" w:color="auto" w:fill="auto"/>
            <w:tcMar>
              <w:bottom w:w="240" w:type="dxa"/>
            </w:tcMar>
          </w:tcPr>
          <w:p w14:paraId="4620333B" w14:textId="77777777" w:rsidR="009F3ED8" w:rsidRDefault="009F3ED8" w:rsidP="00B131B3">
            <w:pPr>
              <w:pStyle w:val="GraphFootnote"/>
              <w:keepNext/>
            </w:pPr>
            <w:r>
              <w:t>(1) Excluding UK (no data).</w:t>
            </w:r>
          </w:p>
          <w:p w14:paraId="5C5A30DA" w14:textId="77777777" w:rsidR="009F3ED8" w:rsidRPr="00B131B3" w:rsidRDefault="009F3ED8" w:rsidP="00B131B3">
            <w:pPr>
              <w:pStyle w:val="GraphSource"/>
              <w:keepNext/>
            </w:pPr>
            <w:r w:rsidRPr="00B131B3">
              <w:rPr>
                <w:b/>
                <w:i/>
              </w:rPr>
              <w:t>Source:</w:t>
            </w:r>
            <w:r w:rsidRPr="00B131B3">
              <w:t xml:space="preserve"> Commission services, EPC.</w:t>
            </w:r>
          </w:p>
        </w:tc>
      </w:tr>
    </w:tbl>
    <w:p w14:paraId="293576A9" w14:textId="77777777" w:rsidR="009F3ED8" w:rsidRPr="00B131B3" w:rsidRDefault="009F3ED8" w:rsidP="00B131B3">
      <w:r w:rsidRPr="00B131B3">
        <w:t xml:space="preserve">The biggest reduction in pension spending is for the age groups 60-64 and 65-69. Both are projected to decrease by around 1 pp. of GDP by 2070. Pension expenditure on people below the age of 60 would reduce from 1% of GDP in 2060 to 0.6% of GDP in 2070. This is relatively low when compared to the number of pensioners in this age group. In 2016 they represent 12% of all pensioners but only around 8% of total pension spending, falling to 7% and 5% respectively in 2070. </w:t>
      </w:r>
    </w:p>
    <w:p w14:paraId="031600E6" w14:textId="77777777" w:rsidR="009F3ED8" w:rsidRPr="00B131B3" w:rsidRDefault="009F3ED8" w:rsidP="00B131B3">
      <w:r w:rsidRPr="00B131B3">
        <w:t xml:space="preserve">All countries except Luxembourg are expected to spend less on pensioners in the age groups below 70 (see Table </w:t>
      </w:r>
      <w:r w:rsidRPr="00B131B3">
        <w:fldChar w:fldCharType="begin"/>
      </w:r>
      <w:r w:rsidRPr="00B131B3">
        <w:instrText xml:space="preserve"> QUOTE "II.1.10"</w:instrText>
      </w:r>
      <w:r w:rsidRPr="00B131B3">
        <w:fldChar w:fldCharType="begin">
          <w:fldData xml:space="preserve">QwBSAE8AUwBTAFIARQBGAEUAUgBFAE4AQwBFACoAVABBAEIATABFACoAMwBhADgAMAA3ADAANwBl
AC0AMQA4AGUAOAAtADQAMABkADUALQA5ADUANwBmAC0AOAA3ADQAMwBkAGIAMwA5AGMAYQA5AGUA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II.1.10</w:t>
      </w:r>
      <w:r w:rsidRPr="00B131B3">
        <w:fldChar w:fldCharType="end"/>
      </w:r>
      <w:r w:rsidRPr="00B131B3">
        <w:t>). Greece (-6.6 pps. of GDP) and Italy (-5 pps.) would show the largest total decrease for these age groups. The decline would be less than 1 pp. of GDP for Germany, Ireland, Romania, Sweden and Norway. For the age group 70-74 the picture is mixed. Higher pension spending is projected for twelve countries; sixteen countries would see a decline. Aside from Estonia, all countries would experience an increase in pension spending for pensioners beyond the age of 75. This increase amounts to 4 pps. of GDP or more for Belgium, the Czech Republic, Cyprus, Luxembourg, Slovenia and Slovakia. The increase is less than 1 pp. of GDP for Estonia (-0.8 pps.), Croatia, Latvia, Lithuania and Sweden.</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243D9613" w14:textId="77777777" w:rsidTr="00B131B3">
        <w:trPr>
          <w:cantSplit/>
          <w:trHeight w:val="20"/>
        </w:trPr>
        <w:tc>
          <w:tcPr>
            <w:tcW w:w="4110" w:type="dxa"/>
            <w:shd w:val="clear" w:color="auto" w:fill="auto"/>
          </w:tcPr>
          <w:p w14:paraId="7E2D2050" w14:textId="77777777" w:rsidR="009F3ED8" w:rsidRPr="00B131B3" w:rsidRDefault="009F3ED8" w:rsidP="00B131B3">
            <w:pPr>
              <w:pStyle w:val="SlimCell"/>
              <w:keepNext/>
            </w:pPr>
          </w:p>
        </w:tc>
      </w:tr>
      <w:tr w:rsidR="009F3ED8" w:rsidRPr="00B131B3" w14:paraId="1A16FE0F" w14:textId="77777777" w:rsidTr="00B131B3">
        <w:trPr>
          <w:cantSplit/>
        </w:trPr>
        <w:tc>
          <w:tcPr>
            <w:tcW w:w="4110" w:type="dxa"/>
            <w:shd w:val="clear" w:color="auto" w:fill="auto"/>
          </w:tcPr>
          <w:p w14:paraId="69B32ECA" w14:textId="77777777" w:rsidR="009F3ED8" w:rsidRPr="00B131B3" w:rsidRDefault="009F3ED8" w:rsidP="00B131B3">
            <w:pPr>
              <w:pStyle w:val="TableTitle"/>
              <w:rPr>
                <w:b/>
              </w:rPr>
            </w:pPr>
            <w:r w:rsidRPr="00B131B3">
              <w:t>Table II.1.10:</w:t>
            </w:r>
            <w:r w:rsidRPr="00B131B3">
              <w:rPr>
                <w:b/>
              </w:rPr>
              <w:tab/>
              <w:t>Change in public pension expenditure per age group in 2016-2070 (pps. of GDP)</w:t>
            </w:r>
          </w:p>
        </w:tc>
      </w:tr>
      <w:tr w:rsidR="009F3ED8" w:rsidRPr="00B131B3" w14:paraId="239B7A0B" w14:textId="77777777" w:rsidTr="00B131B3">
        <w:trPr>
          <w:cantSplit/>
        </w:trPr>
        <w:tc>
          <w:tcPr>
            <w:tcW w:w="4110" w:type="dxa"/>
            <w:shd w:val="clear" w:color="auto" w:fill="auto"/>
          </w:tcPr>
          <w:p w14:paraId="7F1D56E5" w14:textId="77777777" w:rsidR="009F3ED8" w:rsidRPr="00B131B3" w:rsidRDefault="009F3ED8" w:rsidP="00B131B3">
            <w:pPr>
              <w:pStyle w:val="TableShape"/>
              <w:rPr>
                <w:sz w:val="2"/>
              </w:rPr>
            </w:pPr>
            <w:r w:rsidRPr="00B131B3">
              <w:fldChar w:fldCharType="begin"/>
            </w:r>
            <w:r w:rsidRPr="009F3ED8">
              <w:instrText xml:space="preserve"> TC "</w:instrText>
            </w:r>
            <w:bookmarkStart w:id="126" w:name="_Toc511664529"/>
            <w:r w:rsidRPr="009F3ED8">
              <w:instrText>II.1.10.</w:instrText>
            </w:r>
            <w:r w:rsidRPr="009F3ED8">
              <w:tab/>
              <w:instrText>Change in public pension expenditure per age group in 2016-2070 (pps. of GDP)</w:instrText>
            </w:r>
            <w:bookmarkEnd w:id="126"/>
            <w:r w:rsidRPr="009F3ED8">
              <w:instrText xml:space="preserve">" \ftable \l 5 </w:instrText>
            </w:r>
            <w:r w:rsidRPr="00B131B3">
              <w:fldChar w:fldCharType="end"/>
            </w:r>
            <w:r w:rsidRPr="00B131B3">
              <w:rPr>
                <w:noProof/>
                <w:sz w:val="2"/>
                <w:lang w:val="hr-HR" w:eastAsia="hr-HR"/>
              </w:rPr>
              <w:drawing>
                <wp:inline distT="0" distB="0" distL="0" distR="0" wp14:anchorId="4650D023" wp14:editId="254D99DF">
                  <wp:extent cx="2597595" cy="3420082"/>
                  <wp:effectExtent l="0" t="0" r="0" b="9525"/>
                  <wp:docPr id="858" name="Picture 858" descr="&lt;nbr&gt;&lt;GETTEXTFROMWORD&gt;&lt;/nbr&gt;&#10;&lt;title&gt;&lt;GETTEXTFROMWORD&gt;&lt;/title&gt;&#10;&lt;id&gt;3a80707e-18e8-40d5-957f-8743db39ca9e&lt;/id&gt;&#10;&lt;srcType&gt;EXCEL&lt;/srcType&gt;&#10;&lt;srcPath&gt;U:\Budgetary projections 2018\Reports\2018 AR\Tables_and_graphs\Part II Chapter 1\&lt;/srcPath&gt;&#10;&lt;srcName&gt;Tables_graphs_projections.xlsx&lt;/srcName&gt;&#10;&lt;type&gt;table&lt;/type&gt;&#10; &lt;srcSheet&gt;Table16&lt;/srcSheet&gt;&#10; &lt;srcRange&gt;R2C2:R35C8&lt;/srcRang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97595" cy="3420082"/>
                          </a:xfrm>
                          <a:prstGeom prst="rect">
                            <a:avLst/>
                          </a:prstGeom>
                          <a:noFill/>
                          <a:ln>
                            <a:noFill/>
                          </a:ln>
                        </pic:spPr>
                      </pic:pic>
                    </a:graphicData>
                  </a:graphic>
                </wp:inline>
              </w:drawing>
            </w:r>
          </w:p>
        </w:tc>
      </w:tr>
      <w:tr w:rsidR="009F3ED8" w:rsidRPr="00B131B3" w14:paraId="2D147A91" w14:textId="77777777" w:rsidTr="00B131B3">
        <w:trPr>
          <w:cantSplit/>
        </w:trPr>
        <w:tc>
          <w:tcPr>
            <w:tcW w:w="4110" w:type="dxa"/>
            <w:shd w:val="clear" w:color="auto" w:fill="auto"/>
          </w:tcPr>
          <w:p w14:paraId="1EA5AC60" w14:textId="77777777" w:rsidR="009F3ED8" w:rsidRDefault="009F3ED8" w:rsidP="00B131B3">
            <w:pPr>
              <w:pStyle w:val="TableFootnote"/>
            </w:pPr>
            <w:r>
              <w:t>(1) UK: no data available. LT based on 2017 figure.</w:t>
            </w:r>
          </w:p>
          <w:p w14:paraId="54D29113"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20BD13EA" w14:textId="77777777" w:rsidTr="00B131B3">
        <w:trPr>
          <w:cantSplit/>
          <w:trHeight w:val="20"/>
        </w:trPr>
        <w:tc>
          <w:tcPr>
            <w:tcW w:w="4110" w:type="dxa"/>
            <w:shd w:val="clear" w:color="auto" w:fill="auto"/>
            <w:tcMar>
              <w:bottom w:w="240" w:type="dxa"/>
            </w:tcMar>
          </w:tcPr>
          <w:p w14:paraId="05AEDF67" w14:textId="77777777" w:rsidR="009F3ED8" w:rsidRPr="00B131B3" w:rsidRDefault="009F3ED8" w:rsidP="00B131B3">
            <w:pPr>
              <w:pStyle w:val="SlimCell"/>
            </w:pPr>
          </w:p>
        </w:tc>
      </w:tr>
    </w:tbl>
    <w:p w14:paraId="10B1B2E8" w14:textId="77777777" w:rsidR="009F3ED8" w:rsidRPr="00B131B3" w:rsidRDefault="009F3ED8" w:rsidP="00B131B3">
      <w:pPr>
        <w:pStyle w:val="Heading"/>
      </w:pPr>
      <w:r w:rsidRPr="00B131B3">
        <w:t>Gross versus net pension expenditure</w:t>
      </w:r>
    </w:p>
    <w:p w14:paraId="0C2918EB" w14:textId="77777777" w:rsidR="009F3ED8" w:rsidRPr="00B131B3" w:rsidRDefault="009F3ED8" w:rsidP="00B131B3">
      <w:r w:rsidRPr="00B131B3">
        <w:t xml:space="preserve">For the set of 18 countries for which both gross and net projections are available (see Graph </w:t>
      </w:r>
      <w:r w:rsidRPr="00B131B3">
        <w:fldChar w:fldCharType="begin"/>
      </w:r>
      <w:r w:rsidRPr="00B131B3">
        <w:instrText xml:space="preserve"> QUOTE "II.1.14"</w:instrText>
      </w:r>
      <w:r w:rsidRPr="00B131B3">
        <w:fldChar w:fldCharType="begin">
          <w:fldData xml:space="preserve">QwBSAE8AUwBTAFIARQBGAEUAUgBFAE4AQwBFACoARwBSAEEAUABIACoAMwAwADAAZQAwADYAYQBi
AC0AOAA3AGIAYgAtADQAMgA5ADAALQA5ADEAMwBkAC0AMwBlAGQAOAAwADgAYwBlADIAYgA5ADgA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II.1.14</w:t>
      </w:r>
      <w:r w:rsidRPr="00B131B3">
        <w:fldChar w:fldCharType="end"/>
      </w:r>
      <w:r w:rsidRPr="00B131B3">
        <w:t xml:space="preserve">), the average level of taxes on public pensions amounts to 1.3% of GDP in 2016, corresponding to an implicit average tax rate of 12% on gross benefits. These averages would be the same in 2070. </w:t>
      </w:r>
    </w:p>
    <w:p w14:paraId="1FADB069" w14:textId="77777777" w:rsidR="009F3ED8" w:rsidRPr="00B131B3" w:rsidRDefault="009F3ED8" w:rsidP="00B131B3">
      <w:r w:rsidRPr="00B131B3">
        <w:t>Countries for which the tax level would increase by at least 0.5 pps. of GDP are Luxembourg (+1.3 pps.), Germany (+0.8 pps.) and Belgium (+0.5 pps.). Denmark (-0.7 pps.) and Poland (</w:t>
      </w:r>
      <w:r w:rsidRPr="00B131B3">
        <w:noBreakHyphen/>
        <w:t xml:space="preserve">0.5 pps.) show the largest reduction of the tax level. These trends mainly capture changes in the gross pension expenditure-to-GDP ratio, considering that the projections generally assume tax revenues to remain constant relative to gross expenditures. This shows in the implicit tax rate, which would remain broadly unchanged in the cases of Luxembourg and Belgium. For Germany the implicit tax rate would rise from 17% in 2016 to 21% in 2070. This is explained by ongoing </w:t>
      </w:r>
      <w:r w:rsidRPr="00B131B3">
        <w:lastRenderedPageBreak/>
        <w:t>changes to the pension tax regime, legislated in 2005 (</w:t>
      </w:r>
      <w:r w:rsidRPr="00B131B3">
        <w:rPr>
          <w:rStyle w:val="Referencafusnote"/>
        </w:rPr>
        <w:footnoteReference w:id="55"/>
      </w:r>
      <w:r w:rsidRPr="00B131B3">
        <w:t>).</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1B137C77" w14:textId="77777777" w:rsidTr="00B131B3">
        <w:trPr>
          <w:cantSplit/>
        </w:trPr>
        <w:tc>
          <w:tcPr>
            <w:tcW w:w="4110" w:type="dxa"/>
            <w:shd w:val="clear" w:color="auto" w:fill="auto"/>
          </w:tcPr>
          <w:p w14:paraId="65557918" w14:textId="77777777" w:rsidR="009F3ED8" w:rsidRPr="00B131B3" w:rsidRDefault="009F3ED8" w:rsidP="00B131B3">
            <w:pPr>
              <w:pStyle w:val="GraphTitle"/>
              <w:rPr>
                <w:b/>
              </w:rPr>
            </w:pPr>
            <w:r w:rsidRPr="00B131B3">
              <w:t>Graph II.1.14:</w:t>
            </w:r>
            <w:r w:rsidRPr="00B131B3">
              <w:rPr>
                <w:b/>
              </w:rPr>
              <w:tab/>
              <w:t>Gross versus net public pension expenditure in 2016 and 2070 (% of GDP)</w:t>
            </w:r>
          </w:p>
        </w:tc>
      </w:tr>
      <w:tr w:rsidR="009F3ED8" w:rsidRPr="00B131B3" w14:paraId="28F3D6A6" w14:textId="77777777" w:rsidTr="00B131B3">
        <w:trPr>
          <w:cantSplit/>
        </w:trPr>
        <w:tc>
          <w:tcPr>
            <w:tcW w:w="4110" w:type="dxa"/>
            <w:shd w:val="clear" w:color="auto" w:fill="auto"/>
          </w:tcPr>
          <w:p w14:paraId="559AA68A" w14:textId="77777777" w:rsidR="009F3ED8" w:rsidRPr="00B131B3" w:rsidRDefault="009F3ED8" w:rsidP="00B131B3">
            <w:pPr>
              <w:pStyle w:val="GraphShape"/>
              <w:rPr>
                <w:sz w:val="2"/>
              </w:rPr>
            </w:pPr>
            <w:r w:rsidRPr="00B131B3">
              <w:fldChar w:fldCharType="begin"/>
            </w:r>
            <w:r w:rsidRPr="009F3ED8">
              <w:instrText xml:space="preserve"> TC "</w:instrText>
            </w:r>
            <w:bookmarkStart w:id="127" w:name="_Toc511664664"/>
            <w:r w:rsidRPr="009F3ED8">
              <w:instrText>II.1.14.</w:instrText>
            </w:r>
            <w:r w:rsidRPr="009F3ED8">
              <w:tab/>
              <w:instrText>Gross versus net public pension expenditure in 2016 and 2070 (% of GDP)</w:instrText>
            </w:r>
            <w:bookmarkEnd w:id="127"/>
            <w:r w:rsidRPr="009F3ED8">
              <w:instrText xml:space="preserve">" \fgraph \l 5 </w:instrText>
            </w:r>
            <w:r w:rsidRPr="00B131B3">
              <w:fldChar w:fldCharType="end"/>
            </w:r>
            <w:r w:rsidRPr="00B131B3">
              <w:rPr>
                <w:noProof/>
                <w:sz w:val="2"/>
                <w:lang w:val="hr-HR" w:eastAsia="hr-HR"/>
              </w:rPr>
              <w:drawing>
                <wp:inline distT="0" distB="0" distL="0" distR="0" wp14:anchorId="2D14BA9B" wp14:editId="0F47A7CD">
                  <wp:extent cx="2597595" cy="1346808"/>
                  <wp:effectExtent l="0" t="0" r="0" b="6350"/>
                  <wp:docPr id="859" name="Picture 859" descr="&lt;nbr&gt;&lt;GETTEXTFROMWORD&gt;&lt;/nbr&gt;&#10;&lt;title&gt;&lt;GETTEXTFROMWORD&gt;&lt;/title&gt;&#10;&lt;id&gt;300e06ab-87bb-4290-913d-3ed808ce2b98&lt;/id&gt;&#10;&lt;srcType&gt;EXCEL&lt;/srcType&gt;&#10;&lt;srcPath&gt;\\net1.cec.eu.int\ECFIN\C\2\Budgetary projections 2018\Reports\2018 AR\Tables_and_graphs\Part II Chapter 1\&lt;/srcPath&gt;&#10;&lt;srcName&gt;Tables_graphs_projections.xlsx&lt;/srcName&gt;&#10;&lt;type&gt;graph&lt;/type&gt;&#10; &lt;srcSheet&gt;Graph 14&lt;/srcSheet&gt;&#10; &lt;srcChartTitle&gt;Chart 1&lt;/srcChartTitl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597595" cy="1346808"/>
                          </a:xfrm>
                          <a:prstGeom prst="rect">
                            <a:avLst/>
                          </a:prstGeom>
                          <a:noFill/>
                          <a:ln>
                            <a:noFill/>
                          </a:ln>
                        </pic:spPr>
                      </pic:pic>
                    </a:graphicData>
                  </a:graphic>
                </wp:inline>
              </w:drawing>
            </w:r>
          </w:p>
        </w:tc>
      </w:tr>
      <w:tr w:rsidR="009F3ED8" w:rsidRPr="00B131B3" w14:paraId="4804C34A" w14:textId="77777777" w:rsidTr="00B131B3">
        <w:trPr>
          <w:cantSplit/>
        </w:trPr>
        <w:tc>
          <w:tcPr>
            <w:tcW w:w="4110" w:type="dxa"/>
            <w:shd w:val="clear" w:color="auto" w:fill="auto"/>
            <w:tcMar>
              <w:bottom w:w="240" w:type="dxa"/>
            </w:tcMar>
          </w:tcPr>
          <w:p w14:paraId="2D7E61F7" w14:textId="77777777" w:rsidR="009F3ED8" w:rsidRDefault="009F3ED8" w:rsidP="00B131B3">
            <w:pPr>
              <w:pStyle w:val="GraphFootnote"/>
              <w:keepNext/>
            </w:pPr>
            <w:r>
              <w:t>(1) The graph contains only those countries for which (non-zero) data is available.</w:t>
            </w:r>
            <w:r>
              <w:br/>
              <w:t>(2) Countries are ranked in order of ascending net public pension expenditure in 2070.</w:t>
            </w:r>
          </w:p>
          <w:p w14:paraId="64811B64" w14:textId="77777777" w:rsidR="009F3ED8" w:rsidRPr="00B131B3" w:rsidRDefault="009F3ED8" w:rsidP="00B131B3">
            <w:pPr>
              <w:pStyle w:val="GraphSource"/>
              <w:keepNext/>
            </w:pPr>
            <w:r w:rsidRPr="00B131B3">
              <w:rPr>
                <w:b/>
                <w:i/>
              </w:rPr>
              <w:t>Source:</w:t>
            </w:r>
            <w:r w:rsidRPr="00B131B3">
              <w:t xml:space="preserve"> Commission services, EPC.</w:t>
            </w:r>
          </w:p>
        </w:tc>
      </w:tr>
    </w:tbl>
    <w:p w14:paraId="79C4C04D" w14:textId="77777777" w:rsidR="009F3ED8" w:rsidRPr="00B131B3" w:rsidRDefault="009F3ED8" w:rsidP="00B131B3">
      <w:pPr>
        <w:pStyle w:val="NumberedHeading2"/>
        <w:tabs>
          <w:tab w:val="left" w:pos="567"/>
        </w:tabs>
      </w:pPr>
      <w:r w:rsidRPr="00B131B3">
        <w:t>1.5.2.</w:t>
      </w:r>
      <w:r w:rsidRPr="00B131B3">
        <w:tab/>
        <w:t>Private occupational and individual pensions</w:t>
      </w:r>
    </w:p>
    <w:p w14:paraId="0C1242B0" w14:textId="77777777" w:rsidR="009F3ED8" w:rsidRPr="00B131B3" w:rsidRDefault="009F3ED8" w:rsidP="00B131B3">
      <w:r w:rsidRPr="00B131B3">
        <w:t xml:space="preserve">Private pension schemes have become more widespread across the EU as participation in both occupational and individual schemes, known as second and third pillar pensions respectively, has been increasing. Authorities encourage the build-up of private pension savings as a way to soften the burden of ageing populations on social security schemes and in order to complement public pension benefits. In some countries participation is mandatory. The fact that countries increasingly employ civil servants on a contractual basis, rather than on a statutory basis, also gives rise to higher pension spending through occupational schemes. </w:t>
      </w:r>
    </w:p>
    <w:p w14:paraId="3394FF07" w14:textId="77777777" w:rsidR="009F3ED8" w:rsidRPr="00B131B3" w:rsidRDefault="009F3ED8" w:rsidP="00B131B3">
      <w:r w:rsidRPr="00B131B3">
        <w:t>Occupational pension schemes are found in 23 countries. In nine of them participation is mandatory for at least part of those working. Individual schemes on a voluntary basis exist in all countries except Cyprus. Mandatory individual saving plans are less common; eight countries have them (</w:t>
      </w:r>
      <w:r w:rsidRPr="00B131B3">
        <w:rPr>
          <w:rStyle w:val="Referencafusnote"/>
        </w:rPr>
        <w:footnoteReference w:id="56"/>
      </w:r>
      <w:r w:rsidRPr="00B131B3">
        <w:t xml:space="preserve">). Within the context of the AWG pension projections, private pension expenditures are reported on a voluntary basis by Member States. 11 countries reported non-zero data (see Graph </w:t>
      </w:r>
      <w:r w:rsidRPr="00B131B3">
        <w:fldChar w:fldCharType="begin"/>
      </w:r>
      <w:r w:rsidRPr="00B131B3">
        <w:instrText xml:space="preserve"> QUOTE "II.1.15"</w:instrText>
      </w:r>
      <w:r w:rsidRPr="00B131B3">
        <w:fldChar w:fldCharType="begin">
          <w:fldData xml:space="preserve">QwBSAE8AUwBTAFIARQBGAEUAUgBFAE4AQwBFACoAQwBMAFUAUwBUAEUAUgAgAE8ARgAgAEcAUgBB
AFAASABTACoANAA3AGEAZgA4AGQAYgAwAC0AOQAyADgAMwAtADQAZgBhAGMALQBiADEAZQBhAC0A
ZQBhAGIAOAA3ADUAYwBiADAAMwBmADkA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II.1.15</w:t>
      </w:r>
      <w:r w:rsidRPr="00B131B3">
        <w:fldChar w:fldCharType="end"/>
      </w:r>
      <w:r w:rsidRPr="00B131B3">
        <w:t xml:space="preserve">), mostly for occupational schemes. </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4009EC18" w14:textId="77777777" w:rsidTr="00B131B3">
        <w:trPr>
          <w:cantSplit/>
        </w:trPr>
        <w:tc>
          <w:tcPr>
            <w:tcW w:w="4110" w:type="dxa"/>
            <w:shd w:val="clear" w:color="auto" w:fill="auto"/>
          </w:tcPr>
          <w:p w14:paraId="76088602" w14:textId="77777777" w:rsidR="009F3ED8" w:rsidRPr="00B131B3" w:rsidRDefault="009F3ED8" w:rsidP="00B131B3">
            <w:pPr>
              <w:pStyle w:val="GraphTitle"/>
              <w:rPr>
                <w:b/>
              </w:rPr>
            </w:pPr>
            <w:r w:rsidRPr="00B131B3">
              <w:lastRenderedPageBreak/>
              <w:t>Graph II.1.15:</w:t>
            </w:r>
            <w:r w:rsidRPr="00B131B3">
              <w:rPr>
                <w:b/>
              </w:rPr>
              <w:tab/>
              <w:t>Private (occupational and individual) pension schemes: expenditure and contributions in 2016 and 2070 (% of GDP)</w:t>
            </w:r>
          </w:p>
        </w:tc>
      </w:tr>
      <w:tr w:rsidR="009F3ED8" w:rsidRPr="00B131B3" w14:paraId="0F0B4144" w14:textId="77777777" w:rsidTr="00B131B3">
        <w:trPr>
          <w:cantSplit/>
        </w:trPr>
        <w:tc>
          <w:tcPr>
            <w:tcW w:w="4110" w:type="dxa"/>
            <w:shd w:val="clear" w:color="auto" w:fill="auto"/>
          </w:tcPr>
          <w:p w14:paraId="57B327D0" w14:textId="77777777" w:rsidR="009F3ED8" w:rsidRPr="00B131B3" w:rsidRDefault="009F3ED8" w:rsidP="00B131B3">
            <w:pPr>
              <w:pStyle w:val="GraphShape"/>
              <w:rPr>
                <w:sz w:val="2"/>
              </w:rPr>
            </w:pPr>
            <w:r w:rsidRPr="00B131B3">
              <w:fldChar w:fldCharType="begin"/>
            </w:r>
            <w:r w:rsidRPr="009F3ED8">
              <w:instrText xml:space="preserve"> TC "</w:instrText>
            </w:r>
            <w:bookmarkStart w:id="128" w:name="_Toc511664665"/>
            <w:r w:rsidRPr="009F3ED8">
              <w:instrText>II.1.15.</w:instrText>
            </w:r>
            <w:r w:rsidRPr="009F3ED8">
              <w:tab/>
              <w:instrText>Private (occupational and individual) pension schemes: expenditure and contributions in 2016 and 2070 (% of GDP)</w:instrText>
            </w:r>
            <w:bookmarkEnd w:id="128"/>
            <w:r w:rsidRPr="009F3ED8">
              <w:instrText xml:space="preserve">" \fgraph \l 5 </w:instrText>
            </w:r>
            <w:r w:rsidRPr="00B131B3">
              <w:fldChar w:fldCharType="end"/>
            </w:r>
            <w:r w:rsidRPr="00B131B3">
              <w:rPr>
                <w:noProof/>
                <w:sz w:val="2"/>
                <w:lang w:val="hr-HR" w:eastAsia="hr-HR"/>
              </w:rPr>
              <w:drawing>
                <wp:inline distT="0" distB="0" distL="0" distR="0" wp14:anchorId="4AFD0EA2" wp14:editId="6927284D">
                  <wp:extent cx="2597595" cy="3379155"/>
                  <wp:effectExtent l="0" t="0" r="0" b="0"/>
                  <wp:docPr id="860" name="Picture 860" descr="&lt;nbr&gt;&lt;GETTEXTFROMWORD&gt;&lt;/nbr&gt;&#10;&lt;title&gt;&lt;GETTEXTFROMWORD&gt;&lt;/title&gt;&#10;&lt;id&gt;47af8db0-9283-4fac-b1ea-eab875cb03f9&lt;/id&gt;&#10;&lt;srcType&gt;EXCEL&lt;/srcType&gt;&#10;&lt;srcPath&gt;\\net1.cec.eu.int\ECFIN\C\2\Budgetary projections 2018\Reports\2018 AR\Tables_and_graphs\Part II Chapter 1\&lt;/srcPath&gt;&#10;&lt;srcName&gt;Tables_graphs_projections.xlsx&lt;/srcName&gt;&#10;&lt;type&gt;clusterofgraphs&lt;/type&gt;&#10; &lt;srcSheet&gt;Graph 15&lt;/srcSheet&gt;&#10; &lt;individualNumbers&gt;no&lt;/individualNumbers&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97595" cy="3379155"/>
                          </a:xfrm>
                          <a:prstGeom prst="rect">
                            <a:avLst/>
                          </a:prstGeom>
                          <a:noFill/>
                          <a:ln>
                            <a:noFill/>
                          </a:ln>
                        </pic:spPr>
                      </pic:pic>
                    </a:graphicData>
                  </a:graphic>
                </wp:inline>
              </w:drawing>
            </w:r>
          </w:p>
        </w:tc>
      </w:tr>
      <w:tr w:rsidR="009F3ED8" w:rsidRPr="00B131B3" w14:paraId="7E2D233B" w14:textId="77777777" w:rsidTr="00B131B3">
        <w:trPr>
          <w:cantSplit/>
        </w:trPr>
        <w:tc>
          <w:tcPr>
            <w:tcW w:w="4110" w:type="dxa"/>
            <w:shd w:val="clear" w:color="auto" w:fill="auto"/>
            <w:tcMar>
              <w:bottom w:w="240" w:type="dxa"/>
            </w:tcMar>
          </w:tcPr>
          <w:p w14:paraId="3DD373FE" w14:textId="77777777" w:rsidR="009F3ED8" w:rsidRDefault="009F3ED8" w:rsidP="00B131B3">
            <w:pPr>
              <w:pStyle w:val="GraphFootnote"/>
              <w:keepNext/>
            </w:pPr>
            <w:r>
              <w:t>(1) The graphs contain only those countries which provided (non-zero) data for one of the three private pension schemes.</w:t>
            </w:r>
            <w:r>
              <w:br/>
              <w:t>(2) DK: individual voluntary plans are included in the data for occupational schemes.</w:t>
            </w:r>
            <w:r>
              <w:br/>
              <w:t>(3) IE: data covers only occupational pension schemes in the public sector.</w:t>
            </w:r>
          </w:p>
          <w:p w14:paraId="7415AA24" w14:textId="77777777" w:rsidR="009F3ED8" w:rsidRPr="00B131B3" w:rsidRDefault="009F3ED8" w:rsidP="00B131B3">
            <w:pPr>
              <w:pStyle w:val="GraphSource"/>
              <w:keepNext/>
            </w:pPr>
            <w:r w:rsidRPr="00B131B3">
              <w:rPr>
                <w:b/>
                <w:i/>
              </w:rPr>
              <w:t>Source:</w:t>
            </w:r>
            <w:r w:rsidRPr="00B131B3">
              <w:t xml:space="preserve"> Commission services, EPC.</w:t>
            </w:r>
          </w:p>
        </w:tc>
      </w:tr>
    </w:tbl>
    <w:p w14:paraId="24AD8DE3" w14:textId="77777777" w:rsidR="009F3ED8" w:rsidRPr="00B131B3" w:rsidRDefault="009F3ED8" w:rsidP="00B131B3">
      <w:r w:rsidRPr="00B131B3">
        <w:t>In spite of their rising prevalence, privately managed schemes still represent only a fraction of total pension benefits in most countries. Only in the cases of the Netherlands (44%), Denmark (30%), Sweden (24%) and Ireland (19%) private pension expenditure represented a significant share of total pension spending in 2016. In the Netherlands, Denmark and Sweden there is a tradition of providing occupational pension schemes to employees. Their coverage rate is high, with more than 90% of all employees participating.</w:t>
      </w:r>
    </w:p>
    <w:p w14:paraId="31291642" w14:textId="77777777" w:rsidR="009F3ED8" w:rsidRPr="00B131B3" w:rsidRDefault="009F3ED8" w:rsidP="00B131B3">
      <w:r w:rsidRPr="00B131B3">
        <w:t xml:space="preserve">Private schemes are expected to expand further over the next decades. In 2070, pension expenditure through individual mandatory schemes introduced in the early 2000s would amount to 1.6-2.6% of GDP in the Baltic countries and Croatia. The share of these plans in total pension expenditure would rise to between 19% and 35% – abstraction made of voluntary individual plans. In Romania (scheme introduced in 2007) and Sweden </w:t>
      </w:r>
      <w:r w:rsidRPr="00B131B3">
        <w:lastRenderedPageBreak/>
        <w:t>(1998) such schemes would pay benefits represen</w:t>
      </w:r>
      <w:r w:rsidRPr="00B131B3">
        <w:softHyphen/>
        <w:t>ting 1.1% of GDP in 2070. At the same time, Sweden expects spending for voluntary individual plans to gradually fade out following the abolition of the tax deduction for employees in 2016.</w:t>
      </w:r>
    </w:p>
    <w:p w14:paraId="10479ED2" w14:textId="77777777" w:rsidR="009F3ED8" w:rsidRPr="00B131B3" w:rsidRDefault="009F3ED8" w:rsidP="00B131B3">
      <w:r w:rsidRPr="00B131B3">
        <w:t xml:space="preserve">In 2016, contributions for the new mandatory individual schemes in Romania, Croatia and the Baltic countries amounted to 0.8-2.3% of GDP (see Graph </w:t>
      </w:r>
      <w:r w:rsidRPr="00B131B3">
        <w:fldChar w:fldCharType="begin"/>
      </w:r>
      <w:r w:rsidRPr="00B131B3">
        <w:instrText xml:space="preserve"> QUOTE "II.1.15"</w:instrText>
      </w:r>
      <w:r w:rsidRPr="00B131B3">
        <w:fldChar w:fldCharType="begin">
          <w:fldData xml:space="preserve">QwBSAE8AUwBTAFIARQBGAEUAUgBFAE4AQwBFACoAQwBMAFUAUwBUAEUAUgAgAE8ARgAgAEcAUgBB
AFAASABTACoANAA3AGEAZgA4AGQAYgAwAC0AOQAyADgAMwAtADQAZgBhAGMALQBiADEAZQBhAC0A
ZQBhAGIAOAA3ADUAYwBiADAAMwBmADkA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II.1.15</w:t>
      </w:r>
      <w:r w:rsidRPr="00B131B3">
        <w:fldChar w:fldCharType="end"/>
      </w:r>
      <w:r w:rsidRPr="00B131B3">
        <w:t xml:space="preserve">). These would rise for all five countries by 2070, to 1.6-2.9% of GDP. In Sweden contributions would remain about stable, as is the case for the country's occupational scheme. In Denmark and the Netherlands contributions for occupational pension plans are higher than in Sweden and would decrease over the projection horizon, by 0.3 pps. of GDP in Denmark and by 0.7 pps. in the Netherlands. </w:t>
      </w:r>
    </w:p>
    <w:p w14:paraId="26A4A4A6" w14:textId="77777777" w:rsidR="009F3ED8" w:rsidRPr="00B131B3" w:rsidRDefault="009F3ED8" w:rsidP="00B131B3">
      <w:pPr>
        <w:pStyle w:val="NumberedHeading1"/>
        <w:tabs>
          <w:tab w:val="left" w:pos="567"/>
        </w:tabs>
      </w:pPr>
      <w:bookmarkStart w:id="129" w:name="_Toc511664429"/>
      <w:r w:rsidRPr="00B131B3">
        <w:t>1.6.</w:t>
      </w:r>
      <w:r w:rsidRPr="00B131B3">
        <w:tab/>
        <w:t>Drivers of pension expenditure</w:t>
      </w:r>
      <w:bookmarkEnd w:id="129"/>
    </w:p>
    <w:p w14:paraId="154D3D4A" w14:textId="77777777" w:rsidR="009F3ED8" w:rsidRPr="00B131B3" w:rsidRDefault="009F3ED8" w:rsidP="00B131B3">
      <w:pPr>
        <w:pStyle w:val="NumberedHeading2"/>
        <w:tabs>
          <w:tab w:val="left" w:pos="567"/>
        </w:tabs>
      </w:pPr>
      <w:r w:rsidRPr="00B131B3">
        <w:t>1.6.1.</w:t>
      </w:r>
      <w:r w:rsidRPr="00B131B3">
        <w:tab/>
        <w:t>Breakdown of projected pension expenditure</w:t>
      </w:r>
    </w:p>
    <w:p w14:paraId="4F34F036" w14:textId="77777777" w:rsidR="009F3ED8" w:rsidRPr="00B131B3" w:rsidRDefault="009F3ED8" w:rsidP="00B131B3">
      <w:r w:rsidRPr="00B131B3">
        <w:t xml:space="preserve">Box </w:t>
      </w:r>
      <w:r w:rsidRPr="00B131B3">
        <w:fldChar w:fldCharType="begin"/>
      </w:r>
      <w:r w:rsidRPr="00B131B3">
        <w:instrText xml:space="preserve"> QUOTE "II.1.3"</w:instrText>
      </w:r>
      <w:r w:rsidRPr="00B131B3">
        <w:fldChar w:fldCharType="begin">
          <w:fldData xml:space="preserve">QwBSAE8AUwBTAFIARQBGAEUAUgBFAE4AQwBFACoAQgBPAFgAKgBhADEANAA4ADAAMQA0AGQALQBj
AGUAZAAwAC0ANAA1AGUAZAAtAGEAMwBmAGYALQA3ADkAOQA2ADcAMABkAGYAZgBjADMAMwA=
</w:fldData>
        </w:fldChar>
      </w:r>
      <w:r w:rsidRPr="00B131B3">
        <w:instrText xml:space="preserve"> ADDIN </w:instrText>
      </w:r>
      <w:r w:rsidRPr="00B131B3">
        <w:fldChar w:fldCharType="end"/>
      </w:r>
      <w:r w:rsidRPr="00B131B3">
        <w:instrText xml:space="preserve"> </w:instrText>
      </w:r>
      <w:r w:rsidRPr="00B131B3">
        <w:fldChar w:fldCharType="separate"/>
      </w:r>
      <w:r w:rsidRPr="00B131B3">
        <w:t>II.1.3</w:t>
      </w:r>
      <w:r w:rsidRPr="00B131B3">
        <w:fldChar w:fldCharType="end"/>
      </w:r>
      <w:r w:rsidRPr="00B131B3">
        <w:t xml:space="preserve"> presents the breakdown of the pension expenditure-to-GDP ratio into its main underlying components. The overall change in gross public pension expenditure is split into four drivers: the dependency ratio, the coverage ratio, the benefit ratio and the labour market impact. The latter is further divided into three drivers: employment, labour intensity and career shift effects. The results of this breakdown for the change in the pension expenditure ratios between 2016 and 2070 are shown in Table </w:t>
      </w:r>
      <w:r w:rsidRPr="00B131B3">
        <w:fldChar w:fldCharType="begin"/>
      </w:r>
      <w:r w:rsidRPr="00B131B3">
        <w:instrText xml:space="preserve"> QUOTE "II.1.11"</w:instrText>
      </w:r>
      <w:r w:rsidRPr="00B131B3">
        <w:fldChar w:fldCharType="begin">
          <w:fldData xml:space="preserve">QwBSAE8AUwBTAFIARQBGAEUAUgBFAE4AQwBFACoAVABBAEIATABFACoAOAA2ADgAZQAwADgANABj
AC0AZQA5ADAAZQAtADQAOQBhAGYALQA4ADUANQBkAC0AMgBkADkAOQBhAGIAZQA3ADIAMgA3AGIA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II.1.11</w:t>
      </w:r>
      <w:r w:rsidRPr="00B131B3">
        <w:fldChar w:fldCharType="end"/>
      </w:r>
      <w:r w:rsidRPr="00B131B3">
        <w:t xml:space="preserve"> and Graph </w:t>
      </w:r>
      <w:r w:rsidRPr="00B131B3">
        <w:fldChar w:fldCharType="begin"/>
      </w:r>
      <w:r w:rsidRPr="00B131B3">
        <w:instrText xml:space="preserve"> QUOTE "II.1.16"</w:instrText>
      </w:r>
      <w:r w:rsidRPr="00B131B3">
        <w:fldChar w:fldCharType="begin">
          <w:fldData xml:space="preserve">QwBSAE8AUwBTAFIARQBGAEUAUgBFAE4AQwBFACoARwBSAEEAUABIACoAOQA2ADEANwBiAGIAYwA0
AC0AMQBmADUAZQAtADQAMQAxADEALQBiAGYANwA5AC0ANQAyADEAMABmADcAZQA1ADMANgA5ADgA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II.1.16</w:t>
      </w:r>
      <w:r w:rsidRPr="00B131B3">
        <w:fldChar w:fldCharType="end"/>
      </w:r>
      <w:r w:rsidRPr="00B131B3">
        <w:t xml:space="preserve">. </w:t>
      </w:r>
    </w:p>
    <w:p w14:paraId="3CF02787" w14:textId="77777777" w:rsidR="009F3ED8" w:rsidRPr="00B131B3" w:rsidRDefault="009F3ED8" w:rsidP="00B131B3">
      <w:r w:rsidRPr="00B131B3">
        <w:t xml:space="preserve">The demographic factor, captured by the dependency ratio, contributes by far the most to increases in pension spending in 2016-2070. Its impact on the expenditure ratio is positive for all countries, being the only component that leads to a significant spending increase. The contribution amounts to 6.5 pps. of GDP on average in the EU and ranges from 2.4 pps. of GDP in Sweden to 11.7 pps. of GDP in Poland. Other countries where a higher dependency ratio would contribute to a double digit pension expenditure increase are Italy, Cyprus, Luxembourg, Austria and Portugal. </w:t>
      </w:r>
    </w:p>
    <w:p w14:paraId="64292CB3" w14:textId="77777777" w:rsidR="009F3ED8" w:rsidRPr="00B131B3" w:rsidRDefault="009F3ED8" w:rsidP="00B131B3">
      <w:r w:rsidRPr="00B131B3">
        <w:t xml:space="preserve">It strikes out how several of the countries displaying a high increase in the dependency ratio are nevertheless projected to see a pension </w:t>
      </w:r>
      <w:r w:rsidRPr="00B131B3">
        <w:lastRenderedPageBreak/>
        <w:t>expenditure decrease (e.g. Poland, Portugal, Italy, Greece and Spain) or a relatively limited increase (e.g. Austria and Slovakia). Several of these countries have enhanced their pension system with sustainability factors.</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3B95AB4F" w14:textId="77777777" w:rsidTr="00B131B3">
        <w:trPr>
          <w:cantSplit/>
        </w:trPr>
        <w:tc>
          <w:tcPr>
            <w:tcW w:w="4110" w:type="dxa"/>
            <w:shd w:val="clear" w:color="auto" w:fill="auto"/>
          </w:tcPr>
          <w:p w14:paraId="1AA4B3E2" w14:textId="77777777" w:rsidR="009F3ED8" w:rsidRPr="00B131B3" w:rsidRDefault="009F3ED8" w:rsidP="00B131B3">
            <w:pPr>
              <w:pStyle w:val="GraphTitle"/>
              <w:rPr>
                <w:b/>
              </w:rPr>
            </w:pPr>
            <w:r w:rsidRPr="00B131B3">
              <w:t>Graph II.1.16:</w:t>
            </w:r>
            <w:r w:rsidRPr="00B131B3">
              <w:rPr>
                <w:b/>
              </w:rPr>
              <w:tab/>
              <w:t>Contribution to change in gross public pension expenditure; 2016-2070 (pps. of GDP)</w:t>
            </w:r>
          </w:p>
        </w:tc>
      </w:tr>
      <w:tr w:rsidR="009F3ED8" w:rsidRPr="00B131B3" w14:paraId="7B1E05BD" w14:textId="77777777" w:rsidTr="00B131B3">
        <w:trPr>
          <w:cantSplit/>
        </w:trPr>
        <w:tc>
          <w:tcPr>
            <w:tcW w:w="4110" w:type="dxa"/>
            <w:shd w:val="clear" w:color="auto" w:fill="auto"/>
          </w:tcPr>
          <w:p w14:paraId="77D9D71A" w14:textId="77777777" w:rsidR="009F3ED8" w:rsidRPr="00B131B3" w:rsidRDefault="009F3ED8" w:rsidP="00B131B3">
            <w:pPr>
              <w:pStyle w:val="GraphShape"/>
              <w:rPr>
                <w:sz w:val="2"/>
              </w:rPr>
            </w:pPr>
            <w:r w:rsidRPr="00B131B3">
              <w:fldChar w:fldCharType="begin"/>
            </w:r>
            <w:r w:rsidRPr="009F3ED8">
              <w:instrText xml:space="preserve"> TC "</w:instrText>
            </w:r>
            <w:bookmarkStart w:id="130" w:name="_Toc511664666"/>
            <w:r w:rsidRPr="009F3ED8">
              <w:instrText>II.1.16.</w:instrText>
            </w:r>
            <w:r w:rsidRPr="009F3ED8">
              <w:tab/>
              <w:instrText>Contribution to change in gross public pension expenditure; 2016-2070 (pps. of GDP)</w:instrText>
            </w:r>
            <w:bookmarkEnd w:id="130"/>
            <w:r w:rsidRPr="009F3ED8">
              <w:instrText xml:space="preserve">" \fgraph \l 5 </w:instrText>
            </w:r>
            <w:r w:rsidRPr="00B131B3">
              <w:fldChar w:fldCharType="end"/>
            </w:r>
            <w:r w:rsidRPr="00B131B3">
              <w:rPr>
                <w:noProof/>
                <w:sz w:val="2"/>
                <w:lang w:val="hr-HR" w:eastAsia="hr-HR"/>
              </w:rPr>
              <w:drawing>
                <wp:inline distT="0" distB="0" distL="0" distR="0" wp14:anchorId="1E420ECE" wp14:editId="673EBFD6">
                  <wp:extent cx="2597595" cy="2404899"/>
                  <wp:effectExtent l="0" t="0" r="0" b="0"/>
                  <wp:docPr id="861" name="Picture 861" descr="&lt;nbr&gt;&lt;GETTEXTFROMWORD&gt;&lt;/nbr&gt;&#10;&lt;title&gt;&lt;GETTEXTFROMWORD&gt;&lt;/title&gt;&#10;&lt;id&gt;9617bbc4-1f5e-4111-bf79-5210f7e53698&lt;/id&gt;&#10;&lt;srcType&gt;EXCEL&lt;/srcType&gt;&#10;&lt;srcPath&gt;\\net1.cec.eu.int\ECFIN\C\2\Budgetary projections 2018\Reports\2018 AR\Tables_and_graphs\Part II Chapter 1\&lt;/srcPath&gt;&#10;&lt;srcName&gt;Tables_graphs_projections.xlsx&lt;/srcName&gt;&#10;&lt;type&gt;graph&lt;/type&gt;&#10; &lt;srcSheet&gt;Graph 17&lt;/srcSheet&gt;&#10; &lt;srcChartTitle&gt;Chart 6&lt;/srcChartTitl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97595" cy="2404899"/>
                          </a:xfrm>
                          <a:prstGeom prst="rect">
                            <a:avLst/>
                          </a:prstGeom>
                          <a:noFill/>
                          <a:ln>
                            <a:noFill/>
                          </a:ln>
                        </pic:spPr>
                      </pic:pic>
                    </a:graphicData>
                  </a:graphic>
                </wp:inline>
              </w:drawing>
            </w:r>
          </w:p>
        </w:tc>
      </w:tr>
      <w:tr w:rsidR="009F3ED8" w:rsidRPr="00B131B3" w14:paraId="4DA58664" w14:textId="77777777" w:rsidTr="00B131B3">
        <w:trPr>
          <w:cantSplit/>
        </w:trPr>
        <w:tc>
          <w:tcPr>
            <w:tcW w:w="4110" w:type="dxa"/>
            <w:shd w:val="clear" w:color="auto" w:fill="auto"/>
            <w:tcMar>
              <w:bottom w:w="240" w:type="dxa"/>
            </w:tcMar>
          </w:tcPr>
          <w:p w14:paraId="49CF2942" w14:textId="77777777" w:rsidR="009F3ED8" w:rsidRDefault="009F3ED8" w:rsidP="00B131B3">
            <w:pPr>
              <w:pStyle w:val="GraphFootnote"/>
              <w:keepNext/>
            </w:pPr>
            <w:r>
              <w:t>(1) LU: see note Table II.1.11.</w:t>
            </w:r>
          </w:p>
          <w:p w14:paraId="2B6E9DB9" w14:textId="77777777" w:rsidR="009F3ED8" w:rsidRPr="00B131B3" w:rsidRDefault="009F3ED8" w:rsidP="00B131B3">
            <w:pPr>
              <w:pStyle w:val="GraphSource"/>
              <w:keepNext/>
            </w:pPr>
            <w:r w:rsidRPr="00B131B3">
              <w:rPr>
                <w:b/>
                <w:i/>
              </w:rPr>
              <w:t>Source:</w:t>
            </w:r>
            <w:r w:rsidRPr="00B131B3">
              <w:t xml:space="preserve"> Commission services, EPC.</w:t>
            </w:r>
          </w:p>
        </w:tc>
      </w:tr>
    </w:tbl>
    <w:p w14:paraId="62218F68" w14:textId="77777777" w:rsidR="009F3ED8" w:rsidRPr="00B131B3" w:rsidRDefault="009F3ED8" w:rsidP="00B131B3">
      <w:r w:rsidRPr="00B131B3">
        <w:t>The universal increase in the dependency ratio effect is countered by almost equally universal downward contributions for the coverage ratio, the benefit ratio and the labour market effect. For the EU as a whole, these three components together fully offset the adverse demographic impact over the projection period. This is in particular due to the benefit ratio (</w:t>
      </w:r>
      <w:r w:rsidRPr="00B131B3">
        <w:noBreakHyphen/>
        <w:t>3.3 pps. of GDP) and the coverage ratio (</w:t>
      </w:r>
      <w:r w:rsidRPr="00B131B3">
        <w:noBreakHyphen/>
        <w:t xml:space="preserve">2.1 pps.). The interaction effect between the different components is favourable for all countries, i.e. a negative contribution. </w:t>
      </w:r>
    </w:p>
    <w:p w14:paraId="3C8763E5" w14:textId="77777777" w:rsidR="009F3ED8" w:rsidRPr="00B131B3" w:rsidRDefault="009F3ED8" w:rsidP="00B131B3">
      <w:r w:rsidRPr="00B131B3">
        <w:t>The coverage ratio is expected to cause pension expenditure to increase in only two countries (Malta and Sweden), by just 0.6 pps. of GDP. For the other countries the coverage ratio reduces pension expenditure, by up to 4.5 pps. of GDP in the case of Italy and by at least 3 pps. for Bulgaria, Denmark, Croatia, Austria, Poland, Portugal and Slovakia. For countries where a link exists between the statutory retirement age and life expectancy, the number of pensioners might increase less than the population above the age of 65 years, leading to a lower coverage ratio as people start to draw pension benefits later.</w:t>
      </w:r>
    </w:p>
    <w:tbl>
      <w:tblPr>
        <w:tblpPr w:horzAnchor="margin" w:tblpYSpec="top"/>
        <w:tblOverlap w:val="never"/>
        <w:tblW w:w="0" w:type="auto"/>
        <w:tblBorders>
          <w:top w:val="single" w:sz="4" w:space="0" w:color="333399"/>
          <w:left w:val="single" w:sz="4" w:space="0" w:color="333399"/>
          <w:bottom w:val="single" w:sz="4" w:space="0" w:color="333399"/>
          <w:right w:val="single" w:sz="4" w:space="0" w:color="333399"/>
        </w:tblBorders>
        <w:shd w:val="clear" w:color="auto" w:fill="F7FCFF"/>
        <w:tblLayout w:type="fixed"/>
        <w:tblCellMar>
          <w:left w:w="0" w:type="dxa"/>
          <w:right w:w="0" w:type="dxa"/>
        </w:tblCellMar>
        <w:tblLook w:val="0000" w:firstRow="0" w:lastRow="0" w:firstColumn="0" w:lastColumn="0" w:noHBand="0" w:noVBand="0"/>
      </w:tblPr>
      <w:tblGrid>
        <w:gridCol w:w="8505"/>
      </w:tblGrid>
      <w:tr w:rsidR="009F3ED8" w:rsidRPr="00B131B3" w14:paraId="523E66DB" w14:textId="77777777" w:rsidTr="00B131B3">
        <w:trPr>
          <w:cantSplit/>
          <w:trHeight w:val="20"/>
        </w:trPr>
        <w:tc>
          <w:tcPr>
            <w:tcW w:w="8505" w:type="dxa"/>
            <w:shd w:val="clear" w:color="auto" w:fill="F7FCFF"/>
          </w:tcPr>
          <w:p w14:paraId="31101D3C" w14:textId="77777777" w:rsidR="009F3ED8" w:rsidRPr="00B131B3" w:rsidRDefault="009F3ED8" w:rsidP="00B131B3">
            <w:pPr>
              <w:pStyle w:val="SlimCell"/>
              <w:keepNext/>
            </w:pPr>
            <w:r w:rsidRPr="00B131B3">
              <w:lastRenderedPageBreak/>
              <w:fldChar w:fldCharType="begin"/>
            </w:r>
            <w:r w:rsidRPr="009F3ED8">
              <w:instrText xml:space="preserve"> TC "</w:instrText>
            </w:r>
            <w:bookmarkStart w:id="131" w:name="_Toc511664714"/>
            <w:r w:rsidRPr="009F3ED8">
              <w:instrText>II.1.3.</w:instrText>
            </w:r>
            <w:r w:rsidRPr="009F3ED8">
              <w:tab/>
              <w:instrText>Breakdown of the pension expenditure-to-GDP ratio</w:instrText>
            </w:r>
            <w:bookmarkEnd w:id="131"/>
            <w:r w:rsidRPr="009F3ED8">
              <w:instrText xml:space="preserve">" \fbox \l 5 </w:instrText>
            </w:r>
            <w:r w:rsidRPr="00B131B3">
              <w:fldChar w:fldCharType="end"/>
            </w:r>
          </w:p>
        </w:tc>
      </w:tr>
      <w:tr w:rsidR="009F3ED8" w:rsidRPr="00B131B3" w14:paraId="7F9818C7" w14:textId="77777777" w:rsidTr="00B131B3">
        <w:trPr>
          <w:cantSplit/>
          <w:trHeight w:val="20"/>
        </w:trPr>
        <w:tc>
          <w:tcPr>
            <w:tcW w:w="8505" w:type="dxa"/>
            <w:shd w:val="clear" w:color="auto" w:fill="F7FCFF"/>
          </w:tcPr>
          <w:p w14:paraId="3EFCB427" w14:textId="77777777" w:rsidR="009F3ED8" w:rsidRPr="00B131B3" w:rsidRDefault="009F3ED8" w:rsidP="00B131B3">
            <w:pPr>
              <w:pStyle w:val="SlimCell"/>
              <w:keepNext/>
            </w:pPr>
          </w:p>
        </w:tc>
      </w:tr>
      <w:tr w:rsidR="009F3ED8" w:rsidRPr="00B131B3" w14:paraId="32289C7A" w14:textId="77777777" w:rsidTr="00B131B3">
        <w:trPr>
          <w:cantSplit/>
        </w:trPr>
        <w:tc>
          <w:tcPr>
            <w:tcW w:w="8505" w:type="dxa"/>
            <w:shd w:val="clear" w:color="auto" w:fill="F7FCFF"/>
          </w:tcPr>
          <w:p w14:paraId="08FB779E" w14:textId="77777777" w:rsidR="009F3ED8" w:rsidRPr="00B131B3" w:rsidRDefault="009F3ED8" w:rsidP="00B131B3">
            <w:pPr>
              <w:pStyle w:val="BoxShape"/>
              <w:rPr>
                <w:sz w:val="2"/>
              </w:rPr>
            </w:pPr>
            <w:r>
              <w:rPr>
                <w:noProof/>
                <w:sz w:val="2"/>
                <w:lang w:val="hr-HR" w:eastAsia="hr-HR"/>
              </w:rPr>
              <w:drawing>
                <wp:inline distT="0" distB="0" distL="0" distR="0" wp14:anchorId="6D526E20" wp14:editId="0E57A55C">
                  <wp:extent cx="5000280" cy="7515225"/>
                  <wp:effectExtent l="0" t="0" r="0" b="0"/>
                  <wp:docPr id="862" name="Picture 862" descr="&lt;nbr&gt;II.1.3&lt;/nbr&gt;&#10;&lt;title&gt;Breakdown of the pension expenditure-to-GDP ratio&lt;/title&gt;&#10;&lt;id&gt;a148014d-ced0-45ed-a3ff-799670dffc33&lt;/id&gt;&#10;&lt;srcType&gt;WORD&lt;/srcType&gt;&#10;&lt;srcPath&gt;\\net1.cec.eu.int\ECFIN\C\2\Budgetary projections 2018\Reports\2018 AR\The 2018 Ageing Report Economic\Part II Long-term projections of\&lt;/srcPath&gt;&#10;&lt;srcName&gt;Box 3 expenditure breakdown.docx&lt;/srcName&gt;&#10;&lt;type&gt;box&lt;/type&gt;&#10;&lt;pos&gt;top&lt;/pos&gt;&#10;&lt;numbering&gt;external&lt;/numbering&gt;&#10;&lt;manNumb&gt;no&lt;/manNumb&gt;&#10;&lt;multi&gt;yes&lt;/multi&gt;&#10; &lt;partThis&gt;1&lt;/partThis&gt;&#10; &lt;partTot&gt;2&lt;/partTot&gt;&#10;&lt;statAnn&gt;no&lt;/statAnn&gt;&#10;&lt;float&gt;no&lt;/float&gt;&#10;&lt;bottomShapePageNumber&gt;-1&lt;/bottomShapePageNumber&gt;&#10;&lt;version&gt;2&lt;/version&gt;&#10;&lt;scrFileTime&gt;2018-03-16T14:51:24&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000280" cy="7515225"/>
                          </a:xfrm>
                          <a:prstGeom prst="rect">
                            <a:avLst/>
                          </a:prstGeom>
                          <a:noFill/>
                          <a:ln>
                            <a:noFill/>
                          </a:ln>
                        </pic:spPr>
                      </pic:pic>
                    </a:graphicData>
                  </a:graphic>
                </wp:inline>
              </w:drawing>
            </w:r>
          </w:p>
        </w:tc>
      </w:tr>
      <w:tr w:rsidR="009F3ED8" w:rsidRPr="00B131B3" w14:paraId="511E9EE0" w14:textId="77777777" w:rsidTr="00B131B3">
        <w:trPr>
          <w:cantSplit/>
          <w:trHeight w:val="20"/>
        </w:trPr>
        <w:tc>
          <w:tcPr>
            <w:tcW w:w="8505" w:type="dxa"/>
            <w:shd w:val="clear" w:color="auto" w:fill="F7FCFF"/>
          </w:tcPr>
          <w:p w14:paraId="5B07B103" w14:textId="77777777" w:rsidR="009F3ED8" w:rsidRPr="00B131B3" w:rsidRDefault="009F3ED8" w:rsidP="00B131B3">
            <w:pPr>
              <w:pStyle w:val="SlimCell"/>
              <w:keepNext/>
            </w:pPr>
          </w:p>
        </w:tc>
      </w:tr>
      <w:tr w:rsidR="009F3ED8" w:rsidRPr="00B131B3" w14:paraId="0B396B87" w14:textId="77777777" w:rsidTr="00B131B3">
        <w:trPr>
          <w:cantSplit/>
        </w:trPr>
        <w:tc>
          <w:tcPr>
            <w:tcW w:w="8505" w:type="dxa"/>
            <w:shd w:val="clear" w:color="auto" w:fill="F7FCFF"/>
            <w:vAlign w:val="bottom"/>
          </w:tcPr>
          <w:p w14:paraId="1EC1C89A" w14:textId="77777777" w:rsidR="009F3ED8" w:rsidRPr="00B131B3" w:rsidRDefault="009F3ED8" w:rsidP="00B131B3">
            <w:pPr>
              <w:pStyle w:val="BoxContinueBottom"/>
            </w:pPr>
            <w:r>
              <w:t>(Continued on the next page)</w:t>
            </w:r>
          </w:p>
        </w:tc>
      </w:tr>
    </w:tbl>
    <w:p w14:paraId="34DEDAA2" w14:textId="77777777" w:rsidR="009F3ED8" w:rsidRPr="00B131B3" w:rsidRDefault="009F3ED8" w:rsidP="00B131B3">
      <w:pPr>
        <w:pStyle w:val="MultipageDelimiter"/>
      </w:pPr>
    </w:p>
    <w:tbl>
      <w:tblPr>
        <w:tblpPr w:bottomFromText="240" w:horzAnchor="margin" w:tblpYSpec="top"/>
        <w:tblOverlap w:val="never"/>
        <w:tblW w:w="0" w:type="auto"/>
        <w:tblBorders>
          <w:top w:val="single" w:sz="4" w:space="0" w:color="333399"/>
          <w:left w:val="single" w:sz="4" w:space="0" w:color="333399"/>
          <w:bottom w:val="single" w:sz="4" w:space="0" w:color="333399"/>
          <w:right w:val="single" w:sz="4" w:space="0" w:color="333399"/>
        </w:tblBorders>
        <w:shd w:val="clear" w:color="auto" w:fill="F7FCFF"/>
        <w:tblLayout w:type="fixed"/>
        <w:tblCellMar>
          <w:left w:w="0" w:type="dxa"/>
          <w:right w:w="0" w:type="dxa"/>
        </w:tblCellMar>
        <w:tblLook w:val="0000" w:firstRow="0" w:lastRow="0" w:firstColumn="0" w:lastColumn="0" w:noHBand="0" w:noVBand="0"/>
      </w:tblPr>
      <w:tblGrid>
        <w:gridCol w:w="8505"/>
      </w:tblGrid>
      <w:tr w:rsidR="009F3ED8" w:rsidRPr="00B131B3" w14:paraId="27DC7E2B" w14:textId="77777777" w:rsidTr="00B131B3">
        <w:trPr>
          <w:cantSplit/>
        </w:trPr>
        <w:tc>
          <w:tcPr>
            <w:tcW w:w="8505" w:type="dxa"/>
            <w:shd w:val="clear" w:color="auto" w:fill="F7FCFF"/>
          </w:tcPr>
          <w:p w14:paraId="6476425B" w14:textId="77777777" w:rsidR="009F3ED8" w:rsidRPr="00B131B3" w:rsidRDefault="009F3ED8" w:rsidP="00B131B3">
            <w:pPr>
              <w:pStyle w:val="BoxContinueTop"/>
            </w:pPr>
            <w:r>
              <w:lastRenderedPageBreak/>
              <w:t>Box (continued)</w:t>
            </w:r>
          </w:p>
        </w:tc>
      </w:tr>
      <w:tr w:rsidR="009F3ED8" w:rsidRPr="00B131B3" w14:paraId="61FDD4DA" w14:textId="77777777" w:rsidTr="00B131B3">
        <w:trPr>
          <w:cantSplit/>
          <w:trHeight w:val="20"/>
        </w:trPr>
        <w:tc>
          <w:tcPr>
            <w:tcW w:w="8505" w:type="dxa"/>
            <w:shd w:val="clear" w:color="auto" w:fill="F7FCFF"/>
          </w:tcPr>
          <w:p w14:paraId="50E0FAAE" w14:textId="77777777" w:rsidR="009F3ED8" w:rsidRPr="00B131B3" w:rsidRDefault="009F3ED8" w:rsidP="00B131B3">
            <w:pPr>
              <w:pStyle w:val="SlimCell"/>
              <w:keepNext/>
            </w:pPr>
          </w:p>
        </w:tc>
      </w:tr>
      <w:tr w:rsidR="009F3ED8" w:rsidRPr="00B131B3" w14:paraId="41D98544" w14:textId="77777777" w:rsidTr="00B131B3">
        <w:trPr>
          <w:cantSplit/>
        </w:trPr>
        <w:tc>
          <w:tcPr>
            <w:tcW w:w="8505" w:type="dxa"/>
            <w:shd w:val="clear" w:color="auto" w:fill="F7FCFF"/>
          </w:tcPr>
          <w:p w14:paraId="61DBA1C2" w14:textId="77777777" w:rsidR="009F3ED8" w:rsidRPr="00B131B3" w:rsidRDefault="009F3ED8" w:rsidP="00B131B3">
            <w:pPr>
              <w:pStyle w:val="BoxShape"/>
              <w:rPr>
                <w:sz w:val="2"/>
              </w:rPr>
            </w:pPr>
            <w:r>
              <w:rPr>
                <w:noProof/>
                <w:sz w:val="2"/>
                <w:lang w:val="hr-HR" w:eastAsia="hr-HR"/>
              </w:rPr>
              <w:drawing>
                <wp:inline distT="0" distB="0" distL="0" distR="0" wp14:anchorId="536F64E8" wp14:editId="737EF1BE">
                  <wp:extent cx="5040929" cy="421083"/>
                  <wp:effectExtent l="0" t="0" r="7620" b="0"/>
                  <wp:docPr id="863" name="Picture 863" descr="&lt;nbr&gt;II.1.3&lt;/nbr&gt;&#10;&lt;title&gt;Breakdown of the pension expenditure-to-GDP ratio&lt;/title&gt;&#10;&lt;id&gt;a148014d-ced0-45ed-a3ff-799670dffc33&lt;/id&gt;&#10;&lt;srcType&gt;WORD&lt;/srcType&gt;&#10;&lt;srcPath&gt;\\net1.cec.eu.int\ECFIN\C\2\Budgetary projections 2018\Reports\2018 AR\The 2018 Ageing Report Economic\Part II Long-term projections of\&lt;/srcPath&gt;&#10;&lt;srcName&gt;Box 3 expenditure breakdown.docx&lt;/srcName&gt;&#10;&lt;type&gt;box&lt;/type&gt;&#10;&lt;pos&gt;top&lt;/pos&gt;&#10;&lt;numbering&gt;external&lt;/numbering&gt;&#10;&lt;manNumb&gt;no&lt;/manNumb&gt;&#10;&lt;multi&gt;yes&lt;/multi&gt;&#10; &lt;partThis&gt;2&lt;/partThis&gt;&#10; &lt;partTot&gt;2&lt;/partTot&gt;&#10;&lt;statAnn&gt;no&lt;/statAnn&gt;&#10;&lt;float&gt;no&lt;/float&gt;&#10;&lt;bottomShapePageNumber&gt;-1&lt;/bottomShapePageNumber&gt;&#10;&lt;version&gt;2&lt;/version&gt;&#10;&lt;scrFileTime&gt;2018-03-16T14:51:24&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040929" cy="421083"/>
                          </a:xfrm>
                          <a:prstGeom prst="rect">
                            <a:avLst/>
                          </a:prstGeom>
                          <a:noFill/>
                          <a:ln>
                            <a:noFill/>
                          </a:ln>
                        </pic:spPr>
                      </pic:pic>
                    </a:graphicData>
                  </a:graphic>
                </wp:inline>
              </w:drawing>
            </w:r>
          </w:p>
        </w:tc>
      </w:tr>
      <w:tr w:rsidR="009F3ED8" w:rsidRPr="00B131B3" w14:paraId="615053B0" w14:textId="77777777" w:rsidTr="00B131B3">
        <w:trPr>
          <w:cantSplit/>
          <w:trHeight w:val="20"/>
        </w:trPr>
        <w:tc>
          <w:tcPr>
            <w:tcW w:w="8505" w:type="dxa"/>
            <w:shd w:val="clear" w:color="auto" w:fill="F7FCFF"/>
          </w:tcPr>
          <w:p w14:paraId="50DA49DC" w14:textId="77777777" w:rsidR="009F3ED8" w:rsidRPr="00B131B3" w:rsidRDefault="009F3ED8" w:rsidP="00B131B3">
            <w:pPr>
              <w:pStyle w:val="SlimCell"/>
              <w:keepNext/>
            </w:pPr>
          </w:p>
        </w:tc>
      </w:tr>
      <w:tr w:rsidR="009F3ED8" w:rsidRPr="00B131B3" w14:paraId="6F2CAD76" w14:textId="77777777" w:rsidTr="00B131B3">
        <w:trPr>
          <w:cantSplit/>
          <w:trHeight w:val="20"/>
        </w:trPr>
        <w:tc>
          <w:tcPr>
            <w:tcW w:w="8505" w:type="dxa"/>
            <w:shd w:val="clear" w:color="auto" w:fill="F7FCFF"/>
            <w:vAlign w:val="bottom"/>
          </w:tcPr>
          <w:p w14:paraId="61A76DD0" w14:textId="77777777" w:rsidR="009F3ED8" w:rsidRPr="00B131B3" w:rsidRDefault="009F3ED8" w:rsidP="00B131B3">
            <w:pPr>
              <w:pStyle w:val="SlimCell"/>
            </w:pPr>
          </w:p>
        </w:tc>
      </w:tr>
    </w:tbl>
    <w:p w14:paraId="20076D19" w14:textId="77777777" w:rsidR="009F3ED8" w:rsidRPr="00B131B3" w:rsidRDefault="009F3ED8" w:rsidP="00B131B3">
      <w:r w:rsidRPr="00B131B3">
        <w:t>The average downward contribution from the benefit ratio is still larger. For all countries it is at least zero. The largest downward contributions are projected for Greece (-8.3 pps. of GDP), Poland (</w:t>
      </w:r>
      <w:r w:rsidRPr="00B131B3">
        <w:noBreakHyphen/>
        <w:t xml:space="preserve">8.1 pps.) and Portugal (-7.1 pps.). Also for Spain, France, Croatia, Italy, Cyprus, Latvia and Sweden pension expenditure is expected to be reduced by at least 4 pps. of GDP due to the fact that the average pension benefit would rise slower than the average wage. </w:t>
      </w:r>
    </w:p>
    <w:tbl>
      <w:tblPr>
        <w:tblpPr w:horzAnchor="margin" w:tblpYSpec="bottom"/>
        <w:tblOverlap w:val="never"/>
        <w:tblW w:w="0" w:type="auto"/>
        <w:tblLayout w:type="fixed"/>
        <w:tblCellMar>
          <w:left w:w="0" w:type="dxa"/>
          <w:right w:w="0" w:type="dxa"/>
        </w:tblCellMar>
        <w:tblLook w:val="0000" w:firstRow="0" w:lastRow="0" w:firstColumn="0" w:lastColumn="0" w:noHBand="0" w:noVBand="0"/>
      </w:tblPr>
      <w:tblGrid>
        <w:gridCol w:w="8505"/>
      </w:tblGrid>
      <w:tr w:rsidR="009F3ED8" w:rsidRPr="00B131B3" w14:paraId="579FA43D" w14:textId="77777777" w:rsidTr="00B131B3">
        <w:trPr>
          <w:cantSplit/>
          <w:trHeight w:val="20"/>
        </w:trPr>
        <w:tc>
          <w:tcPr>
            <w:tcW w:w="8505" w:type="dxa"/>
            <w:shd w:val="clear" w:color="auto" w:fill="auto"/>
          </w:tcPr>
          <w:p w14:paraId="57F11AD8" w14:textId="77777777" w:rsidR="009F3ED8" w:rsidRPr="00B131B3" w:rsidRDefault="009F3ED8" w:rsidP="00B131B3">
            <w:pPr>
              <w:pStyle w:val="SlimCell"/>
              <w:keepNext/>
            </w:pPr>
          </w:p>
        </w:tc>
      </w:tr>
      <w:tr w:rsidR="009F3ED8" w:rsidRPr="00B131B3" w14:paraId="3A9716C2" w14:textId="77777777" w:rsidTr="00B131B3">
        <w:trPr>
          <w:cantSplit/>
        </w:trPr>
        <w:tc>
          <w:tcPr>
            <w:tcW w:w="8505" w:type="dxa"/>
            <w:shd w:val="clear" w:color="auto" w:fill="auto"/>
          </w:tcPr>
          <w:p w14:paraId="226C94D9" w14:textId="77777777" w:rsidR="009F3ED8" w:rsidRPr="00B131B3" w:rsidRDefault="009F3ED8" w:rsidP="00B131B3">
            <w:pPr>
              <w:pStyle w:val="TableTitle"/>
              <w:rPr>
                <w:b/>
              </w:rPr>
            </w:pPr>
            <w:r w:rsidRPr="00B131B3">
              <w:t>Table II.1.11:</w:t>
            </w:r>
            <w:r w:rsidRPr="00B131B3">
              <w:rPr>
                <w:b/>
              </w:rPr>
              <w:tab/>
              <w:t>Breakdown of change in gross public pension expenditure; 2016-2070 (pps. of GDP)</w:t>
            </w:r>
          </w:p>
        </w:tc>
      </w:tr>
      <w:tr w:rsidR="009F3ED8" w:rsidRPr="00B131B3" w14:paraId="27AFFD4F" w14:textId="77777777" w:rsidTr="00B131B3">
        <w:trPr>
          <w:cantSplit/>
        </w:trPr>
        <w:tc>
          <w:tcPr>
            <w:tcW w:w="8505" w:type="dxa"/>
            <w:shd w:val="clear" w:color="auto" w:fill="auto"/>
          </w:tcPr>
          <w:p w14:paraId="5150E6B8" w14:textId="77777777" w:rsidR="009F3ED8" w:rsidRPr="00B131B3" w:rsidRDefault="009F3ED8" w:rsidP="00B131B3">
            <w:pPr>
              <w:pStyle w:val="TableShape"/>
              <w:rPr>
                <w:sz w:val="2"/>
              </w:rPr>
            </w:pPr>
            <w:r w:rsidRPr="00B131B3">
              <w:rPr>
                <w:noProof/>
                <w:sz w:val="2"/>
                <w:lang w:val="hr-HR" w:eastAsia="hr-HR"/>
              </w:rPr>
              <w:drawing>
                <wp:inline distT="0" distB="0" distL="0" distR="0" wp14:anchorId="680D0194" wp14:editId="560278D6">
                  <wp:extent cx="5400929" cy="3453846"/>
                  <wp:effectExtent l="0" t="0" r="9525" b="0"/>
                  <wp:docPr id="928" name="Picture 928" descr="&lt;nbr&gt;&lt;GETTEXTFROMWORD&gt;&lt;/nbr&gt;&#10;&lt;title&gt;&lt;GETTEXTFROMWORD&gt;&lt;/title&gt;&#10;&lt;id&gt;868e084c-e90e-49af-855d-2d99abe7227b&lt;/id&gt;&#10;&lt;srcType&gt;EXCEL&lt;/srcType&gt;&#10;&lt;srcPath&gt;U:\Budgetary projections 2018\Reports\2018 AR\Tables_and_graphs\Part II Chapter 1\&lt;/srcPath&gt;&#10;&lt;srcName&gt;Tables_graphs_projections.xlsx&lt;/srcName&gt;&#10;&lt;type&gt;table&lt;/type&gt;&#10; &lt;srcSheet&gt;Table 18&lt;/srcSheet&gt;&#10; &lt;srcRange&gt;R2C2:R38C12&lt;/srcRange&gt;&#10;&lt;pos&gt;bottom_maintext&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400929" cy="3453846"/>
                          </a:xfrm>
                          <a:prstGeom prst="rect">
                            <a:avLst/>
                          </a:prstGeom>
                          <a:noFill/>
                          <a:ln>
                            <a:noFill/>
                          </a:ln>
                        </pic:spPr>
                      </pic:pic>
                    </a:graphicData>
                  </a:graphic>
                </wp:inline>
              </w:drawing>
            </w:r>
          </w:p>
        </w:tc>
      </w:tr>
      <w:tr w:rsidR="009F3ED8" w:rsidRPr="00B131B3" w14:paraId="5E21D01D" w14:textId="77777777" w:rsidTr="00B131B3">
        <w:trPr>
          <w:cantSplit/>
        </w:trPr>
        <w:tc>
          <w:tcPr>
            <w:tcW w:w="8505" w:type="dxa"/>
            <w:shd w:val="clear" w:color="auto" w:fill="auto"/>
          </w:tcPr>
          <w:p w14:paraId="259578B9" w14:textId="77777777" w:rsidR="009F3ED8" w:rsidRDefault="009F3ED8" w:rsidP="00B131B3">
            <w:pPr>
              <w:pStyle w:val="TableFootnote"/>
            </w:pPr>
            <w:r>
              <w:t>(1) Breakdown is based on number of pensioners.</w:t>
            </w:r>
            <w:r>
              <w:br/>
              <w:t xml:space="preserve">(2) IE: as the breakdown excludes occupational public pensions, the interaction effect is adjusted to match with the overall expenditure change. </w:t>
            </w:r>
            <w:r>
              <w:br/>
              <w:t>(3) LU: As cross-border workers in Luxembourg are not covered in the labour force projections for the pension projection exercise, a deeper analysis of the employment effect contribution as well as the coverage ratio contribution from the standard breakdown is not meaningful. When limiting the breakdown to alternative dependency ratio (number of pensioners/number of contributors) and benefit ratio (average pension income/(GDP/number of contributors) components, these would explain respectively 9.2 pps. and -0.1 pps. of GDP of the change in total pension expenditure between 2016 and 2070, with a small interaction effect of -0.1 pps. of GDP. This remark also applies to the other tables in this section.</w:t>
            </w:r>
          </w:p>
          <w:p w14:paraId="72450D72"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0F4F929E" w14:textId="77777777" w:rsidTr="00B131B3">
        <w:trPr>
          <w:cantSplit/>
          <w:trHeight w:val="20"/>
        </w:trPr>
        <w:tc>
          <w:tcPr>
            <w:tcW w:w="8505" w:type="dxa"/>
            <w:shd w:val="clear" w:color="auto" w:fill="auto"/>
          </w:tcPr>
          <w:p w14:paraId="5239D28F" w14:textId="77777777" w:rsidR="009F3ED8" w:rsidRPr="00B131B3" w:rsidRDefault="009F3ED8" w:rsidP="00B131B3">
            <w:pPr>
              <w:pStyle w:val="SlimCell"/>
            </w:pPr>
          </w:p>
        </w:tc>
      </w:tr>
    </w:tbl>
    <w:p w14:paraId="7AB862A1" w14:textId="77777777" w:rsidR="009F3ED8" w:rsidRPr="00B131B3" w:rsidRDefault="009F3ED8" w:rsidP="00B131B3">
      <w:r w:rsidRPr="00B131B3">
        <w:t>The varying impact of the coverage ratio and the benefit ratio effects mostly reflect the extent to which and the way in which countries have implemented pension reforms. Measures that tighten access to the public pension scheme can affect both ratios, e.g. the decision to increase the statutory retirement age or a shift to second pillar pension schemes classified outside the public sector. Measures that change the generosity of future pension benefits produce an impact on the benefit ratio, e.g. through the introduction of sustainability factors or the application of less generous indexation rules.</w:t>
      </w:r>
    </w:p>
    <w:p w14:paraId="0EACB347" w14:textId="77777777" w:rsidR="009F3ED8" w:rsidRPr="00B131B3" w:rsidRDefault="009F3ED8" w:rsidP="00B131B3">
      <w:r w:rsidRPr="00B131B3">
        <w:fldChar w:fldCharType="begin"/>
      </w:r>
      <w:r w:rsidRPr="009F3ED8">
        <w:instrText xml:space="preserve"> TC "</w:instrText>
      </w:r>
      <w:bookmarkStart w:id="132" w:name="_Toc511664530"/>
      <w:r w:rsidRPr="009F3ED8">
        <w:instrText>II.1.11.</w:instrText>
      </w:r>
      <w:r w:rsidRPr="009F3ED8">
        <w:tab/>
        <w:instrText>Breakdown of change in gross public pension expenditure; 2016-2070 (pps. of GDP)</w:instrText>
      </w:r>
      <w:bookmarkEnd w:id="132"/>
      <w:r w:rsidRPr="009F3ED8">
        <w:instrText xml:space="preserve">" \ftable \l 5 </w:instrText>
      </w:r>
      <w:r w:rsidRPr="00B131B3">
        <w:fldChar w:fldCharType="end"/>
      </w:r>
      <w:r w:rsidRPr="00B131B3">
        <w:t xml:space="preserve">The favourable contribution from the labour market effect for all countries except Estonia (+0.2 pps. of GDP) is generally smaller than that of the benefit and coverage ratios. Only for Greece, Spain, Croatia, Italy, Cyprus and Portugal </w:t>
      </w:r>
      <w:r w:rsidRPr="00B131B3">
        <w:lastRenderedPageBreak/>
        <w:t>– who would all see a strong decline in their unemployment rates; see Chapter 2 of Part I and Chapter 5 of Part II – the expenditure decreasing effect would be more than 1.5 pps. of GDP. The employment rate and the career shift are driving the overall labour market effect. The contribution from changes in labour intensity is about neutral for all countries. This reflects the macroeconomic assumptions underlying the projections.</w:t>
      </w:r>
    </w:p>
    <w:p w14:paraId="126656C7" w14:textId="77777777" w:rsidR="009F3ED8" w:rsidRPr="00B131B3" w:rsidRDefault="009F3ED8" w:rsidP="00B131B3">
      <w:pPr>
        <w:pStyle w:val="Heading"/>
      </w:pPr>
      <w:r w:rsidRPr="00B131B3">
        <w:t>Dependency ratio effect</w:t>
      </w:r>
    </w:p>
    <w:p w14:paraId="7B1BDBAB" w14:textId="77777777" w:rsidR="009F3ED8" w:rsidRPr="00B131B3" w:rsidRDefault="009F3ED8" w:rsidP="00B131B3">
      <w:r w:rsidRPr="00B131B3">
        <w:t xml:space="preserve">The dependency ratio effect pushes up pension expenditure for all countries over the entirety of the projection horizon, with the impact exceeding the overall change in pension spending. This reflects an ageing society: for every person in the EU aged more than 65 years in 2016, there are 3.6 persons between 20 and 64. In 2070, this would fall to just 2.2 persons aged 20 to 64 for every person above 65 year. This corresponds to a higher dependency ratio and thus a contribution base that narrows relative to the number of beneficiaries. Policy measures aimed at increasing statutory and effective retirement ages, lifting employment rates of older worker and controlling future adjustments of pension benefits could help offset the impact such demographic shift has on public finances. </w:t>
      </w:r>
    </w:p>
    <w:p w14:paraId="76C724FB" w14:textId="77777777" w:rsidR="009F3ED8" w:rsidRPr="00B131B3" w:rsidRDefault="009F3ED8" w:rsidP="00B131B3">
      <w:r w:rsidRPr="00B131B3">
        <w:t xml:space="preserve">Table </w:t>
      </w:r>
      <w:r w:rsidRPr="00B131B3">
        <w:fldChar w:fldCharType="begin"/>
      </w:r>
      <w:r w:rsidRPr="00B131B3">
        <w:instrText xml:space="preserve"> QUOTE "II.1.12"</w:instrText>
      </w:r>
      <w:r w:rsidRPr="00B131B3">
        <w:fldChar w:fldCharType="begin">
          <w:fldData xml:space="preserve">QwBSAE8AUwBTAFIARQBGAEUAUgBFAE4AQwBFACoAVABBAEIATABFACoANwA2AGUAYgBlADMAOQA1
AC0ANQAyADkAMQAtADQAYQBhAGEALQA5AGEAYwA3AC0ANQA0ADQAMgBkADgAZgBlAGUAYgA5ADYA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II.1.12</w:t>
      </w:r>
      <w:r w:rsidRPr="00B131B3">
        <w:fldChar w:fldCharType="end"/>
      </w:r>
      <w:r w:rsidRPr="00B131B3">
        <w:t xml:space="preserve"> provides the contribution from demographics to the change in public pension expenditure per decade. The dependency ratio rises fast as the post-war baby-boom generation continues to enter retirement in 2016-2030, driving up pension spending. In the remainder of the current decade (2016-2020) a higher dependency ratio results in the largest rise in pension expenditure in Poland, Slovenia, Slovakia, France, Greece and Finland. In 2020-2030, pension expenditure would increase by between 0.6 and 3.7 pps. of GDP for all countries on the back of rising dependency ratios. The highest impact is expected for Spain (+3.7 pps. of GDP), Italy (+3.6 pps.), Austria and Poland (+3.4 pps.), Portugal (+3.3 pps.) and Slovenia (+3.1 pps.). </w:t>
      </w:r>
    </w:p>
    <w:p w14:paraId="50E2A6BF" w14:textId="77777777" w:rsidR="009F3ED8" w:rsidRPr="00B131B3" w:rsidRDefault="009F3ED8" w:rsidP="00B131B3">
      <w:r w:rsidRPr="00B131B3">
        <w:t>The demographic effect continues to exert upward pressure on pension expenditure in 2030-2040. It is capped at 2 pps. of GDP for most countries. Only Romania, Luxembourg (</w:t>
      </w:r>
      <w:r w:rsidRPr="00B131B3">
        <w:rPr>
          <w:rStyle w:val="Referencafusnote"/>
        </w:rPr>
        <w:footnoteReference w:id="57"/>
      </w:r>
      <w:r w:rsidRPr="00B131B3">
        <w:t xml:space="preserve">), Austria, Greece, Portugal, Spain and Italy would have a higher </w:t>
      </w:r>
      <w:r w:rsidRPr="00B131B3">
        <w:lastRenderedPageBreak/>
        <w:t>dependency ratio effect, which surpasses 4 pps. of GDP for the latter two countries. The demographic push generally abates in 2040-2050. The dependency ratio effect nevertheless remains positive for all countries except the Netherlands. The highest values are found for Poland (+3 pps. of GDP), Greece (+2.6 pps.) and Portugal (+2.4 pps.).</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51990E00" w14:textId="77777777" w:rsidTr="00B131B3">
        <w:trPr>
          <w:cantSplit/>
          <w:trHeight w:val="20"/>
        </w:trPr>
        <w:tc>
          <w:tcPr>
            <w:tcW w:w="4110" w:type="dxa"/>
            <w:shd w:val="clear" w:color="auto" w:fill="auto"/>
          </w:tcPr>
          <w:p w14:paraId="2223C714" w14:textId="77777777" w:rsidR="009F3ED8" w:rsidRPr="00B131B3" w:rsidRDefault="009F3ED8" w:rsidP="00B131B3">
            <w:pPr>
              <w:pStyle w:val="SlimCell"/>
              <w:keepNext/>
            </w:pPr>
          </w:p>
        </w:tc>
      </w:tr>
      <w:tr w:rsidR="009F3ED8" w:rsidRPr="00B131B3" w14:paraId="5ABACF53" w14:textId="77777777" w:rsidTr="00B131B3">
        <w:trPr>
          <w:cantSplit/>
        </w:trPr>
        <w:tc>
          <w:tcPr>
            <w:tcW w:w="4110" w:type="dxa"/>
            <w:shd w:val="clear" w:color="auto" w:fill="auto"/>
          </w:tcPr>
          <w:p w14:paraId="77BAF7A1" w14:textId="77777777" w:rsidR="009F3ED8" w:rsidRPr="00B131B3" w:rsidRDefault="009F3ED8" w:rsidP="00B131B3">
            <w:pPr>
              <w:pStyle w:val="TableTitle"/>
              <w:rPr>
                <w:b/>
              </w:rPr>
            </w:pPr>
            <w:r w:rsidRPr="00B131B3">
              <w:t>Table II.1.12:</w:t>
            </w:r>
            <w:r w:rsidRPr="00B131B3">
              <w:rPr>
                <w:b/>
              </w:rPr>
              <w:tab/>
              <w:t>Contribution of the dependency ratio effect to the change in public pension expenditure (pps. of GDP)</w:t>
            </w:r>
          </w:p>
        </w:tc>
      </w:tr>
      <w:tr w:rsidR="009F3ED8" w:rsidRPr="00B131B3" w14:paraId="516F37A1" w14:textId="77777777" w:rsidTr="00B131B3">
        <w:trPr>
          <w:cantSplit/>
        </w:trPr>
        <w:tc>
          <w:tcPr>
            <w:tcW w:w="4110" w:type="dxa"/>
            <w:shd w:val="clear" w:color="auto" w:fill="auto"/>
          </w:tcPr>
          <w:p w14:paraId="4BB09C76" w14:textId="77777777" w:rsidR="009F3ED8" w:rsidRPr="00B131B3" w:rsidRDefault="009F3ED8" w:rsidP="00B131B3">
            <w:pPr>
              <w:pStyle w:val="TableShape"/>
              <w:rPr>
                <w:sz w:val="2"/>
              </w:rPr>
            </w:pPr>
            <w:r w:rsidRPr="00B131B3">
              <w:fldChar w:fldCharType="begin"/>
            </w:r>
            <w:r w:rsidRPr="009F3ED8">
              <w:instrText xml:space="preserve"> TC "</w:instrText>
            </w:r>
            <w:bookmarkStart w:id="133" w:name="_Toc511664531"/>
            <w:r w:rsidRPr="009F3ED8">
              <w:instrText>II.1.12.</w:instrText>
            </w:r>
            <w:r w:rsidRPr="009F3ED8">
              <w:tab/>
              <w:instrText>Contribution of the dependency ratio effect to the change in public pension expenditure (pps. of GDP)</w:instrText>
            </w:r>
            <w:bookmarkEnd w:id="133"/>
            <w:r w:rsidRPr="009F3ED8">
              <w:instrText xml:space="preserve">" \ftable \l 5 </w:instrText>
            </w:r>
            <w:r w:rsidRPr="00B131B3">
              <w:fldChar w:fldCharType="end"/>
            </w:r>
            <w:r w:rsidRPr="00B131B3">
              <w:rPr>
                <w:noProof/>
                <w:sz w:val="2"/>
                <w:lang w:val="hr-HR" w:eastAsia="hr-HR"/>
              </w:rPr>
              <w:drawing>
                <wp:inline distT="0" distB="0" distL="0" distR="0" wp14:anchorId="37E27D10" wp14:editId="06E4A80E">
                  <wp:extent cx="2597595" cy="3001369"/>
                  <wp:effectExtent l="0" t="0" r="0" b="8890"/>
                  <wp:docPr id="929" name="Picture 929" descr="&lt;nbr&gt;&lt;GETTEXTFROMWORD&gt;&lt;/nbr&gt;&#10;&lt;title&gt;&lt;GETTEXTFROMWORD&gt;&lt;/title&gt;&#10;&lt;id&gt;76ebe395-5291-4aaa-9ac7-5442d8feeb96&lt;/id&gt;&#10;&lt;srcType&gt;EXCEL&lt;/srcType&gt;&#10;&lt;srcPath&gt;U:\Budgetary projections 2018\Reports\2018 AR\Tables_and_graphs\Part II Chapter 1\&lt;/srcPath&gt;&#10;&lt;srcName&gt;Tables_graphs_projections.xlsx&lt;/srcName&gt;&#10;&lt;type&gt;table&lt;/type&gt;&#10; &lt;srcSheet&gt;Table 19&lt;/srcSheet&gt;&#10; &lt;srcRange&gt;R2C2:R37C9&lt;/srcRang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597595" cy="3001369"/>
                          </a:xfrm>
                          <a:prstGeom prst="rect">
                            <a:avLst/>
                          </a:prstGeom>
                          <a:noFill/>
                          <a:ln>
                            <a:noFill/>
                          </a:ln>
                        </pic:spPr>
                      </pic:pic>
                    </a:graphicData>
                  </a:graphic>
                </wp:inline>
              </w:drawing>
            </w:r>
          </w:p>
        </w:tc>
      </w:tr>
      <w:tr w:rsidR="009F3ED8" w:rsidRPr="00B131B3" w14:paraId="3C55E30B" w14:textId="77777777" w:rsidTr="00B131B3">
        <w:trPr>
          <w:cantSplit/>
        </w:trPr>
        <w:tc>
          <w:tcPr>
            <w:tcW w:w="4110" w:type="dxa"/>
            <w:shd w:val="clear" w:color="auto" w:fill="auto"/>
          </w:tcPr>
          <w:p w14:paraId="32B5F062" w14:textId="77777777" w:rsidR="009F3ED8" w:rsidRDefault="009F3ED8" w:rsidP="00B131B3">
            <w:pPr>
              <w:pStyle w:val="TableFootnote"/>
            </w:pPr>
            <w:r>
              <w:t>(1) LU: the alternative dependency ratio effect (see comment Table II.1.11) amounts to 0.0, 1.3, 1.4, 1.5, 2.9 and 2.0 pps. of GDP for the respective time periods, with a total of 9.2 pps. of GDP in 2016-2070. Considering the broad similarity of the numbers, the text refers to the numbers for the standard breakdown, which only accounts for the resident population, though.</w:t>
            </w:r>
          </w:p>
          <w:p w14:paraId="08D3B1BA"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3B9EDDEC" w14:textId="77777777" w:rsidTr="00B131B3">
        <w:trPr>
          <w:cantSplit/>
          <w:trHeight w:val="20"/>
        </w:trPr>
        <w:tc>
          <w:tcPr>
            <w:tcW w:w="4110" w:type="dxa"/>
            <w:shd w:val="clear" w:color="auto" w:fill="auto"/>
            <w:tcMar>
              <w:bottom w:w="240" w:type="dxa"/>
            </w:tcMar>
          </w:tcPr>
          <w:p w14:paraId="45F3F8DC" w14:textId="77777777" w:rsidR="009F3ED8" w:rsidRPr="00B131B3" w:rsidRDefault="009F3ED8" w:rsidP="00B131B3">
            <w:pPr>
              <w:pStyle w:val="SlimCell"/>
            </w:pPr>
          </w:p>
        </w:tc>
      </w:tr>
    </w:tbl>
    <w:p w14:paraId="58B483F2" w14:textId="77777777" w:rsidR="009F3ED8" w:rsidRPr="00B131B3" w:rsidRDefault="009F3ED8" w:rsidP="00B131B3">
      <w:r w:rsidRPr="00B131B3">
        <w:t>This attenuating trend continues in 2050-2060, when the demographic change would have a downward impact on pension expenditure in seven countries. The dependency ratio effect is the highest for Cyprus (+3.4 pps. of GDP), Luxembourg (+2.1 pps.) (</w:t>
      </w:r>
      <w:r w:rsidRPr="00B131B3">
        <w:rPr>
          <w:rStyle w:val="Referencafusnote"/>
        </w:rPr>
        <w:footnoteReference w:id="58"/>
      </w:r>
      <w:r w:rsidRPr="00B131B3">
        <w:t>) and Poland (+2 pps.). Finally, in 2060-2070, the demographic factor is expected to reduce pension expenditure in fourteen countries. Of the other countries only Luxembourg (+1.6 pps. of GDP) (</w:t>
      </w:r>
      <w:r w:rsidRPr="00B131B3">
        <w:rPr>
          <w:rStyle w:val="Referencafusnote"/>
        </w:rPr>
        <w:footnoteReference w:id="59"/>
      </w:r>
      <w:r w:rsidRPr="00B131B3">
        <w:t xml:space="preserve">) and Cyprus (+1.2 pps.) would see pension expenditure increase by more </w:t>
      </w:r>
      <w:r w:rsidRPr="00B131B3">
        <w:lastRenderedPageBreak/>
        <w:t>than 1 pp. of GDP as a result of a further increase in the dependency ratio.</w:t>
      </w:r>
    </w:p>
    <w:p w14:paraId="2036B342" w14:textId="77777777" w:rsidR="009F3ED8" w:rsidRPr="00B131B3" w:rsidRDefault="009F3ED8" w:rsidP="00B131B3">
      <w:pPr>
        <w:pStyle w:val="Heading"/>
      </w:pPr>
      <w:r w:rsidRPr="00B131B3">
        <w:t>Coverage ratio effect</w:t>
      </w:r>
    </w:p>
    <w:p w14:paraId="6D87A45F" w14:textId="77777777" w:rsidR="009F3ED8" w:rsidRPr="00B131B3" w:rsidRDefault="009F3ED8" w:rsidP="00B131B3">
      <w:r w:rsidRPr="00B131B3">
        <w:t xml:space="preserve">The coverage ratio expresses the number of pensioners in terms of the number of persons older than 65. It thus gives an idea about the extent to which a country grants pension benefits to people below the age of 65. As a result, reforms that eliminate or tighten access to early retirement, increase the statutory retirement age or, more generally, try to increase the effective retirement age (e.g. through a bonus-malus system), reduce the coverage ratio. </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79924763" w14:textId="77777777" w:rsidTr="00B131B3">
        <w:trPr>
          <w:cantSplit/>
          <w:trHeight w:val="20"/>
        </w:trPr>
        <w:tc>
          <w:tcPr>
            <w:tcW w:w="4110" w:type="dxa"/>
            <w:shd w:val="clear" w:color="auto" w:fill="auto"/>
          </w:tcPr>
          <w:p w14:paraId="07B9AF99" w14:textId="77777777" w:rsidR="009F3ED8" w:rsidRPr="00B131B3" w:rsidRDefault="009F3ED8" w:rsidP="00B131B3">
            <w:pPr>
              <w:pStyle w:val="SlimCell"/>
              <w:keepNext/>
            </w:pPr>
          </w:p>
        </w:tc>
      </w:tr>
      <w:tr w:rsidR="009F3ED8" w:rsidRPr="00B131B3" w14:paraId="7F363770" w14:textId="77777777" w:rsidTr="00B131B3">
        <w:trPr>
          <w:cantSplit/>
        </w:trPr>
        <w:tc>
          <w:tcPr>
            <w:tcW w:w="4110" w:type="dxa"/>
            <w:shd w:val="clear" w:color="auto" w:fill="auto"/>
          </w:tcPr>
          <w:p w14:paraId="7BC993C0" w14:textId="77777777" w:rsidR="009F3ED8" w:rsidRPr="00B131B3" w:rsidRDefault="009F3ED8" w:rsidP="00B131B3">
            <w:pPr>
              <w:pStyle w:val="TableTitle"/>
              <w:rPr>
                <w:b/>
              </w:rPr>
            </w:pPr>
            <w:r w:rsidRPr="00B131B3">
              <w:t>Table II.1.13:</w:t>
            </w:r>
            <w:r w:rsidRPr="00B131B3">
              <w:rPr>
                <w:b/>
              </w:rPr>
              <w:tab/>
              <w:t>Coverage ratio (% of population &gt;65y)</w:t>
            </w:r>
          </w:p>
        </w:tc>
      </w:tr>
      <w:tr w:rsidR="009F3ED8" w:rsidRPr="00B131B3" w14:paraId="531EC517" w14:textId="77777777" w:rsidTr="00B131B3">
        <w:trPr>
          <w:cantSplit/>
        </w:trPr>
        <w:tc>
          <w:tcPr>
            <w:tcW w:w="4110" w:type="dxa"/>
            <w:shd w:val="clear" w:color="auto" w:fill="auto"/>
          </w:tcPr>
          <w:p w14:paraId="5DF9CC48" w14:textId="77777777" w:rsidR="009F3ED8" w:rsidRPr="00B131B3" w:rsidRDefault="009F3ED8" w:rsidP="00B131B3">
            <w:pPr>
              <w:pStyle w:val="TableShape"/>
              <w:rPr>
                <w:sz w:val="2"/>
              </w:rPr>
            </w:pPr>
            <w:r w:rsidRPr="00B131B3">
              <w:fldChar w:fldCharType="begin"/>
            </w:r>
            <w:r w:rsidRPr="009F3ED8">
              <w:instrText xml:space="preserve"> TC "</w:instrText>
            </w:r>
            <w:bookmarkStart w:id="134" w:name="_Toc511664532"/>
            <w:r w:rsidRPr="009F3ED8">
              <w:instrText>II.1.13.</w:instrText>
            </w:r>
            <w:r w:rsidRPr="009F3ED8">
              <w:tab/>
              <w:instrText>Coverage ratio (% of population &gt;65y)</w:instrText>
            </w:r>
            <w:bookmarkEnd w:id="134"/>
            <w:r w:rsidRPr="009F3ED8">
              <w:instrText xml:space="preserve">" \ftable \l 5 </w:instrText>
            </w:r>
            <w:r w:rsidRPr="00B131B3">
              <w:fldChar w:fldCharType="end"/>
            </w:r>
            <w:r w:rsidRPr="00B131B3">
              <w:rPr>
                <w:noProof/>
                <w:sz w:val="2"/>
                <w:lang w:val="hr-HR" w:eastAsia="hr-HR"/>
              </w:rPr>
              <w:drawing>
                <wp:inline distT="0" distB="0" distL="0" distR="0" wp14:anchorId="0D0FE161" wp14:editId="3545F3DF">
                  <wp:extent cx="2597595" cy="2842699"/>
                  <wp:effectExtent l="0" t="0" r="0" b="0"/>
                  <wp:docPr id="49" name="Picture 49" descr="&lt;nbr&gt;&lt;GETTEXTFROMWORD&gt;&lt;/nbr&gt;&#10;&lt;title&gt;&lt;GETTEXTFROMWORD&gt;&lt;/title&gt;&#10;&lt;id&gt;417c6e3a-9937-46cf-8b9a-96b70429597b&lt;/id&gt;&#10;&lt;srcType&gt;EXCEL&lt;/srcType&gt;&#10;&lt;srcPath&gt;U:\Budgetary projections 2018\Reports\2018 AR\Tables_and_graphs\Part II Chapter 1\&lt;/srcPath&gt;&#10;&lt;srcName&gt;Tables_graphs_projections.xlsx&lt;/srcName&gt;&#10;&lt;type&gt;table&lt;/type&gt;&#10; &lt;srcSheet&gt;Table 20&lt;/srcSheet&gt;&#10; &lt;srcRange&gt;R2C2:R34C10&lt;/srcRang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97595" cy="2842699"/>
                          </a:xfrm>
                          <a:prstGeom prst="rect">
                            <a:avLst/>
                          </a:prstGeom>
                          <a:noFill/>
                          <a:ln>
                            <a:noFill/>
                          </a:ln>
                        </pic:spPr>
                      </pic:pic>
                    </a:graphicData>
                  </a:graphic>
                </wp:inline>
              </w:drawing>
            </w:r>
          </w:p>
        </w:tc>
      </w:tr>
      <w:tr w:rsidR="009F3ED8" w:rsidRPr="00B131B3" w14:paraId="0F38815F" w14:textId="77777777" w:rsidTr="00B131B3">
        <w:trPr>
          <w:cantSplit/>
        </w:trPr>
        <w:tc>
          <w:tcPr>
            <w:tcW w:w="4110" w:type="dxa"/>
            <w:shd w:val="clear" w:color="auto" w:fill="auto"/>
          </w:tcPr>
          <w:p w14:paraId="5E7BE283" w14:textId="77777777" w:rsidR="009F3ED8" w:rsidRDefault="009F3ED8" w:rsidP="00B131B3">
            <w:pPr>
              <w:pStyle w:val="TableFootnote"/>
            </w:pPr>
            <w:r>
              <w:t>(1) The coverage ratio is calculated as the total number of public pensioners as a share of the population 65 and over. In case the number of pensioners was not provided, the number of pensions was used as a proxy.</w:t>
            </w:r>
          </w:p>
          <w:p w14:paraId="51ADAFA7"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5F4EBDB7" w14:textId="77777777" w:rsidTr="00B131B3">
        <w:trPr>
          <w:cantSplit/>
          <w:trHeight w:val="20"/>
        </w:trPr>
        <w:tc>
          <w:tcPr>
            <w:tcW w:w="4110" w:type="dxa"/>
            <w:shd w:val="clear" w:color="auto" w:fill="auto"/>
            <w:tcMar>
              <w:bottom w:w="240" w:type="dxa"/>
            </w:tcMar>
          </w:tcPr>
          <w:p w14:paraId="05C7DBFA" w14:textId="77777777" w:rsidR="009F3ED8" w:rsidRPr="00B131B3" w:rsidRDefault="009F3ED8" w:rsidP="00B131B3">
            <w:pPr>
              <w:pStyle w:val="SlimCell"/>
            </w:pPr>
          </w:p>
        </w:tc>
      </w:tr>
    </w:tbl>
    <w:p w14:paraId="6AD102A6" w14:textId="77777777" w:rsidR="009F3ED8" w:rsidRPr="00B131B3" w:rsidRDefault="009F3ED8" w:rsidP="00B131B3">
      <w:r w:rsidRPr="00B131B3">
        <w:t xml:space="preserve">In the EU, the coverage ratio is projected to fall by 23 pps. between 2016 and 2070, mostly in the period up to 2040 (see Table </w:t>
      </w:r>
      <w:r w:rsidRPr="00B131B3">
        <w:fldChar w:fldCharType="begin"/>
      </w:r>
      <w:r w:rsidRPr="00B131B3">
        <w:instrText xml:space="preserve"> QUOTE "II.1.13"</w:instrText>
      </w:r>
      <w:r w:rsidRPr="00B131B3">
        <w:fldChar w:fldCharType="begin">
          <w:fldData xml:space="preserve">QwBSAE8AUwBTAFIARQBGAEUAUgBFAE4AQwBFACoAVABBAEIATABFACoANAAxADcAYwA2AGUAMwBh
AC0AOQA5ADMANwAtADQANgBjAGYALQA4AGIAOQBhAC0AOQA2AGIANwAwADQAMgA5ADUAOQA3AGIA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II.1.13</w:t>
      </w:r>
      <w:r w:rsidRPr="00B131B3">
        <w:fldChar w:fldCharType="end"/>
      </w:r>
      <w:r w:rsidRPr="00B131B3">
        <w:t xml:space="preserve">). It would only increase in Sweden and Malta. A decrease by more than 35 pps. is expected for Slovakia, Estonia, Denmark, Croatia, Bulgaria, Latvia, the Netherlands and Poland. </w:t>
      </w:r>
    </w:p>
    <w:p w14:paraId="6F5F8D18" w14:textId="77777777" w:rsidR="009F3ED8" w:rsidRPr="00B131B3" w:rsidRDefault="009F3ED8" w:rsidP="00B131B3">
      <w:r w:rsidRPr="00B131B3">
        <w:t xml:space="preserve">The projected contribution of variations in the coverage ratio to changes in the pension expenditure-to-GDP ratio is shown in Table </w:t>
      </w:r>
      <w:r w:rsidRPr="00B131B3">
        <w:lastRenderedPageBreak/>
        <w:fldChar w:fldCharType="begin"/>
      </w:r>
      <w:r w:rsidRPr="00B131B3">
        <w:instrText xml:space="preserve"> QUOTE "II.1.14"</w:instrText>
      </w:r>
      <w:r w:rsidRPr="00B131B3">
        <w:fldChar w:fldCharType="begin">
          <w:fldData xml:space="preserve">QwBSAE8AUwBTAFIARQBGAEUAUgBFAE4AQwBFACoAVABBAEIATABFACoAYgA4AGUAOQBhAGYAZQBm
AC0AMgA1AGEAYgAtADQAOAA2AGIALQBhADUAMwA0AC0AZgA0ADgANwA4ADMAYQBhADgANgAzAGYA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II.1.14</w:t>
      </w:r>
      <w:r w:rsidRPr="00B131B3">
        <w:fldChar w:fldCharType="end"/>
      </w:r>
      <w:r w:rsidRPr="00B131B3">
        <w:t xml:space="preserve">, split out per decade. It reduces pension expenditure especially in the first decades of the projections (2016-2050), with minor upward pressure in the cases of Malta and Sweden. In 2050-2060 and 2060-2070 the average impact is close to zero. </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12B8CC98" w14:textId="77777777" w:rsidTr="00B131B3">
        <w:trPr>
          <w:cantSplit/>
          <w:trHeight w:val="20"/>
        </w:trPr>
        <w:tc>
          <w:tcPr>
            <w:tcW w:w="4110" w:type="dxa"/>
            <w:shd w:val="clear" w:color="auto" w:fill="auto"/>
          </w:tcPr>
          <w:p w14:paraId="3FB4B60C" w14:textId="77777777" w:rsidR="009F3ED8" w:rsidRPr="00B131B3" w:rsidRDefault="009F3ED8" w:rsidP="00B131B3">
            <w:pPr>
              <w:pStyle w:val="SlimCell"/>
              <w:keepNext/>
            </w:pPr>
          </w:p>
        </w:tc>
      </w:tr>
      <w:tr w:rsidR="009F3ED8" w:rsidRPr="00B131B3" w14:paraId="119B93AD" w14:textId="77777777" w:rsidTr="00B131B3">
        <w:trPr>
          <w:cantSplit/>
        </w:trPr>
        <w:tc>
          <w:tcPr>
            <w:tcW w:w="4110" w:type="dxa"/>
            <w:shd w:val="clear" w:color="auto" w:fill="auto"/>
          </w:tcPr>
          <w:p w14:paraId="568D9BB7" w14:textId="77777777" w:rsidR="009F3ED8" w:rsidRPr="00B131B3" w:rsidRDefault="009F3ED8" w:rsidP="00B131B3">
            <w:pPr>
              <w:pStyle w:val="TableTitle"/>
              <w:rPr>
                <w:b/>
              </w:rPr>
            </w:pPr>
            <w:r w:rsidRPr="00B131B3">
              <w:t>Table II.1.14:</w:t>
            </w:r>
            <w:r w:rsidRPr="00B131B3">
              <w:rPr>
                <w:b/>
              </w:rPr>
              <w:tab/>
              <w:t>Contribution of the coverage ratio effect to the change in public pension expenditure (pps. of GDP)</w:t>
            </w:r>
          </w:p>
        </w:tc>
      </w:tr>
      <w:tr w:rsidR="009F3ED8" w:rsidRPr="00B131B3" w14:paraId="0E5B3AAA" w14:textId="77777777" w:rsidTr="00B131B3">
        <w:trPr>
          <w:cantSplit/>
        </w:trPr>
        <w:tc>
          <w:tcPr>
            <w:tcW w:w="4110" w:type="dxa"/>
            <w:shd w:val="clear" w:color="auto" w:fill="auto"/>
          </w:tcPr>
          <w:p w14:paraId="187CFF4F" w14:textId="77777777" w:rsidR="009F3ED8" w:rsidRPr="00B131B3" w:rsidRDefault="009F3ED8" w:rsidP="00B131B3">
            <w:pPr>
              <w:pStyle w:val="TableShape"/>
              <w:rPr>
                <w:sz w:val="2"/>
              </w:rPr>
            </w:pPr>
            <w:r w:rsidRPr="00B131B3">
              <w:fldChar w:fldCharType="begin"/>
            </w:r>
            <w:r w:rsidRPr="009F3ED8">
              <w:instrText xml:space="preserve"> TC "</w:instrText>
            </w:r>
            <w:bookmarkStart w:id="135" w:name="_Toc511664533"/>
            <w:r w:rsidRPr="009F3ED8">
              <w:instrText>II.1.14.</w:instrText>
            </w:r>
            <w:r w:rsidRPr="009F3ED8">
              <w:tab/>
              <w:instrText>Contribution of the coverage ratio effect to the change in public pension expenditure (pps. of GDP)</w:instrText>
            </w:r>
            <w:bookmarkEnd w:id="135"/>
            <w:r w:rsidRPr="009F3ED8">
              <w:instrText xml:space="preserve">" \ftable \l 5 </w:instrText>
            </w:r>
            <w:r w:rsidRPr="00B131B3">
              <w:fldChar w:fldCharType="end"/>
            </w:r>
            <w:r w:rsidRPr="00B131B3">
              <w:rPr>
                <w:noProof/>
                <w:sz w:val="2"/>
                <w:lang w:val="hr-HR" w:eastAsia="hr-HR"/>
              </w:rPr>
              <w:drawing>
                <wp:inline distT="0" distB="0" distL="0" distR="0" wp14:anchorId="57A97D3D" wp14:editId="1C367517">
                  <wp:extent cx="2597595" cy="3001369"/>
                  <wp:effectExtent l="0" t="0" r="0" b="8890"/>
                  <wp:docPr id="48" name="Picture 48" descr="&lt;nbr&gt;&lt;GETTEXTFROMWORD&gt;&lt;/nbr&gt;&#10;&lt;title&gt;&lt;GETTEXTFROMWORD&gt;&lt;/title&gt;&#10;&lt;id&gt;b8e9afef-25ab-486b-a534-f48783aa863f&lt;/id&gt;&#10;&lt;srcType&gt;EXCEL&lt;/srcType&gt;&#10;&lt;srcPath&gt;U:\Budgetary projections 2018\Reports\2018 AR\Tables_and_graphs\Part II Chapter 1\&lt;/srcPath&gt;&#10;&lt;srcName&gt;Tables_graphs_projections.xlsx&lt;/srcName&gt;&#10;&lt;type&gt;table&lt;/type&gt;&#10; &lt;srcSheet&gt;Table 21&lt;/srcSheet&gt;&#10; &lt;srcRange&gt;R2C2:R37C9&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597595" cy="3001369"/>
                          </a:xfrm>
                          <a:prstGeom prst="rect">
                            <a:avLst/>
                          </a:prstGeom>
                          <a:noFill/>
                          <a:ln>
                            <a:noFill/>
                          </a:ln>
                        </pic:spPr>
                      </pic:pic>
                    </a:graphicData>
                  </a:graphic>
                </wp:inline>
              </w:drawing>
            </w:r>
          </w:p>
        </w:tc>
      </w:tr>
      <w:tr w:rsidR="009F3ED8" w:rsidRPr="00B131B3" w14:paraId="0ADAB287" w14:textId="77777777" w:rsidTr="00B131B3">
        <w:trPr>
          <w:cantSplit/>
        </w:trPr>
        <w:tc>
          <w:tcPr>
            <w:tcW w:w="4110" w:type="dxa"/>
            <w:shd w:val="clear" w:color="auto" w:fill="auto"/>
          </w:tcPr>
          <w:p w14:paraId="5CE651BD"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2528B9DB" w14:textId="77777777" w:rsidTr="00B131B3">
        <w:trPr>
          <w:cantSplit/>
          <w:trHeight w:val="20"/>
        </w:trPr>
        <w:tc>
          <w:tcPr>
            <w:tcW w:w="4110" w:type="dxa"/>
            <w:shd w:val="clear" w:color="auto" w:fill="auto"/>
            <w:tcMar>
              <w:bottom w:w="240" w:type="dxa"/>
            </w:tcMar>
          </w:tcPr>
          <w:p w14:paraId="02FFA9FB" w14:textId="77777777" w:rsidR="009F3ED8" w:rsidRPr="00B131B3" w:rsidRDefault="009F3ED8" w:rsidP="00B131B3">
            <w:pPr>
              <w:pStyle w:val="SlimCell"/>
            </w:pPr>
          </w:p>
        </w:tc>
      </w:tr>
    </w:tbl>
    <w:p w14:paraId="266EDED4" w14:textId="77777777" w:rsidR="009F3ED8" w:rsidRPr="00B131B3" w:rsidRDefault="009F3ED8" w:rsidP="00B131B3">
      <w:pPr>
        <w:pStyle w:val="Heading"/>
      </w:pPr>
      <w:r w:rsidRPr="00B131B3">
        <w:t>Benefit ratio effect</w:t>
      </w:r>
    </w:p>
    <w:p w14:paraId="06673473" w14:textId="77777777" w:rsidR="009F3ED8" w:rsidRPr="00B131B3" w:rsidRDefault="009F3ED8" w:rsidP="00B131B3">
      <w:r w:rsidRPr="00B131B3">
        <w:t>Future pension expenditure is impacted by the way in which pension benefits are adjusted for inflation and productivity gains. The same holds, for example, for the valorisation of acquired pension rights, accrual rates and conditions for enjoying full pension benefits. Together these design features determine the generosity of the pensions system, which is measured through the benefit ratio. The latter expresses the average pension income in terms of the average wage. A lower relative generosity of pensions as a result of parametric reforms is thus reflected in a lower benefit ratio. Section 1.6.2 takes a closer look at benefit ratios.</w:t>
      </w:r>
    </w:p>
    <w:p w14:paraId="4053D38E" w14:textId="77777777" w:rsidR="009F3ED8" w:rsidRPr="00B131B3" w:rsidRDefault="009F3ED8" w:rsidP="00B131B3">
      <w:r w:rsidRPr="00B131B3">
        <w:t xml:space="preserve">Table </w:t>
      </w:r>
      <w:r w:rsidRPr="00B131B3">
        <w:fldChar w:fldCharType="begin"/>
      </w:r>
      <w:r w:rsidRPr="00B131B3">
        <w:instrText xml:space="preserve"> QUOTE "II.1.15"</w:instrText>
      </w:r>
      <w:r w:rsidRPr="00B131B3">
        <w:fldChar w:fldCharType="begin">
          <w:fldData xml:space="preserve">QwBSAE8AUwBTAFIARQBGAEUAUgBFAE4AQwBFACoAVABBAEIATABFACoAOQAxADYAMABhADMAZABj
AC0AZAA4ADQAMwAtADQAYgBlAGQALQA4ADIAOAA4AC0AYgAyADcAMwBmAGEAYwA2ADYAYQA1ADAA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II.1.15</w:t>
      </w:r>
      <w:r w:rsidRPr="00B131B3">
        <w:fldChar w:fldCharType="end"/>
      </w:r>
      <w:r w:rsidRPr="00B131B3">
        <w:t xml:space="preserve"> shows the benefit ratio effect, i.e. the increase or decrease of public pension expenditure that is the result of changes in the benefit ratio. Over the entire projection horizon, the generosity </w:t>
      </w:r>
      <w:r w:rsidRPr="00B131B3">
        <w:lastRenderedPageBreak/>
        <w:t>of the pension system would be a neutral factor for the Netherlands and the United Kingdom, whereas it would reduce pension spending by 3.3 pps. of GDP on average in the EU. The benefit ratio has the largest downward impact on pension expenditure by 2070 in Greece (-8.3 pps. of GDP), Poland (</w:t>
      </w:r>
      <w:r w:rsidRPr="00B131B3">
        <w:noBreakHyphen/>
        <w:t>8.1 pps.) and Portugal (-7.1 pps.). Aside from the Netherlands and the United Kingdom, the downward contribution from the benefit ratio effect would be the smallest for Ireland, Slovenia, the Czech Republic, Luxembourg and Belgium, at 0.7% of GDP or less.</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56350F78" w14:textId="77777777" w:rsidTr="00B131B3">
        <w:trPr>
          <w:cantSplit/>
          <w:trHeight w:val="20"/>
        </w:trPr>
        <w:tc>
          <w:tcPr>
            <w:tcW w:w="4110" w:type="dxa"/>
            <w:shd w:val="clear" w:color="auto" w:fill="auto"/>
          </w:tcPr>
          <w:p w14:paraId="6AE7B5C4" w14:textId="77777777" w:rsidR="009F3ED8" w:rsidRPr="00B131B3" w:rsidRDefault="009F3ED8" w:rsidP="00B131B3">
            <w:pPr>
              <w:pStyle w:val="SlimCell"/>
              <w:keepNext/>
            </w:pPr>
          </w:p>
        </w:tc>
      </w:tr>
      <w:tr w:rsidR="009F3ED8" w:rsidRPr="00B131B3" w14:paraId="19E92B1D" w14:textId="77777777" w:rsidTr="00B131B3">
        <w:trPr>
          <w:cantSplit/>
        </w:trPr>
        <w:tc>
          <w:tcPr>
            <w:tcW w:w="4110" w:type="dxa"/>
            <w:shd w:val="clear" w:color="auto" w:fill="auto"/>
          </w:tcPr>
          <w:p w14:paraId="4C9F64C1" w14:textId="77777777" w:rsidR="009F3ED8" w:rsidRPr="00B131B3" w:rsidRDefault="009F3ED8" w:rsidP="00B131B3">
            <w:pPr>
              <w:pStyle w:val="TableTitle"/>
              <w:rPr>
                <w:b/>
              </w:rPr>
            </w:pPr>
            <w:r w:rsidRPr="00B131B3">
              <w:t>Table II.1.15:</w:t>
            </w:r>
            <w:r w:rsidRPr="00B131B3">
              <w:rPr>
                <w:b/>
              </w:rPr>
              <w:tab/>
              <w:t>Contribution of the benefit ratio effect to the change in public pension expenditure (pps. of GDP)</w:t>
            </w:r>
          </w:p>
        </w:tc>
      </w:tr>
      <w:tr w:rsidR="009F3ED8" w:rsidRPr="00B131B3" w14:paraId="0C0BCA6B" w14:textId="77777777" w:rsidTr="00B131B3">
        <w:trPr>
          <w:cantSplit/>
        </w:trPr>
        <w:tc>
          <w:tcPr>
            <w:tcW w:w="4110" w:type="dxa"/>
            <w:shd w:val="clear" w:color="auto" w:fill="auto"/>
          </w:tcPr>
          <w:p w14:paraId="2127B9B3" w14:textId="77777777" w:rsidR="009F3ED8" w:rsidRPr="00B131B3" w:rsidRDefault="009F3ED8" w:rsidP="00B131B3">
            <w:pPr>
              <w:pStyle w:val="TableShape"/>
              <w:rPr>
                <w:sz w:val="2"/>
              </w:rPr>
            </w:pPr>
            <w:r w:rsidRPr="00B131B3">
              <w:fldChar w:fldCharType="begin"/>
            </w:r>
            <w:r w:rsidRPr="009F3ED8">
              <w:instrText xml:space="preserve"> TC "</w:instrText>
            </w:r>
            <w:bookmarkStart w:id="136" w:name="_Toc511664534"/>
            <w:r w:rsidRPr="009F3ED8">
              <w:instrText>II.1.15.</w:instrText>
            </w:r>
            <w:r w:rsidRPr="009F3ED8">
              <w:tab/>
              <w:instrText>Contribution of the benefit ratio effect to the change in public pension expenditure (pps. of GDP)</w:instrText>
            </w:r>
            <w:bookmarkEnd w:id="136"/>
            <w:r w:rsidRPr="009F3ED8">
              <w:instrText xml:space="preserve">" \ftable \l 5 </w:instrText>
            </w:r>
            <w:r w:rsidRPr="00B131B3">
              <w:fldChar w:fldCharType="end"/>
            </w:r>
            <w:r w:rsidRPr="00B131B3">
              <w:rPr>
                <w:noProof/>
                <w:sz w:val="2"/>
                <w:lang w:val="hr-HR" w:eastAsia="hr-HR"/>
              </w:rPr>
              <w:drawing>
                <wp:inline distT="0" distB="0" distL="0" distR="0" wp14:anchorId="7036A45B" wp14:editId="7B4C2F51">
                  <wp:extent cx="2597595" cy="3001369"/>
                  <wp:effectExtent l="0" t="0" r="0" b="8890"/>
                  <wp:docPr id="930" name="Picture 930" descr="&lt;nbr&gt;&lt;GETTEXTFROMWORD&gt;&lt;/nbr&gt;&#10;&lt;title&gt;&lt;GETTEXTFROMWORD&gt;&lt;/title&gt;&#10;&lt;id&gt;9160a3dc-d843-4bed-8288-b273fac66a50&lt;/id&gt;&#10;&lt;srcType&gt;EXCEL&lt;/srcType&gt;&#10;&lt;srcPath&gt;U:\Budgetary projections 2018\Reports\2018 AR\Tables_and_graphs\Part II Chapter 1\&lt;/srcPath&gt;&#10;&lt;srcName&gt;Tables_graphs_projections.xlsx&lt;/srcName&gt;&#10;&lt;type&gt;table&lt;/type&gt;&#10; &lt;srcSheet&gt;Table 22&lt;/srcSheet&gt;&#10; &lt;srcRange&gt;R2C2:R37C9&lt;/srcRang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597595" cy="3001369"/>
                          </a:xfrm>
                          <a:prstGeom prst="rect">
                            <a:avLst/>
                          </a:prstGeom>
                          <a:noFill/>
                          <a:ln>
                            <a:noFill/>
                          </a:ln>
                        </pic:spPr>
                      </pic:pic>
                    </a:graphicData>
                  </a:graphic>
                </wp:inline>
              </w:drawing>
            </w:r>
          </w:p>
        </w:tc>
      </w:tr>
      <w:tr w:rsidR="009F3ED8" w:rsidRPr="00B131B3" w14:paraId="648A0578" w14:textId="77777777" w:rsidTr="00B131B3">
        <w:trPr>
          <w:cantSplit/>
        </w:trPr>
        <w:tc>
          <w:tcPr>
            <w:tcW w:w="4110" w:type="dxa"/>
            <w:shd w:val="clear" w:color="auto" w:fill="auto"/>
          </w:tcPr>
          <w:p w14:paraId="3B611BCD" w14:textId="77777777" w:rsidR="009F3ED8" w:rsidRDefault="009F3ED8" w:rsidP="00B131B3">
            <w:pPr>
              <w:pStyle w:val="TableFootnote"/>
            </w:pPr>
            <w:r>
              <w:t xml:space="preserve">(1) LU: the alternative benefit ratio effect (see comment Table II.1.11) results in contributions that hover around zero for the respective time periods, with a total of </w:t>
            </w:r>
            <w:r>
              <w:noBreakHyphen/>
              <w:t>0.1 pps. of GDP in 2016-2070.</w:t>
            </w:r>
          </w:p>
          <w:p w14:paraId="17745267"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1C1749D1" w14:textId="77777777" w:rsidTr="00B131B3">
        <w:trPr>
          <w:cantSplit/>
          <w:trHeight w:val="20"/>
        </w:trPr>
        <w:tc>
          <w:tcPr>
            <w:tcW w:w="4110" w:type="dxa"/>
            <w:shd w:val="clear" w:color="auto" w:fill="auto"/>
            <w:tcMar>
              <w:bottom w:w="240" w:type="dxa"/>
            </w:tcMar>
          </w:tcPr>
          <w:p w14:paraId="1E00B472" w14:textId="77777777" w:rsidR="009F3ED8" w:rsidRPr="00B131B3" w:rsidRDefault="009F3ED8" w:rsidP="00B131B3">
            <w:pPr>
              <w:pStyle w:val="SlimCell"/>
            </w:pPr>
          </w:p>
        </w:tc>
      </w:tr>
    </w:tbl>
    <w:p w14:paraId="44778695" w14:textId="77777777" w:rsidR="009F3ED8" w:rsidRPr="00B131B3" w:rsidRDefault="009F3ED8" w:rsidP="00B131B3">
      <w:r w:rsidRPr="00B131B3">
        <w:t>In the period 2016-2030 pension benefits rising faster than wages would cause the pension expenditure ratio to rise in two countries: Italy (+1.7 pps. of GDP) and Belgium (+0.5 pps.). Conversely, pension spending is projected to reduce in 2016-2030 by 4.2 pps. of GDP in Greece, 2.6 pps. in Poland, 2.3 pps. in Latvia and Romania, and 2.2 pps. in Malta, compared to a downward impact of 0.8 pps. of GDP for the EU as a whole.</w:t>
      </w:r>
    </w:p>
    <w:p w14:paraId="3872C9B0" w14:textId="77777777" w:rsidR="009F3ED8" w:rsidRPr="00B131B3" w:rsidRDefault="009F3ED8" w:rsidP="00B131B3">
      <w:r w:rsidRPr="00B131B3">
        <w:lastRenderedPageBreak/>
        <w:t>From 2030 to 2070 more generous pension systems would increase pension expenditure by maximum 0.5 pps. of GDP in a limited number of countries. The exception is Spain, where in 2060-2070 a higher benefit ratio would cause pension spending to increase by 1.1 pps. of GDP, though this follows an expenditure-decreasing impact of almost 6 pps. of GDP in the preceding decades (</w:t>
      </w:r>
      <w:r w:rsidRPr="00B131B3">
        <w:rPr>
          <w:rStyle w:val="Referencafusnote"/>
        </w:rPr>
        <w:footnoteReference w:id="60"/>
      </w:r>
      <w:r w:rsidRPr="00B131B3">
        <w:t>). Between 2030 and 2070 the benefit ratio effect is the most negative in 2040-2050, at -1 pp. of GDP for the EU as a whole, -2.7 pps. for Italy and Portugal, and -2 pps. for Cyprus.</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4F546D45" w14:textId="77777777" w:rsidTr="00B131B3">
        <w:trPr>
          <w:cantSplit/>
          <w:trHeight w:val="20"/>
        </w:trPr>
        <w:tc>
          <w:tcPr>
            <w:tcW w:w="4110" w:type="dxa"/>
            <w:shd w:val="clear" w:color="auto" w:fill="auto"/>
          </w:tcPr>
          <w:p w14:paraId="26B02A53" w14:textId="77777777" w:rsidR="009F3ED8" w:rsidRPr="00B131B3" w:rsidRDefault="009F3ED8" w:rsidP="00B131B3">
            <w:pPr>
              <w:pStyle w:val="SlimCell"/>
              <w:keepNext/>
            </w:pPr>
          </w:p>
        </w:tc>
      </w:tr>
      <w:tr w:rsidR="009F3ED8" w:rsidRPr="00B131B3" w14:paraId="564D6621" w14:textId="77777777" w:rsidTr="00B131B3">
        <w:trPr>
          <w:cantSplit/>
        </w:trPr>
        <w:tc>
          <w:tcPr>
            <w:tcW w:w="4110" w:type="dxa"/>
            <w:shd w:val="clear" w:color="auto" w:fill="auto"/>
          </w:tcPr>
          <w:p w14:paraId="74F0D5F7" w14:textId="77777777" w:rsidR="009F3ED8" w:rsidRPr="00B131B3" w:rsidRDefault="009F3ED8" w:rsidP="00B131B3">
            <w:pPr>
              <w:pStyle w:val="TableTitle"/>
              <w:rPr>
                <w:b/>
              </w:rPr>
            </w:pPr>
            <w:r w:rsidRPr="00B131B3">
              <w:t>Table II.1.16:</w:t>
            </w:r>
            <w:r w:rsidRPr="00B131B3">
              <w:rPr>
                <w:b/>
              </w:rPr>
              <w:tab/>
              <w:t>Contribution of the labour market effect to the change in public pension expenditure (pps. of GDP)</w:t>
            </w:r>
          </w:p>
        </w:tc>
      </w:tr>
      <w:tr w:rsidR="009F3ED8" w:rsidRPr="00B131B3" w14:paraId="19D7BDA6" w14:textId="77777777" w:rsidTr="00B131B3">
        <w:trPr>
          <w:cantSplit/>
        </w:trPr>
        <w:tc>
          <w:tcPr>
            <w:tcW w:w="4110" w:type="dxa"/>
            <w:shd w:val="clear" w:color="auto" w:fill="auto"/>
          </w:tcPr>
          <w:p w14:paraId="7253F480" w14:textId="77777777" w:rsidR="009F3ED8" w:rsidRPr="00B131B3" w:rsidRDefault="009F3ED8" w:rsidP="00B131B3">
            <w:pPr>
              <w:pStyle w:val="TableShape"/>
              <w:rPr>
                <w:sz w:val="2"/>
              </w:rPr>
            </w:pPr>
            <w:r w:rsidRPr="00B131B3">
              <w:fldChar w:fldCharType="begin"/>
            </w:r>
            <w:r w:rsidRPr="009F3ED8">
              <w:instrText xml:space="preserve"> TC "</w:instrText>
            </w:r>
            <w:bookmarkStart w:id="137" w:name="_Toc511664535"/>
            <w:r w:rsidRPr="009F3ED8">
              <w:instrText>II.1.16.</w:instrText>
            </w:r>
            <w:r w:rsidRPr="009F3ED8">
              <w:tab/>
              <w:instrText>Contribution of the labour market effect to the change in public pension expenditure (pps. of GDP)</w:instrText>
            </w:r>
            <w:bookmarkEnd w:id="137"/>
            <w:r w:rsidRPr="009F3ED8">
              <w:instrText xml:space="preserve">" \ftable \l 5 </w:instrText>
            </w:r>
            <w:r w:rsidRPr="00B131B3">
              <w:fldChar w:fldCharType="end"/>
            </w:r>
            <w:r w:rsidRPr="00B131B3">
              <w:rPr>
                <w:noProof/>
                <w:sz w:val="2"/>
                <w:lang w:val="hr-HR" w:eastAsia="hr-HR"/>
              </w:rPr>
              <w:drawing>
                <wp:inline distT="0" distB="0" distL="0" distR="0" wp14:anchorId="34C024CC" wp14:editId="4A506F04">
                  <wp:extent cx="2597595" cy="3001369"/>
                  <wp:effectExtent l="0" t="0" r="0" b="8890"/>
                  <wp:docPr id="931" name="Picture 931" descr="&lt;nbr&gt;&lt;GETTEXTFROMWORD&gt;&lt;/nbr&gt;&#10;&lt;title&gt;&lt;GETTEXTFROMWORD&gt;&lt;/title&gt;&#10;&lt;id&gt;5963c24d-302c-46ac-bee6-674004e1a75b&lt;/id&gt;&#10;&lt;srcType&gt;EXCEL&lt;/srcType&gt;&#10;&lt;srcPath&gt;U:\Budgetary projections 2018\Reports\2018 AR\Tables_and_graphs\Part II Chapter 1\&lt;/srcPath&gt;&#10;&lt;srcName&gt;Tables_graphs_projections.xlsx&lt;/srcName&gt;&#10;&lt;type&gt;table&lt;/type&gt;&#10; &lt;srcSheet&gt;Table 23&lt;/srcSheet&gt;&#10; &lt;srcRange&gt;R2C2:R37C9&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597595" cy="3001369"/>
                          </a:xfrm>
                          <a:prstGeom prst="rect">
                            <a:avLst/>
                          </a:prstGeom>
                          <a:noFill/>
                          <a:ln>
                            <a:noFill/>
                          </a:ln>
                        </pic:spPr>
                      </pic:pic>
                    </a:graphicData>
                  </a:graphic>
                </wp:inline>
              </w:drawing>
            </w:r>
          </w:p>
        </w:tc>
      </w:tr>
      <w:tr w:rsidR="009F3ED8" w:rsidRPr="00B131B3" w14:paraId="23DF64AB" w14:textId="77777777" w:rsidTr="00B131B3">
        <w:trPr>
          <w:cantSplit/>
        </w:trPr>
        <w:tc>
          <w:tcPr>
            <w:tcW w:w="4110" w:type="dxa"/>
            <w:shd w:val="clear" w:color="auto" w:fill="auto"/>
          </w:tcPr>
          <w:p w14:paraId="0493598F"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5FD9F95E" w14:textId="77777777" w:rsidTr="00B131B3">
        <w:trPr>
          <w:cantSplit/>
          <w:trHeight w:val="20"/>
        </w:trPr>
        <w:tc>
          <w:tcPr>
            <w:tcW w:w="4110" w:type="dxa"/>
            <w:shd w:val="clear" w:color="auto" w:fill="auto"/>
            <w:tcMar>
              <w:bottom w:w="240" w:type="dxa"/>
            </w:tcMar>
          </w:tcPr>
          <w:p w14:paraId="4C25C3EB" w14:textId="77777777" w:rsidR="009F3ED8" w:rsidRPr="00B131B3" w:rsidRDefault="009F3ED8" w:rsidP="00B131B3">
            <w:pPr>
              <w:pStyle w:val="SlimCell"/>
            </w:pPr>
          </w:p>
        </w:tc>
      </w:tr>
    </w:tbl>
    <w:p w14:paraId="484073AC" w14:textId="77777777" w:rsidR="009F3ED8" w:rsidRPr="00B131B3" w:rsidRDefault="009F3ED8" w:rsidP="00B131B3">
      <w:pPr>
        <w:pStyle w:val="Heading"/>
      </w:pPr>
      <w:r w:rsidRPr="00B131B3">
        <w:t>Labour market effect</w:t>
      </w:r>
    </w:p>
    <w:p w14:paraId="6BA2763B" w14:textId="77777777" w:rsidR="009F3ED8" w:rsidRPr="00B131B3" w:rsidRDefault="009F3ED8" w:rsidP="00B131B3">
      <w:r w:rsidRPr="00B131B3">
        <w:t xml:space="preserve">Policy measures to permanently lift employment increase the economic growth potential and expand the contribution base. Moreover, when employment increases for older age groups, this leads to higher effective retirement ages and a shorter pension spell. Such labour market reforms thus potentially bear multiple gains with respect to the sustainability of pension systems. </w:t>
      </w:r>
    </w:p>
    <w:p w14:paraId="529EB316" w14:textId="77777777" w:rsidR="009F3ED8" w:rsidRPr="00B131B3" w:rsidRDefault="009F3ED8" w:rsidP="00B131B3">
      <w:r w:rsidRPr="00B131B3">
        <w:lastRenderedPageBreak/>
        <w:t xml:space="preserve">As discussed higher, the labour market effect mainly reflects expected changes in the employment rate and the career shift. As shown in </w:t>
      </w:r>
      <w:r w:rsidRPr="00B131B3">
        <w:fldChar w:fldCharType="begin"/>
      </w:r>
      <w:r w:rsidRPr="009F3ED8">
        <w:instrText xml:space="preserve"> TC "</w:instrText>
      </w:r>
      <w:bookmarkStart w:id="138" w:name="_Toc511664536"/>
      <w:r w:rsidRPr="009F3ED8">
        <w:instrText>II.1.17.</w:instrText>
      </w:r>
      <w:r w:rsidRPr="009F3ED8">
        <w:tab/>
        <w:instrText>Benefit ratio: 2016 and 2070 (in %)</w:instrText>
      </w:r>
      <w:bookmarkEnd w:id="138"/>
      <w:r w:rsidRPr="009F3ED8">
        <w:instrText xml:space="preserve">" \ftable \l 5 </w:instrText>
      </w:r>
      <w:r w:rsidRPr="00B131B3">
        <w:fldChar w:fldCharType="end"/>
      </w:r>
      <w:r w:rsidRPr="00B131B3">
        <w:t xml:space="preserve">Table </w:t>
      </w:r>
      <w:r w:rsidRPr="00B131B3">
        <w:fldChar w:fldCharType="begin"/>
      </w:r>
      <w:r w:rsidRPr="00B131B3">
        <w:instrText xml:space="preserve"> QUOTE "II.1.16"</w:instrText>
      </w:r>
      <w:r w:rsidRPr="00B131B3">
        <w:fldChar w:fldCharType="begin">
          <w:fldData xml:space="preserve">QwBSAE8AUwBTAFIARQBGAEUAUgBFAE4AQwBFACoAVABBAEIATABFACoANQA5ADYAMwBjADIANABk
AC0AMwAwADIAYwAtADQANgBhAGMALQBiAGUAZQA2AC0ANgA3ADQAMAAwADQAZQAxAGEANwA1AGIA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II.1.16</w:t>
      </w:r>
      <w:r w:rsidRPr="00B131B3">
        <w:fldChar w:fldCharType="end"/>
      </w:r>
      <w:r w:rsidRPr="00B131B3">
        <w:t>, the total labour market effect generally reduces pension costs, in particular during the first few decades of the projections, albeit to a limited extent for most countries. The total effect is the largest for Greece (-4.9 pps. of GDP), followed by Spain and Italy (both -2.8 pps.). Additional labour market reforms might help countries soften rising pension costs to the extent that they successfully increase employment rates (see Section 1.8 below on sensitivity tests).</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9F3ED8" w:rsidRPr="00B131B3" w14:paraId="6ED05071" w14:textId="77777777" w:rsidTr="00B131B3">
        <w:trPr>
          <w:cantSplit/>
          <w:trHeight w:val="20"/>
        </w:trPr>
        <w:tc>
          <w:tcPr>
            <w:tcW w:w="8505" w:type="dxa"/>
            <w:shd w:val="clear" w:color="auto" w:fill="auto"/>
          </w:tcPr>
          <w:p w14:paraId="2D49445C" w14:textId="77777777" w:rsidR="009F3ED8" w:rsidRPr="00B131B3" w:rsidRDefault="009F3ED8" w:rsidP="00B131B3">
            <w:pPr>
              <w:pStyle w:val="SlimCell"/>
              <w:keepNext/>
            </w:pPr>
          </w:p>
        </w:tc>
      </w:tr>
      <w:tr w:rsidR="009F3ED8" w:rsidRPr="00B131B3" w14:paraId="5ECAE381" w14:textId="77777777" w:rsidTr="00B131B3">
        <w:trPr>
          <w:cantSplit/>
        </w:trPr>
        <w:tc>
          <w:tcPr>
            <w:tcW w:w="8505" w:type="dxa"/>
            <w:shd w:val="clear" w:color="auto" w:fill="auto"/>
          </w:tcPr>
          <w:p w14:paraId="48AAE2C8" w14:textId="77777777" w:rsidR="009F3ED8" w:rsidRPr="00B131B3" w:rsidRDefault="009F3ED8" w:rsidP="00B131B3">
            <w:pPr>
              <w:pStyle w:val="TableTitle"/>
              <w:rPr>
                <w:b/>
              </w:rPr>
            </w:pPr>
            <w:r w:rsidRPr="00B131B3">
              <w:t>Table II.1.17:</w:t>
            </w:r>
            <w:r w:rsidRPr="00B131B3">
              <w:rPr>
                <w:b/>
              </w:rPr>
              <w:tab/>
              <w:t>Benefit ratio: 2016 and 2070 (in %)</w:t>
            </w:r>
          </w:p>
        </w:tc>
      </w:tr>
      <w:tr w:rsidR="009F3ED8" w:rsidRPr="00B131B3" w14:paraId="50815CB5" w14:textId="77777777" w:rsidTr="00B131B3">
        <w:trPr>
          <w:cantSplit/>
        </w:trPr>
        <w:tc>
          <w:tcPr>
            <w:tcW w:w="8505" w:type="dxa"/>
            <w:shd w:val="clear" w:color="auto" w:fill="auto"/>
          </w:tcPr>
          <w:p w14:paraId="2886A554" w14:textId="77777777" w:rsidR="009F3ED8" w:rsidRPr="00B131B3" w:rsidRDefault="009F3ED8" w:rsidP="00B131B3">
            <w:pPr>
              <w:pStyle w:val="TableShape"/>
              <w:rPr>
                <w:sz w:val="2"/>
              </w:rPr>
            </w:pPr>
            <w:r w:rsidRPr="00B131B3">
              <w:rPr>
                <w:noProof/>
                <w:sz w:val="2"/>
                <w:lang w:val="hr-HR" w:eastAsia="hr-HR"/>
              </w:rPr>
              <w:drawing>
                <wp:inline distT="0" distB="0" distL="0" distR="0" wp14:anchorId="0ABFBC2E" wp14:editId="78A2EE60">
                  <wp:extent cx="5400929" cy="3676850"/>
                  <wp:effectExtent l="0" t="0" r="0" b="0"/>
                  <wp:docPr id="932" name="Picture 932" descr="&lt;nbr&gt;&lt;GETTEXTFROMWORD&gt;&lt;/nbr&gt;&#10;&lt;title&gt;&lt;GETTEXTFROMWORD&gt;&lt;/title&gt;&#10;&lt;id&gt;657f1c76-0da2-40ac-b584-709e7367f87a&lt;/id&gt;&#10;&lt;srcType&gt;EXCEL&lt;/srcType&gt;&#10;&lt;srcPath&gt;U:\Budgetary projections 2018\Reports\2018 AR\Tables_and_graphs\Part II Chapter 1\&lt;/srcPath&gt;&#10;&lt;srcName&gt;Tables_graphs_projections.xlsx&lt;/srcName&gt;&#10;&lt;type&gt;table&lt;/type&gt;&#10; &lt;srcSheet&gt;Table BR&lt;/srcSheet&gt;&#10; &lt;srcRange&gt;R2C2:R35C11&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400929" cy="3676850"/>
                          </a:xfrm>
                          <a:prstGeom prst="rect">
                            <a:avLst/>
                          </a:prstGeom>
                          <a:noFill/>
                          <a:ln>
                            <a:noFill/>
                          </a:ln>
                        </pic:spPr>
                      </pic:pic>
                    </a:graphicData>
                  </a:graphic>
                </wp:inline>
              </w:drawing>
            </w:r>
          </w:p>
        </w:tc>
      </w:tr>
      <w:tr w:rsidR="009F3ED8" w:rsidRPr="00B131B3" w14:paraId="3248CDCF" w14:textId="77777777" w:rsidTr="00B131B3">
        <w:trPr>
          <w:cantSplit/>
        </w:trPr>
        <w:tc>
          <w:tcPr>
            <w:tcW w:w="8505" w:type="dxa"/>
            <w:shd w:val="clear" w:color="auto" w:fill="auto"/>
          </w:tcPr>
          <w:p w14:paraId="0DCE79C1" w14:textId="77777777" w:rsidR="009F3ED8" w:rsidRDefault="009F3ED8" w:rsidP="00B131B3">
            <w:pPr>
              <w:pStyle w:val="TableFootnote"/>
            </w:pPr>
            <w:r>
              <w:t>(1) The benefit ratio expresses the average pension as a share of the economy-wide average wage (gross wages and salaries divided by employees), as calculated by the European Commission on the basis of data reported by the Member States.</w:t>
            </w:r>
            <w:r>
              <w:br/>
              <w:t>(2) 'Public pension: earnings-related' refers to old-age earnings-related pensions. 'Public pensions: total' includes disability, survivor and non-earnings-related benefits. 'All pensions' also includes private occupational and private individual benefits; it is only reported insofar private pension data was provided.</w:t>
            </w:r>
            <w:r>
              <w:br/>
              <w:t>(3) Unweighted average for EU*, EA and EU27.</w:t>
            </w:r>
            <w:r>
              <w:br/>
              <w:t>(4) LT: Under a special scenario that might materialise in case the replacement rate effectively declines considerably over the projection horizon, the total benefit ratio (public and private pillars) is unchanged. See comment Table II.I.8.</w:t>
            </w:r>
            <w:r>
              <w:br/>
              <w:t xml:space="preserve">(5) NL: Old-age public pensions are flat-rate benefits, i.e. no earnings-related component. The benefit ratio of private occupational schemes is expected to decrease somewhat over the full projection horizon (from 50% in 2016 to 45% in 2070). </w:t>
            </w:r>
            <w:r>
              <w:br/>
              <w:t>(6) PT &amp; SE: The fact that the decline in the total benefit ratio exceeds the decline for public pensions is due to the growing importance of funded defined contribution components of occupational schemes. In the case of Sweden, the downward effect is partly offset by the rising prevalence of the mandatory private premium pension.</w:t>
            </w:r>
            <w:r>
              <w:br/>
              <w:t>(7) UK: Old-age public pensions would no longer have an earnings-related component in 2070.</w:t>
            </w:r>
          </w:p>
          <w:p w14:paraId="4521871A"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26B7B60E" w14:textId="77777777" w:rsidTr="00B131B3">
        <w:trPr>
          <w:cantSplit/>
          <w:trHeight w:val="20"/>
        </w:trPr>
        <w:tc>
          <w:tcPr>
            <w:tcW w:w="8505" w:type="dxa"/>
            <w:shd w:val="clear" w:color="auto" w:fill="auto"/>
          </w:tcPr>
          <w:p w14:paraId="2E0C3E1D" w14:textId="77777777" w:rsidR="009F3ED8" w:rsidRPr="00B131B3" w:rsidRDefault="009F3ED8" w:rsidP="00B131B3">
            <w:pPr>
              <w:pStyle w:val="SlimCell"/>
            </w:pPr>
          </w:p>
        </w:tc>
      </w:tr>
    </w:tbl>
    <w:p w14:paraId="70CFF08E" w14:textId="77777777" w:rsidR="009F3ED8" w:rsidRPr="00B131B3" w:rsidRDefault="009F3ED8" w:rsidP="00B131B3">
      <w:pPr>
        <w:pStyle w:val="NumberedHeading2"/>
        <w:tabs>
          <w:tab w:val="left" w:pos="567"/>
        </w:tabs>
      </w:pPr>
      <w:r w:rsidRPr="00B131B3">
        <w:t>1.6.2.</w:t>
      </w:r>
      <w:r w:rsidRPr="00B131B3">
        <w:tab/>
        <w:t xml:space="preserve">Benefit ratio </w:t>
      </w:r>
    </w:p>
    <w:p w14:paraId="744C5DA3" w14:textId="77777777" w:rsidR="009F3ED8" w:rsidRPr="00B131B3" w:rsidRDefault="009F3ED8" w:rsidP="00B131B3">
      <w:r w:rsidRPr="00B131B3">
        <w:t xml:space="preserve">As discussed higher, the main downward pull on pension spending comes from the benefit ratio effect, which captures the generosity of pension systems. However, for those countries that are projected to see pension expenditure increase the most between 2016 and 2070, the benefit ratio helps contain the upward trend only to a limited extent. In the cases of Luxembourg, Slovenia and Belgium, the countries with the highest rise in pension expenditure, changes in the benefit ratio limit the growth in pension spending by just 0.5 pps. of GDP, compared to 3.3 pps. on average </w:t>
      </w:r>
      <w:r w:rsidRPr="00B131B3">
        <w:lastRenderedPageBreak/>
        <w:t>in the EU. This highlights the importance of the benefit ratio and of policy measures to keep it in check.</w:t>
      </w:r>
    </w:p>
    <w:p w14:paraId="30B11F57" w14:textId="77777777" w:rsidR="009F3ED8" w:rsidRPr="00B131B3" w:rsidRDefault="009F3ED8" w:rsidP="00B131B3">
      <w:r w:rsidRPr="00B131B3">
        <w:t xml:space="preserve">A range of reforms implemented in several countries over the past decade reduces the future generosity of pension systems in order to strengthen the financial sustainability of those very systems. Evidently, such adjustments could impact pension adequacy, defined as the extent to which pension benefits suffice to ensure pensioners a decent living standard and protect them from poverty, thus putting the focus on retirement incomes for people at the lower end of the income distribution. This is the subject of the </w:t>
      </w:r>
      <w:r w:rsidRPr="00B131B3">
        <w:rPr>
          <w:i/>
        </w:rPr>
        <w:t>Pension Adequacy Report </w:t>
      </w:r>
      <w:r w:rsidRPr="00B131B3">
        <w:t>(</w:t>
      </w:r>
      <w:r w:rsidRPr="00B131B3">
        <w:rPr>
          <w:rStyle w:val="Referencafusnote"/>
        </w:rPr>
        <w:footnoteReference w:id="61"/>
      </w:r>
      <w:r w:rsidRPr="00B131B3">
        <w:t xml:space="preserve">). </w:t>
      </w:r>
    </w:p>
    <w:p w14:paraId="160C2074" w14:textId="77777777" w:rsidR="009F3ED8" w:rsidRPr="00B131B3" w:rsidRDefault="009F3ED8" w:rsidP="00B131B3">
      <w:r w:rsidRPr="00B131B3">
        <w:t xml:space="preserve">Table </w:t>
      </w:r>
      <w:r w:rsidRPr="00B131B3">
        <w:fldChar w:fldCharType="begin"/>
      </w:r>
      <w:r w:rsidRPr="00B131B3">
        <w:instrText xml:space="preserve"> QUOTE "II.1.17"</w:instrText>
      </w:r>
      <w:r w:rsidRPr="00B131B3">
        <w:fldChar w:fldCharType="begin">
          <w:fldData xml:space="preserve">QwBSAE8AUwBTAFIARQBGAEUAUgBFAE4AQwBFACoAVABBAEIATABFACoANgA1ADcAZgAxAGMANwA2
AC0AMABkAGEAMgAtADQAMABhAGMALQBiADUAOAA0AC0ANwAwADkAZQA3ADMANgA3AGYAOAA3AGEA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II.1.17</w:t>
      </w:r>
      <w:r w:rsidRPr="00B131B3">
        <w:fldChar w:fldCharType="end"/>
      </w:r>
      <w:r w:rsidRPr="00B131B3">
        <w:t xml:space="preserve"> provides the level and the change in the benefit ratio for the public pension system (earnings-related and total benefits), as well as for the overall pension system for those countries that provided data for occupational and individual private pension schemes. </w:t>
      </w:r>
    </w:p>
    <w:p w14:paraId="6A45BF6E" w14:textId="77777777" w:rsidR="009F3ED8" w:rsidRPr="00B131B3" w:rsidRDefault="009F3ED8" w:rsidP="00B131B3">
      <w:r w:rsidRPr="00B131B3">
        <w:t>For public pensions, almost all countries project a decline in the benefit ratio by 2070 as compared to 2016, which is often substantial. In Luxembourg and the United Kingdom public pensions would become somewhat more generous. They would keep pace with the average wage in Ireland. For the EU as a whole, a decrease of 11 pps. is expected. The benefit ratio would decrease the most in Greece (-35 pps.), Poland (</w:t>
      </w:r>
      <w:r w:rsidRPr="00B131B3">
        <w:noBreakHyphen/>
        <w:t>26 pps.), Portugal (</w:t>
      </w:r>
      <w:r w:rsidRPr="00B131B3">
        <w:noBreakHyphen/>
        <w:t>24 pps.), Cyprus (-22 pps.) and Spain (</w:t>
      </w:r>
      <w:r w:rsidRPr="00B131B3">
        <w:noBreakHyphen/>
        <w:t>20 pps.). Apart from Poland, these countries had the highest public pension benefit ratio in 2016 (64% on average). In 2070, this would still be the case for Greece, Cyprus and to some extent for Spain, while the Portuguese benefit ratio would remain above the EU average in 2070. The decline in the benefit ratio for these countries is mainly caused by the applicable pension indexation mechanisms (Greece, Spain, Cyprus and Portugal), lower replacement rates for new pensions (Greece, Spain and Poland) and, in the case of Greece, other reforms that are being implemented and would reduce pension expenditure significantly already in coming years given short transition periods.</w:t>
      </w:r>
    </w:p>
    <w:p w14:paraId="10CDCF22" w14:textId="77777777" w:rsidR="009F3ED8" w:rsidRPr="00B131B3" w:rsidRDefault="009F3ED8" w:rsidP="00B131B3">
      <w:r w:rsidRPr="00B131B3">
        <w:lastRenderedPageBreak/>
        <w:t>A subset of nine countries reported benefit ratios for occupational and individual private pension schemes, which allows to calculate overall pension benefit ratios (</w:t>
      </w:r>
      <w:r w:rsidRPr="00B131B3">
        <w:rPr>
          <w:rStyle w:val="Referencafusnote"/>
        </w:rPr>
        <w:footnoteReference w:id="62"/>
      </w:r>
      <w:r w:rsidRPr="00B131B3">
        <w:t>). The latter fall by 11 pps. on average for eight countries, with the largest change in Portugal (</w:t>
      </w:r>
      <w:r w:rsidRPr="00B131B3">
        <w:noBreakHyphen/>
        <w:t>34 pps.) and Sweden (</w:t>
      </w:r>
      <w:r w:rsidRPr="00B131B3">
        <w:noBreakHyphen/>
        <w:t xml:space="preserve">18 pps.). Only Denmark projects a small increase of 4 pps. Estonia, Croatia, Latvia, Lithuania and Romania all introduced mandatory individual schemes since 2001, which shows in their overall pension benefit ratios: they are projected to decrease by 7 pps. on average as compared to an average decrease of 12 pps. for the public pension scheme alone. </w:t>
      </w:r>
    </w:p>
    <w:p w14:paraId="428FFB9B" w14:textId="77777777" w:rsidR="009F3ED8" w:rsidRPr="00B131B3" w:rsidRDefault="009F3ED8" w:rsidP="00B131B3">
      <w:r w:rsidRPr="00B131B3">
        <w:t xml:space="preserve">The Netherlands and Denmark, which have near-universal private occupational pension schemes, have an overall pension benefit ratio of 60-65%, both in 2016 and 2070. This is around 25-30 pps. higher than the benefit ratio of the public pension scheme, which would stand slightly above the EU average in 2070 for both countries. In the case of Sweden, which also has sizeable private schemes, the NDC public system results in a decline of the overall benefit ratio over the projection horizon. This reflects how a combination of an unchanged effective retirement age and rising longevity leads to lower annuities. </w:t>
      </w:r>
    </w:p>
    <w:p w14:paraId="28B44240" w14:textId="77777777" w:rsidR="009F3ED8" w:rsidRPr="00B131B3" w:rsidRDefault="009F3ED8" w:rsidP="00B131B3">
      <w:pPr>
        <w:pStyle w:val="NumberedHeading2"/>
        <w:tabs>
          <w:tab w:val="left" w:pos="567"/>
        </w:tabs>
      </w:pPr>
      <w:r w:rsidRPr="00B131B3">
        <w:t>1.6.3.</w:t>
      </w:r>
      <w:r w:rsidRPr="00B131B3">
        <w:tab/>
        <w:t>Replacement rates</w:t>
      </w:r>
    </w:p>
    <w:p w14:paraId="265E5C08" w14:textId="77777777" w:rsidR="009F3ED8" w:rsidRPr="00B131B3" w:rsidRDefault="009F3ED8" w:rsidP="00B131B3">
      <w:r w:rsidRPr="00B131B3">
        <w:t>Replacement rates are measured as the very first pension benefit relative to the last wage before retirement. As such, a downward trend of the replacement rate for new pensions might cause the benefit ratio to decrease. Changes in replacement rates between 2016 and 2070 are shown in Table</w:t>
      </w:r>
      <w:r w:rsidRPr="00B131B3">
        <w:fldChar w:fldCharType="begin">
          <w:fldData xml:space="preserve">QwBSAE8AUwBTAFIARQBGAEUAUgBFAE4AQwBFACoAVABBAEIATABFACoAYwBiADIAMwAxAGMAMAA0
AC0AYgBhADIAOAAtADQAOQA5AGQALQBiADAAMQBhAC0ANwA5AGUAZgA2ADIAMQBlAGYAZAAzAGIA
</w:fldData>
        </w:fldChar>
      </w:r>
      <w:r w:rsidRPr="00B131B3">
        <w:instrText xml:space="preserve"> ADDIN </w:instrText>
      </w:r>
      <w:r w:rsidRPr="00B131B3">
        <w:fldChar w:fldCharType="end"/>
      </w:r>
      <w:r w:rsidRPr="00B131B3">
        <w:t xml:space="preserve"> </w:t>
      </w:r>
      <w:r w:rsidRPr="00B131B3">
        <w:fldChar w:fldCharType="begin"/>
      </w:r>
      <w:r w:rsidRPr="00B131B3">
        <w:instrText xml:space="preserve"> QUOTE "II.1.18"</w:instrText>
      </w:r>
      <w:r w:rsidRPr="00B131B3">
        <w:fldChar w:fldCharType="begin">
          <w:fldData xml:space="preserve">QwBSAE8AUwBTAFIARQBGAEUAUgBFAE4AQwBFACoAVABBAEIATABFACoANgAzADkANwA5ADYANQBi
AC0AMQBhAGYAMQAtADQANABkADIALQA5ADAANwBlAC0AMwBiAGEAYgBkAGIAMgBhADcANABmAGQA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II.1.18</w:t>
      </w:r>
      <w:r w:rsidRPr="00B131B3">
        <w:fldChar w:fldCharType="end"/>
      </w:r>
      <w:r w:rsidRPr="00B131B3">
        <w:t xml:space="preserve"> for the public pension system (earnings-related and total benefits), as well as for the overall pension system for those countries that provided data for occupational and individual private pension schemes. </w:t>
      </w:r>
    </w:p>
    <w:p w14:paraId="0CFD5D06" w14:textId="77777777" w:rsidR="009F3ED8" w:rsidRPr="00B131B3" w:rsidRDefault="009F3ED8" w:rsidP="00B131B3">
      <w:r w:rsidRPr="00B131B3">
        <w:t>The projected average decline in the public pension replacement rate for the EU (</w:t>
      </w:r>
      <w:r w:rsidRPr="00B131B3">
        <w:noBreakHyphen/>
        <w:t>8 pps.) is smaller than the expected decline in the pension benefit ratio (</w:t>
      </w:r>
      <w:r w:rsidRPr="00B131B3">
        <w:noBreakHyphen/>
        <w:t>11 pps.). Of the nineteen countries which report data, the replacement rate would rise limitedly in Bulgaria and Hungary. The decline in the rate is the largest for Spain (-31 pps.), Poland (</w:t>
      </w:r>
      <w:r w:rsidRPr="00B131B3">
        <w:noBreakHyphen/>
        <w:t xml:space="preserve">29 pps.), France and Croatia (-13 pps.), Romania (-12 pps.), and Greece and Norway (-10 pps.). In </w:t>
      </w:r>
      <w:r w:rsidRPr="00B131B3">
        <w:lastRenderedPageBreak/>
        <w:fldChar w:fldCharType="begin"/>
      </w:r>
      <w:r w:rsidRPr="009F3ED8">
        <w:instrText xml:space="preserve"> TC "</w:instrText>
      </w:r>
      <w:bookmarkStart w:id="139" w:name="_Toc511664537"/>
      <w:r w:rsidRPr="009F3ED8">
        <w:instrText>II.1.18.</w:instrText>
      </w:r>
      <w:r w:rsidRPr="009F3ED8">
        <w:tab/>
        <w:instrText>Replacement rates in 2016 and 2070 (%)</w:instrText>
      </w:r>
      <w:bookmarkEnd w:id="139"/>
      <w:r w:rsidRPr="009F3ED8">
        <w:instrText xml:space="preserve">" \ftable \l 5 </w:instrText>
      </w:r>
      <w:r w:rsidRPr="00B131B3">
        <w:fldChar w:fldCharType="end"/>
      </w:r>
      <w:r w:rsidRPr="00B131B3">
        <w:t xml:space="preserve">the case of Spain the sharp decline reflects the fact that benefits are determined in function of wages spanning a longer period, the introduction of a sustainability factor as of 2019. For Poland the decline is rooted in the NDC system and how it interacts with the expected rise in longevity. Also, older generations generally experienced a situation of full employment and complete careers and thus made higher contributions than younger generations. </w:t>
      </w:r>
    </w:p>
    <w:p w14:paraId="6EE678E8" w14:textId="77777777" w:rsidR="009F3ED8" w:rsidRPr="00B131B3" w:rsidRDefault="009F3ED8" w:rsidP="00B131B3">
      <w:r w:rsidRPr="00B131B3">
        <w:t xml:space="preserve">For most of the countries that provided data on the replacement rate for the overall pension system, private pension schemes would mitigate the decline in the public pension replacement rate. This is for example the case in the Baltic countries, Denmark and Slovakia. In the latter two countries the overall replacement rate would increase in 2070 as compared to 2016, to a little under 60%. </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9F3ED8" w:rsidRPr="00B131B3" w14:paraId="5296E462" w14:textId="77777777" w:rsidTr="00B131B3">
        <w:trPr>
          <w:cantSplit/>
          <w:trHeight w:val="20"/>
        </w:trPr>
        <w:tc>
          <w:tcPr>
            <w:tcW w:w="8505" w:type="dxa"/>
            <w:shd w:val="clear" w:color="auto" w:fill="auto"/>
          </w:tcPr>
          <w:p w14:paraId="1AB9524C" w14:textId="77777777" w:rsidR="009F3ED8" w:rsidRPr="00B131B3" w:rsidRDefault="009F3ED8" w:rsidP="00B131B3">
            <w:pPr>
              <w:pStyle w:val="SlimCell"/>
              <w:keepNext/>
            </w:pPr>
          </w:p>
        </w:tc>
      </w:tr>
      <w:tr w:rsidR="009F3ED8" w:rsidRPr="00B131B3" w14:paraId="63FCB856" w14:textId="77777777" w:rsidTr="00B131B3">
        <w:trPr>
          <w:cantSplit/>
        </w:trPr>
        <w:tc>
          <w:tcPr>
            <w:tcW w:w="8505" w:type="dxa"/>
            <w:shd w:val="clear" w:color="auto" w:fill="auto"/>
          </w:tcPr>
          <w:p w14:paraId="01C454FA" w14:textId="77777777" w:rsidR="009F3ED8" w:rsidRPr="00B131B3" w:rsidRDefault="009F3ED8" w:rsidP="00B131B3">
            <w:pPr>
              <w:pStyle w:val="TableTitle"/>
              <w:rPr>
                <w:b/>
              </w:rPr>
            </w:pPr>
            <w:r w:rsidRPr="00B131B3">
              <w:t>Table II.1.18:</w:t>
            </w:r>
            <w:r w:rsidRPr="00B131B3">
              <w:rPr>
                <w:b/>
              </w:rPr>
              <w:tab/>
              <w:t>Replacement rates in 2016 and 2070 (%)</w:t>
            </w:r>
          </w:p>
        </w:tc>
      </w:tr>
      <w:tr w:rsidR="009F3ED8" w:rsidRPr="00B131B3" w14:paraId="237706E6" w14:textId="77777777" w:rsidTr="00B131B3">
        <w:trPr>
          <w:cantSplit/>
        </w:trPr>
        <w:tc>
          <w:tcPr>
            <w:tcW w:w="8505" w:type="dxa"/>
            <w:shd w:val="clear" w:color="auto" w:fill="auto"/>
          </w:tcPr>
          <w:p w14:paraId="713899F4" w14:textId="77777777" w:rsidR="009F3ED8" w:rsidRPr="00B131B3" w:rsidRDefault="009F3ED8" w:rsidP="00B131B3">
            <w:pPr>
              <w:pStyle w:val="TableShape"/>
              <w:rPr>
                <w:sz w:val="2"/>
              </w:rPr>
            </w:pPr>
            <w:r w:rsidRPr="00B131B3">
              <w:rPr>
                <w:noProof/>
                <w:sz w:val="2"/>
                <w:lang w:val="hr-HR" w:eastAsia="hr-HR"/>
              </w:rPr>
              <w:drawing>
                <wp:inline distT="0" distB="0" distL="0" distR="0" wp14:anchorId="1D9FC586" wp14:editId="156967D8">
                  <wp:extent cx="5400929" cy="3676850"/>
                  <wp:effectExtent l="0" t="0" r="0" b="0"/>
                  <wp:docPr id="933" name="Picture 933" descr="&lt;nbr&gt;&lt;GETTEXTFROMWORD&gt;&lt;/nbr&gt;&#10;&lt;title&gt;&lt;GETTEXTFROMWORD&gt;&lt;/title&gt;&#10;&lt;id&gt;6397965b-1af1-44d2-907e-3babdb2a74fd&lt;/id&gt;&#10;&lt;srcType&gt;EXCEL&lt;/srcType&gt;&#10;&lt;srcPath&gt;U:\Budgetary projections 2018\Reports\2018 AR\Tables_and_graphs\Part II Chapter 1\&lt;/srcPath&gt;&#10;&lt;srcName&gt;Tables_graphs_projections.xlsx&lt;/srcName&gt;&#10;&lt;type&gt;table&lt;/type&gt;&#10; &lt;srcSheet&gt;Table RR&lt;/srcSheet&gt;&#10; &lt;srcRange&gt;R2C2:R35C11&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400929" cy="3676850"/>
                          </a:xfrm>
                          <a:prstGeom prst="rect">
                            <a:avLst/>
                          </a:prstGeom>
                          <a:noFill/>
                          <a:ln>
                            <a:noFill/>
                          </a:ln>
                        </pic:spPr>
                      </pic:pic>
                    </a:graphicData>
                  </a:graphic>
                </wp:inline>
              </w:drawing>
            </w:r>
          </w:p>
        </w:tc>
      </w:tr>
      <w:tr w:rsidR="009F3ED8" w:rsidRPr="00B131B3" w14:paraId="788928DB" w14:textId="77777777" w:rsidTr="00B131B3">
        <w:trPr>
          <w:cantSplit/>
        </w:trPr>
        <w:tc>
          <w:tcPr>
            <w:tcW w:w="8505" w:type="dxa"/>
            <w:shd w:val="clear" w:color="auto" w:fill="auto"/>
          </w:tcPr>
          <w:p w14:paraId="285076B4" w14:textId="77777777" w:rsidR="009F3ED8" w:rsidRDefault="009F3ED8" w:rsidP="00B131B3">
            <w:pPr>
              <w:pStyle w:val="TableFootnote"/>
            </w:pPr>
            <w:r>
              <w:t>(1) EL, LT, LU &amp; MT refer to 2017.</w:t>
            </w:r>
            <w:r>
              <w:br/>
              <w:t>(2) LT: The replacement rate would decline in 49 of the 54 years projected. This would require the Government to provide a proposal with necessary counteracting measures that might undue this development and result in higher overall pension expenditure. See comment Table II.I.8.</w:t>
            </w:r>
          </w:p>
          <w:p w14:paraId="31E6A65E"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038C5C5B" w14:textId="77777777" w:rsidTr="00B131B3">
        <w:trPr>
          <w:cantSplit/>
          <w:trHeight w:val="20"/>
        </w:trPr>
        <w:tc>
          <w:tcPr>
            <w:tcW w:w="8505" w:type="dxa"/>
            <w:shd w:val="clear" w:color="auto" w:fill="auto"/>
          </w:tcPr>
          <w:p w14:paraId="40F1490D" w14:textId="77777777" w:rsidR="009F3ED8" w:rsidRPr="00B131B3" w:rsidRDefault="009F3ED8" w:rsidP="00B131B3">
            <w:pPr>
              <w:pStyle w:val="SlimCell"/>
            </w:pPr>
          </w:p>
        </w:tc>
      </w:tr>
    </w:tbl>
    <w:p w14:paraId="3ABFC05D" w14:textId="77777777" w:rsidR="009F3ED8" w:rsidRPr="00B131B3" w:rsidRDefault="009F3ED8" w:rsidP="00B131B3"/>
    <w:tbl>
      <w:tblPr>
        <w:tblpPr w:horzAnchor="margin" w:tblpYSpec="bottom"/>
        <w:tblOverlap w:val="never"/>
        <w:tblW w:w="8505" w:type="dxa"/>
        <w:tblLayout w:type="fixed"/>
        <w:tblCellMar>
          <w:left w:w="0" w:type="dxa"/>
          <w:right w:w="0" w:type="dxa"/>
        </w:tblCellMar>
        <w:tblLook w:val="0000" w:firstRow="0" w:lastRow="0" w:firstColumn="0" w:lastColumn="0" w:noHBand="0" w:noVBand="0"/>
      </w:tblPr>
      <w:tblGrid>
        <w:gridCol w:w="8505"/>
      </w:tblGrid>
      <w:tr w:rsidR="009F3ED8" w:rsidRPr="00B131B3" w14:paraId="5C40709C" w14:textId="77777777" w:rsidTr="00276EE8">
        <w:trPr>
          <w:cantSplit/>
          <w:trHeight w:val="20"/>
        </w:trPr>
        <w:tc>
          <w:tcPr>
            <w:tcW w:w="8505" w:type="dxa"/>
            <w:shd w:val="clear" w:color="auto" w:fill="auto"/>
          </w:tcPr>
          <w:p w14:paraId="69437731" w14:textId="77777777" w:rsidR="009F3ED8" w:rsidRPr="00B131B3" w:rsidRDefault="009F3ED8" w:rsidP="00B131B3">
            <w:pPr>
              <w:pStyle w:val="MultipageDelimiter"/>
            </w:pPr>
            <w:r w:rsidRPr="00B131B3">
              <w:t xml:space="preserve">   </w:t>
            </w:r>
          </w:p>
        </w:tc>
      </w:tr>
    </w:tbl>
    <w:p w14:paraId="2F2CFA66" w14:textId="77777777" w:rsidR="009F3ED8" w:rsidRPr="00B131B3" w:rsidRDefault="009F3ED8" w:rsidP="00B131B3">
      <w:pPr>
        <w:pStyle w:val="NumberedHeading2"/>
        <w:tabs>
          <w:tab w:val="left" w:pos="567"/>
        </w:tabs>
      </w:pPr>
      <w:r w:rsidRPr="00B131B3">
        <w:t>1.6.4.</w:t>
      </w:r>
      <w:r w:rsidRPr="00B131B3">
        <w:tab/>
        <w:t>Minimum pensions and pension indexation</w:t>
      </w:r>
    </w:p>
    <w:p w14:paraId="6B8ED9D8" w14:textId="77777777" w:rsidR="009F3ED8" w:rsidRPr="00B131B3" w:rsidRDefault="009F3ED8" w:rsidP="00B131B3">
      <w:r w:rsidRPr="00B131B3">
        <w:t xml:space="preserve">Benefit ratios can also fall because previously awarded pensions increase by less than wages. This is the case for indexation rules that adjust benefits to changes in inflation, whereas wages are also adjusted in real terms. Such situation may entail a risk of pension inadequacy over time, in particular in countries with low replacement rates or in those where many people depend on non-contributory minimum or basic pensions. </w:t>
      </w:r>
    </w:p>
    <w:p w14:paraId="6248158C" w14:textId="77777777" w:rsidR="009F3ED8" w:rsidRPr="00B131B3" w:rsidRDefault="009F3ED8" w:rsidP="00B131B3">
      <w:r w:rsidRPr="00B131B3">
        <w:t xml:space="preserve">Spending on minimum pensions is generally limited in terms of GDP (see Table </w:t>
      </w:r>
      <w:r w:rsidRPr="00B131B3">
        <w:fldChar w:fldCharType="begin"/>
      </w:r>
      <w:r w:rsidRPr="00B131B3">
        <w:instrText xml:space="preserve"> QUOTE "II.1.19"</w:instrText>
      </w:r>
      <w:r w:rsidRPr="00B131B3">
        <w:fldChar w:fldCharType="begin">
          <w:fldData xml:space="preserve">QwBSAE8AUwBTAFIARQBGAEUAUgBFAE4AQwBFACoAVABBAEIATABFACoAZAAzADIAZAA0ADYAMgA4
AC0AMgBhADAAMQAtADQANAA3ADcALQBiADMAYgBmAC0AMwA0AGEAYgAxADMANgA3ADMAZQBkADEA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II.1.19</w:t>
      </w:r>
      <w:r w:rsidRPr="00B131B3">
        <w:fldChar w:fldCharType="end"/>
      </w:r>
      <w:r w:rsidRPr="00B131B3">
        <w:t xml:space="preserve">), with the exceptions of Denmark (6% of GDP in 2016) and Norway (2.6% of GDP). This can be explained by the fact that in many countries support flows through social assistance, whether or not in </w:t>
      </w:r>
      <w:r w:rsidRPr="00B131B3">
        <w:lastRenderedPageBreak/>
        <w:fldChar w:fldCharType="begin"/>
      </w:r>
      <w:r w:rsidRPr="009F3ED8">
        <w:instrText xml:space="preserve"> TC "</w:instrText>
      </w:r>
      <w:bookmarkStart w:id="140" w:name="_Toc511664538"/>
      <w:r w:rsidRPr="009F3ED8">
        <w:instrText>II.1.19.</w:instrText>
      </w:r>
      <w:r w:rsidRPr="009F3ED8">
        <w:tab/>
        <w:instrText>Minimum pensions (non-contributory only)</w:instrText>
      </w:r>
      <w:bookmarkEnd w:id="140"/>
      <w:r w:rsidRPr="009F3ED8">
        <w:instrText xml:space="preserve">" \ftable \l 5 </w:instrText>
      </w:r>
      <w:r w:rsidRPr="00B131B3">
        <w:fldChar w:fldCharType="end"/>
      </w:r>
      <w:r w:rsidRPr="00B131B3">
        <w:t>combination with minimum pension benefits (</w:t>
      </w:r>
      <w:r w:rsidRPr="00B131B3">
        <w:rPr>
          <w:rStyle w:val="Referencafusnote"/>
        </w:rPr>
        <w:footnoteReference w:id="63"/>
      </w:r>
      <w:r w:rsidRPr="00B131B3">
        <w:t>). Spending on minimum pensions would increase to 2.4% of GDP and 1.4% of GDP in 2070 for Poland and Sweden respectively (</w:t>
      </w:r>
      <w:r w:rsidRPr="00B131B3">
        <w:rPr>
          <w:rStyle w:val="Referencafusnote"/>
        </w:rPr>
        <w:footnoteReference w:id="64"/>
      </w:r>
      <w:r w:rsidRPr="00B131B3">
        <w:t>). In the case of Sweden this reflects decreasing replacement rates from earnings-related pensions. For Poland it stems from the increase of the retirement period relative to the contributory period, leading to lower average pension benefits in the NDC system. Both countries also index minimum pension with average earnings for most of the projection period, in line with the agreed methodology (see below).</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9F3ED8" w:rsidRPr="00B131B3" w14:paraId="0D6FB2C0" w14:textId="77777777" w:rsidTr="00B131B3">
        <w:trPr>
          <w:cantSplit/>
          <w:trHeight w:val="20"/>
        </w:trPr>
        <w:tc>
          <w:tcPr>
            <w:tcW w:w="8505" w:type="dxa"/>
            <w:shd w:val="clear" w:color="auto" w:fill="auto"/>
          </w:tcPr>
          <w:p w14:paraId="026F9339" w14:textId="77777777" w:rsidR="009F3ED8" w:rsidRPr="00B131B3" w:rsidRDefault="009F3ED8" w:rsidP="00B131B3">
            <w:pPr>
              <w:pStyle w:val="SlimCell"/>
              <w:keepNext/>
            </w:pPr>
          </w:p>
        </w:tc>
      </w:tr>
      <w:tr w:rsidR="009F3ED8" w:rsidRPr="00B131B3" w14:paraId="704AE6FD" w14:textId="77777777" w:rsidTr="00B131B3">
        <w:trPr>
          <w:cantSplit/>
        </w:trPr>
        <w:tc>
          <w:tcPr>
            <w:tcW w:w="8505" w:type="dxa"/>
            <w:shd w:val="clear" w:color="auto" w:fill="auto"/>
          </w:tcPr>
          <w:p w14:paraId="11291658" w14:textId="77777777" w:rsidR="009F3ED8" w:rsidRPr="00B131B3" w:rsidRDefault="009F3ED8" w:rsidP="00B131B3">
            <w:pPr>
              <w:pStyle w:val="TableTitle"/>
              <w:rPr>
                <w:b/>
              </w:rPr>
            </w:pPr>
            <w:r w:rsidRPr="00B131B3">
              <w:t>Table II.1.19:</w:t>
            </w:r>
            <w:r w:rsidRPr="00B131B3">
              <w:rPr>
                <w:b/>
              </w:rPr>
              <w:tab/>
              <w:t>Minimum pensions (non-contributory only)</w:t>
            </w:r>
          </w:p>
        </w:tc>
      </w:tr>
      <w:tr w:rsidR="009F3ED8" w:rsidRPr="00B131B3" w14:paraId="1779554B" w14:textId="77777777" w:rsidTr="00B131B3">
        <w:trPr>
          <w:cantSplit/>
        </w:trPr>
        <w:tc>
          <w:tcPr>
            <w:tcW w:w="8505" w:type="dxa"/>
            <w:shd w:val="clear" w:color="auto" w:fill="auto"/>
          </w:tcPr>
          <w:p w14:paraId="048C5A85" w14:textId="77777777" w:rsidR="009F3ED8" w:rsidRPr="00B131B3" w:rsidRDefault="009F3ED8" w:rsidP="00B131B3">
            <w:pPr>
              <w:pStyle w:val="TableShape"/>
              <w:rPr>
                <w:sz w:val="2"/>
              </w:rPr>
            </w:pPr>
            <w:r w:rsidRPr="00B131B3">
              <w:rPr>
                <w:noProof/>
                <w:sz w:val="2"/>
                <w:lang w:val="hr-HR" w:eastAsia="hr-HR"/>
              </w:rPr>
              <w:drawing>
                <wp:inline distT="0" distB="0" distL="0" distR="0" wp14:anchorId="07C18BDC" wp14:editId="271F27DA">
                  <wp:extent cx="5400929" cy="3110243"/>
                  <wp:effectExtent l="0" t="0" r="9525" b="0"/>
                  <wp:docPr id="934" name="Picture 934" descr="&lt;nbr&gt;&lt;GETTEXTFROMWORD&gt;&lt;/nbr&gt;&#10;&lt;title&gt;&lt;GETTEXTFROMWORD&gt;&lt;/title&gt;&#10;&lt;id&gt;d32d4628-2a01-4477-b3bf-34ab13673ed1&lt;/id&gt;&#10;&lt;srcType&gt;EXCEL&lt;/srcType&gt;&#10;&lt;srcPath&gt;U:\Budgetary projections 2018\Reports\2018 AR\Tables_and_graphs\Part II Chapter 1\&lt;/srcPath&gt;&#10;&lt;srcName&gt;Tables_graphs_projections.xlsx&lt;/srcName&gt;&#10;&lt;type&gt;table&lt;/type&gt;&#10; &lt;srcSheet&gt;Minimum&lt;/srcSheet&gt;&#10; &lt;srcRange&gt;R2C2:R32C13&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400929" cy="3110243"/>
                          </a:xfrm>
                          <a:prstGeom prst="rect">
                            <a:avLst/>
                          </a:prstGeom>
                          <a:noFill/>
                          <a:ln>
                            <a:noFill/>
                          </a:ln>
                        </pic:spPr>
                      </pic:pic>
                    </a:graphicData>
                  </a:graphic>
                </wp:inline>
              </w:drawing>
            </w:r>
          </w:p>
        </w:tc>
      </w:tr>
      <w:tr w:rsidR="009F3ED8" w:rsidRPr="00B131B3" w14:paraId="6B49BA9E" w14:textId="77777777" w:rsidTr="00B131B3">
        <w:trPr>
          <w:cantSplit/>
        </w:trPr>
        <w:tc>
          <w:tcPr>
            <w:tcW w:w="8505" w:type="dxa"/>
            <w:shd w:val="clear" w:color="auto" w:fill="auto"/>
          </w:tcPr>
          <w:p w14:paraId="24C9E1D5" w14:textId="77777777" w:rsidR="009F3ED8" w:rsidRDefault="009F3ED8" w:rsidP="00B131B3">
            <w:pPr>
              <w:pStyle w:val="TableFootnote"/>
            </w:pPr>
            <w:r>
              <w:t>(1) Data refer to minimum pensions (non-contributory), i.e. minimum income guarantees for people above 65.</w:t>
            </w:r>
            <w:r>
              <w:br/>
              <w:t>(2) The minimum pension benefit ratio is the average minimum pension divided by the economy-wide average wage.</w:t>
            </w:r>
            <w:r>
              <w:br/>
              <w:t>(3) CZ: no minimum pension exists.</w:t>
            </w:r>
            <w:r>
              <w:br/>
              <w:t>(4) DE, LU, SI: minimum pensions not covered in projections.</w:t>
            </w:r>
            <w:r>
              <w:br/>
              <w:t>(5) EL, HR, NL, AT: no separate data provided.</w:t>
            </w:r>
          </w:p>
          <w:p w14:paraId="6FE97C12"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592ED624" w14:textId="77777777" w:rsidTr="00B131B3">
        <w:trPr>
          <w:cantSplit/>
          <w:trHeight w:val="20"/>
        </w:trPr>
        <w:tc>
          <w:tcPr>
            <w:tcW w:w="8505" w:type="dxa"/>
            <w:shd w:val="clear" w:color="auto" w:fill="auto"/>
          </w:tcPr>
          <w:p w14:paraId="068937D0" w14:textId="77777777" w:rsidR="009F3ED8" w:rsidRPr="00B131B3" w:rsidRDefault="009F3ED8" w:rsidP="00B131B3">
            <w:pPr>
              <w:pStyle w:val="SlimCell"/>
            </w:pPr>
          </w:p>
        </w:tc>
      </w:tr>
    </w:tbl>
    <w:p w14:paraId="74DA0A07" w14:textId="77777777" w:rsidR="009F3ED8" w:rsidRPr="00B131B3" w:rsidRDefault="009F3ED8" w:rsidP="00B131B3">
      <w:r w:rsidRPr="00B131B3">
        <w:t xml:space="preserve">Minimum pensions or social allowance benefits are meant to protect against old-age poverty in case of incomplete careers or insufficient contribution years to qualify for earnings-related benefits. Amounts are usually means-tested and generally lower than earnings-related pension benefits. To effectively protect recipients against poverty, both absolute amounts and the degree to which these keep track with living standards matter. As seen in Table </w:t>
      </w:r>
      <w:r w:rsidRPr="00B131B3">
        <w:fldChar w:fldCharType="begin"/>
      </w:r>
      <w:r w:rsidRPr="00B131B3">
        <w:instrText xml:space="preserve"> QUOTE "II.1.19"</w:instrText>
      </w:r>
      <w:r w:rsidRPr="00B131B3">
        <w:fldChar w:fldCharType="begin">
          <w:fldData xml:space="preserve">QwBSAE8AUwBTAFIARQBGAEUAUgBFAE4AQwBFACoAVABBAEIATABFACoAZAAzADIAZAA0ADYAMgA4
AC0AMgBhADAAMQAtADQANAA3ADcALQBiADMAYgBmAC0AMwA0AGEAYgAxADMANgA3ADMAZQBkADEA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II.1.19</w:t>
      </w:r>
      <w:r w:rsidRPr="00B131B3">
        <w:fldChar w:fldCharType="end"/>
      </w:r>
      <w:r w:rsidRPr="00B131B3">
        <w:t>, most countries have legislated minimum pension and social assistance indexation rules that surpass inflation. France, Italy, Hungary, Malta, Austria, Slovakia and Sweden adjust minimum pension benefits on the basis of price developments. Ireland and Latvia have no formal indexation rules, though benefits have historically grown in line with average earnings. Spain applies an 'Index for Pension Revaluation', which is determined in function of pension contributions and the balance of the pension system.</w:t>
      </w:r>
    </w:p>
    <w:p w14:paraId="6BBF9E69" w14:textId="77777777" w:rsidR="009F3ED8" w:rsidRPr="00B131B3" w:rsidRDefault="009F3ED8" w:rsidP="00B131B3">
      <w:r w:rsidRPr="00B131B3">
        <w:t xml:space="preserve">In case legal indexation rules describe an indexation close to price growth, this would virtually lead to the disappearance of minimum pensions in the long run if strictly applied. This would cast doubt on whether these instruments will stay effective in covering against the risk of poverty. However, also in countries with less </w:t>
      </w:r>
      <w:r w:rsidRPr="00B131B3">
        <w:lastRenderedPageBreak/>
        <w:t>generous indexation rules, minimum pension benefits were in practice revised more in line with wages through discretionary adjustments beyond the legal indexation, exactly to correct for the standard of living and maintain the adequacy of benefits over time.</w:t>
      </w:r>
    </w:p>
    <w:p w14:paraId="312D0354" w14:textId="77777777" w:rsidR="009F3ED8" w:rsidRPr="00B131B3" w:rsidRDefault="009F3ED8" w:rsidP="00B131B3">
      <w:r w:rsidRPr="00B131B3">
        <w:t>For this reason, Member States agreed that, for the purposes of long-term pension projections in the context of the 2018 Ageing Report, minimum pensions are assumed to be adjusted in line with existing legislation for a maximum of ten years, after which they should follow wage growth. There are some exceptions to this assumption. France, for example, assumes indexation to wages only as of 2050. Italy worked on the assumption of indexation to nominal GDP per capita as of 2021. In Greece, pensions are recalibrated and indexation is frozen until 2022.</w:t>
      </w:r>
    </w:p>
    <w:p w14:paraId="26E5779F" w14:textId="77777777" w:rsidR="009F3ED8" w:rsidRPr="00B131B3" w:rsidRDefault="009F3ED8" w:rsidP="00B131B3">
      <w:pPr>
        <w:pStyle w:val="NumberedHeading1"/>
        <w:tabs>
          <w:tab w:val="left" w:pos="567"/>
        </w:tabs>
      </w:pPr>
      <w:bookmarkStart w:id="141" w:name="_Toc511664430"/>
      <w:r w:rsidRPr="00B131B3">
        <w:t>1.7.</w:t>
      </w:r>
      <w:r w:rsidRPr="00B131B3">
        <w:tab/>
        <w:t>Disaggregation of new pensions</w:t>
      </w:r>
      <w:bookmarkEnd w:id="141"/>
    </w:p>
    <w:p w14:paraId="4C2ADAE3" w14:textId="77777777" w:rsidR="009F3ED8" w:rsidRPr="00B131B3" w:rsidRDefault="009F3ED8" w:rsidP="00B131B3">
      <w:r w:rsidRPr="00B131B3">
        <w:t>Public pension expenditure projections can be considered as the sum of existing pensions and new pensions that are to arise over the projection horizon. The applicable indexation rule and mortality rates determine how the stock of existing pensions changes over time. As to new pensions, the following disaggregation can be applied:</w:t>
      </w:r>
    </w:p>
    <w:p w14:paraId="231C2549" w14:textId="77777777" w:rsidR="009F3ED8" w:rsidRPr="00B131B3" w:rsidRDefault="009F3ED8" w:rsidP="00B131B3">
      <w:r w:rsidRPr="00B131B3">
        <w:object w:dxaOrig="2480" w:dyaOrig="380" w14:anchorId="7148A1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1.5pt;height:17.25pt" o:ole="">
            <v:imagedata r:id="rId156" o:title=""/>
          </v:shape>
          <o:OLEObject Type="Embed" ProgID="Equation.3" ShapeID="_x0000_i1025" DrawAspect="Content" ObjectID="_1621248909" r:id="rId157"/>
        </w:object>
      </w:r>
    </w:p>
    <w:p w14:paraId="09CF2DCD" w14:textId="77777777" w:rsidR="009F3ED8" w:rsidRPr="00B131B3" w:rsidRDefault="009F3ED8" w:rsidP="00B131B3">
      <w:r w:rsidRPr="00B131B3">
        <w:t xml:space="preserve">where </w:t>
      </w:r>
      <w:r w:rsidRPr="00B131B3">
        <w:rPr>
          <w:vertAlign w:val="subscript"/>
        </w:rPr>
        <w:object w:dxaOrig="420" w:dyaOrig="360" w14:anchorId="0A5A14AE">
          <v:shape id="_x0000_i1026" type="#_x0000_t75" style="width:21pt;height:18.75pt" o:ole="">
            <v:imagedata r:id="rId158" o:title=""/>
          </v:shape>
          <o:OLEObject Type="Embed" ProgID="Equation.3" ShapeID="_x0000_i1026" DrawAspect="Content" ObjectID="_1621248910" r:id="rId159"/>
        </w:object>
      </w:r>
      <w:r w:rsidRPr="00B131B3">
        <w:t xml:space="preserve"> is the overall spending on new pensions, </w:t>
      </w:r>
      <w:r w:rsidRPr="00B131B3">
        <w:rPr>
          <w:vertAlign w:val="subscript"/>
        </w:rPr>
        <w:object w:dxaOrig="460" w:dyaOrig="380" w14:anchorId="3CD818C6">
          <v:shape id="_x0000_i1027" type="#_x0000_t75" style="width:23.25pt;height:17.25pt" o:ole="">
            <v:imagedata r:id="rId160" o:title=""/>
          </v:shape>
          <o:OLEObject Type="Embed" ProgID="Equation.3" ShapeID="_x0000_i1027" DrawAspect="Content" ObjectID="_1621248911" r:id="rId161"/>
        </w:object>
      </w:r>
      <w:r w:rsidRPr="00B131B3">
        <w:t xml:space="preserve"> is the average contributory period or the average years of service of the new pensions, </w:t>
      </w:r>
      <w:r w:rsidRPr="00B131B3">
        <w:rPr>
          <w:vertAlign w:val="subscript"/>
        </w:rPr>
        <w:object w:dxaOrig="460" w:dyaOrig="380" w14:anchorId="493B3B4C">
          <v:shape id="_x0000_i1028" type="#_x0000_t75" style="width:23.25pt;height:17.25pt" o:ole="">
            <v:imagedata r:id="rId162" o:title=""/>
          </v:shape>
          <o:OLEObject Type="Embed" ProgID="Equation.3" ShapeID="_x0000_i1028" DrawAspect="Content" ObjectID="_1621248912" r:id="rId163"/>
        </w:object>
      </w:r>
      <w:r w:rsidRPr="00B131B3">
        <w:t xml:space="preserve"> is the average accrual rate of the new pensions, </w:t>
      </w:r>
      <w:r w:rsidRPr="00B131B3">
        <w:rPr>
          <w:vertAlign w:val="subscript"/>
        </w:rPr>
        <w:object w:dxaOrig="620" w:dyaOrig="380" w14:anchorId="005EA483">
          <v:shape id="_x0000_i1029" type="#_x0000_t75" style="width:30.75pt;height:17.25pt" o:ole="">
            <v:imagedata r:id="rId164" o:title=""/>
          </v:shape>
          <o:OLEObject Type="Embed" ProgID="Equation.3" ShapeID="_x0000_i1029" DrawAspect="Content" ObjectID="_1621248913" r:id="rId165"/>
        </w:object>
      </w:r>
      <w:r w:rsidRPr="00B131B3">
        <w:t xml:space="preserve"> is the average pensionable earnings over the contributory period related to the new pensions and </w:t>
      </w:r>
      <w:r w:rsidRPr="00B131B3">
        <w:rPr>
          <w:vertAlign w:val="subscript"/>
        </w:rPr>
        <w:object w:dxaOrig="480" w:dyaOrig="360" w14:anchorId="49D9D728">
          <v:shape id="_x0000_i1030" type="#_x0000_t75" style="width:23.25pt;height:18.75pt" o:ole="">
            <v:imagedata r:id="rId166" o:title=""/>
          </v:shape>
          <o:OLEObject Type="Embed" ProgID="Equation.3" ShapeID="_x0000_i1030" DrawAspect="Content" ObjectID="_1621248914" r:id="rId167"/>
        </w:object>
      </w:r>
      <w:r w:rsidRPr="00B131B3">
        <w:t xml:space="preserve"> is the number of new pensions (pensioners). </w:t>
      </w:r>
    </w:p>
    <w:p w14:paraId="6C1CC180" w14:textId="77777777" w:rsidR="009F3ED8" w:rsidRPr="00B131B3" w:rsidRDefault="009F3ED8" w:rsidP="00B131B3">
      <w:r w:rsidRPr="00B131B3">
        <w:t>Data on contributory years and average accrual rates thus help provide a clearer picture of the future drivers of (new) pension expenditure and the viability of the pension system as accrual rates might change over time and across different types of pensions.</w:t>
      </w:r>
    </w:p>
    <w:p w14:paraId="263835E6" w14:textId="77777777" w:rsidR="009F3ED8" w:rsidRPr="00B131B3" w:rsidRDefault="009F3ED8" w:rsidP="00B131B3">
      <w:pPr>
        <w:pStyle w:val="Heading"/>
      </w:pPr>
      <w:r w:rsidRPr="00B131B3">
        <w:lastRenderedPageBreak/>
        <w:t>Contributory period</w:t>
      </w:r>
    </w:p>
    <w:p w14:paraId="55788FB2" w14:textId="77777777" w:rsidR="009F3ED8" w:rsidRPr="00B131B3" w:rsidRDefault="009F3ED8" w:rsidP="00B131B3">
      <w:r w:rsidRPr="00B131B3">
        <w:t>Contributory periods can increase for several reasons, such as for example rising statutory retirement ages that force employees to extent their working lives to receive full pensions. Higher employment rates due to the abolishment of early retirement schemes or the tightening of eligibility criteria for certain pension benefits (e.g. disability pensions or additional contributory years for military service periods, years of study or number of children) are other factors that might lead to longer contributory periods.</w:t>
      </w:r>
    </w:p>
    <w:p w14:paraId="0D2D8306" w14:textId="77777777" w:rsidR="009F3ED8" w:rsidRPr="00B131B3" w:rsidRDefault="009F3ED8" w:rsidP="00B131B3">
      <w:r w:rsidRPr="00B131B3">
        <w:t>Average contributory periods for new pensions are shown in Table </w:t>
      </w:r>
      <w:r w:rsidRPr="00B131B3">
        <w:fldChar w:fldCharType="begin"/>
      </w:r>
      <w:r w:rsidRPr="00B131B3">
        <w:instrText xml:space="preserve"> QUOTE "II.1.20"</w:instrText>
      </w:r>
      <w:r w:rsidRPr="00B131B3">
        <w:fldChar w:fldCharType="begin">
          <w:fldData xml:space="preserve">QwBSAE8AUwBTAFIARQBGAEUAUgBFAE4AQwBFACoAVABBAEIATABFACoAMgBkADcANABmADkAMgAz
AC0AZABkADkANAAtADQAMwBhAGYALQA5ADUAYwAwAC0AMwA4AGYAZgA0ADEAMQBiAGUAZgA5ADAA
</w:fldData>
        </w:fldChar>
      </w:r>
      <w:r w:rsidRPr="00B131B3">
        <w:instrText xml:space="preserve"> ADDIN </w:instrText>
      </w:r>
      <w:r w:rsidRPr="00B131B3">
        <w:fldChar w:fldCharType="end"/>
      </w:r>
      <w:r w:rsidRPr="00B131B3">
        <w:instrText xml:space="preserve"> </w:instrText>
      </w:r>
      <w:r w:rsidRPr="00B131B3">
        <w:fldChar w:fldCharType="separate"/>
      </w:r>
      <w:r w:rsidRPr="00B131B3">
        <w:t>II.1.20</w:t>
      </w:r>
      <w:r w:rsidRPr="00B131B3">
        <w:fldChar w:fldCharType="end"/>
      </w:r>
      <w:r w:rsidRPr="00B131B3">
        <w:t>. For most countries the indicator moves upward, with an average increase of 2.2 years in the EU. Countries for which the contributory period would decline are Norway (</w:t>
      </w:r>
      <w:r w:rsidRPr="00B131B3">
        <w:noBreakHyphen/>
        <w:t>2.2 years) and France (</w:t>
      </w:r>
      <w:r w:rsidRPr="00B131B3">
        <w:noBreakHyphen/>
        <w:t xml:space="preserve">0.9 years). Over a shorter period (2017-2040) Sweden would show a decline of </w:t>
      </w:r>
      <w:r w:rsidRPr="00B131B3">
        <w:noBreakHyphen/>
        <w:t xml:space="preserve">2.9 years. </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226AB846" w14:textId="77777777" w:rsidTr="00B131B3">
        <w:trPr>
          <w:cantSplit/>
          <w:trHeight w:val="20"/>
        </w:trPr>
        <w:tc>
          <w:tcPr>
            <w:tcW w:w="4110" w:type="dxa"/>
            <w:shd w:val="clear" w:color="auto" w:fill="auto"/>
          </w:tcPr>
          <w:p w14:paraId="26082B1D" w14:textId="77777777" w:rsidR="009F3ED8" w:rsidRPr="00B131B3" w:rsidRDefault="009F3ED8" w:rsidP="00B131B3">
            <w:pPr>
              <w:pStyle w:val="SlimCell"/>
              <w:keepNext/>
            </w:pPr>
          </w:p>
        </w:tc>
      </w:tr>
      <w:tr w:rsidR="009F3ED8" w:rsidRPr="00B131B3" w14:paraId="00C23FE2" w14:textId="77777777" w:rsidTr="00B131B3">
        <w:trPr>
          <w:cantSplit/>
        </w:trPr>
        <w:tc>
          <w:tcPr>
            <w:tcW w:w="4110" w:type="dxa"/>
            <w:shd w:val="clear" w:color="auto" w:fill="auto"/>
          </w:tcPr>
          <w:p w14:paraId="732C2CDE" w14:textId="77777777" w:rsidR="009F3ED8" w:rsidRPr="00B131B3" w:rsidRDefault="009F3ED8" w:rsidP="00B131B3">
            <w:pPr>
              <w:pStyle w:val="TableTitle"/>
              <w:rPr>
                <w:b/>
              </w:rPr>
            </w:pPr>
            <w:r w:rsidRPr="00B131B3">
              <w:t>Table II.1.20:</w:t>
            </w:r>
            <w:r w:rsidRPr="00B131B3">
              <w:rPr>
                <w:b/>
              </w:rPr>
              <w:tab/>
              <w:t>Contributory period for new pensions (number of years)</w:t>
            </w:r>
          </w:p>
        </w:tc>
      </w:tr>
      <w:tr w:rsidR="009F3ED8" w:rsidRPr="00B131B3" w14:paraId="6352C933" w14:textId="77777777" w:rsidTr="00B131B3">
        <w:trPr>
          <w:cantSplit/>
        </w:trPr>
        <w:tc>
          <w:tcPr>
            <w:tcW w:w="4110" w:type="dxa"/>
            <w:shd w:val="clear" w:color="auto" w:fill="auto"/>
          </w:tcPr>
          <w:p w14:paraId="37195EB3" w14:textId="77777777" w:rsidR="009F3ED8" w:rsidRPr="00B131B3" w:rsidRDefault="009F3ED8" w:rsidP="00B131B3">
            <w:pPr>
              <w:pStyle w:val="TableShape"/>
              <w:rPr>
                <w:sz w:val="2"/>
              </w:rPr>
            </w:pPr>
            <w:r w:rsidRPr="00B131B3">
              <w:fldChar w:fldCharType="begin"/>
            </w:r>
            <w:r w:rsidRPr="009F3ED8">
              <w:instrText xml:space="preserve"> TC "</w:instrText>
            </w:r>
            <w:bookmarkStart w:id="142" w:name="_Toc511664539"/>
            <w:r w:rsidRPr="009F3ED8">
              <w:instrText>II.1.20.</w:instrText>
            </w:r>
            <w:r w:rsidRPr="009F3ED8">
              <w:tab/>
              <w:instrText>Contributory period for new pensions (number of years)</w:instrText>
            </w:r>
            <w:bookmarkEnd w:id="142"/>
            <w:r w:rsidRPr="009F3ED8">
              <w:instrText xml:space="preserve">" \ftable \l 5 </w:instrText>
            </w:r>
            <w:r w:rsidRPr="00B131B3">
              <w:fldChar w:fldCharType="end"/>
            </w:r>
            <w:r w:rsidRPr="00B131B3">
              <w:rPr>
                <w:noProof/>
                <w:sz w:val="2"/>
                <w:lang w:val="hr-HR" w:eastAsia="hr-HR"/>
              </w:rPr>
              <w:drawing>
                <wp:inline distT="0" distB="0" distL="0" distR="0" wp14:anchorId="452001C2" wp14:editId="77F04ABC">
                  <wp:extent cx="2597595" cy="2588751"/>
                  <wp:effectExtent l="0" t="0" r="0" b="2540"/>
                  <wp:docPr id="935" name="Picture 935" descr="&lt;nbr&gt;&lt;GETTEXTFROMWORD&gt;&lt;/nbr&gt;&#10;&lt;title&gt;&lt;GETTEXTFROMWORD&gt;&lt;/title&gt;&#10;&lt;id&gt;2d74f923-dd94-43af-95c0-38ff411bef90&lt;/id&gt;&#10;&lt;srcType&gt;EXCEL&lt;/srcType&gt;&#10;&lt;srcPath&gt;U:\Budgetary projections 2018\Reports\2018 AR\Tables_and_graphs\Part II Chapter 1\&lt;/srcPath&gt;&#10;&lt;srcName&gt;Tables_graphs_projections.xlsx&lt;/srcName&gt;&#10;&lt;type&gt;table&lt;/type&gt;&#10; &lt;srcSheet&gt;Table 27&lt;/srcSheet&gt;&#10; &lt;srcRange&gt;R2C2:R37C10&lt;/srcRang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97595" cy="2588751"/>
                          </a:xfrm>
                          <a:prstGeom prst="rect">
                            <a:avLst/>
                          </a:prstGeom>
                          <a:noFill/>
                          <a:ln>
                            <a:noFill/>
                          </a:ln>
                        </pic:spPr>
                      </pic:pic>
                    </a:graphicData>
                  </a:graphic>
                </wp:inline>
              </w:drawing>
            </w:r>
          </w:p>
        </w:tc>
      </w:tr>
      <w:tr w:rsidR="009F3ED8" w:rsidRPr="00B131B3" w14:paraId="6F23A91F" w14:textId="77777777" w:rsidTr="00B131B3">
        <w:trPr>
          <w:cantSplit/>
        </w:trPr>
        <w:tc>
          <w:tcPr>
            <w:tcW w:w="4110" w:type="dxa"/>
            <w:shd w:val="clear" w:color="auto" w:fill="auto"/>
          </w:tcPr>
          <w:p w14:paraId="79FD9C77" w14:textId="77777777" w:rsidR="009F3ED8" w:rsidRDefault="009F3ED8" w:rsidP="00B131B3">
            <w:pPr>
              <w:pStyle w:val="TableFootnote"/>
            </w:pPr>
            <w:r>
              <w:t>(1) FR, IT, HU, NO: 2016 data.</w:t>
            </w:r>
            <w:r>
              <w:br/>
              <w:t>(2) DK, NL: flat system based on years of residence.</w:t>
            </w:r>
            <w:r>
              <w:br/>
              <w:t>(3) DE, CY, LT: point system with new pensions not depending on the contributory period.</w:t>
            </w:r>
            <w:r>
              <w:br/>
              <w:t>(4) EE, IE, UK: no data provided.</w:t>
            </w:r>
            <w:r>
              <w:br/>
              <w:t>(5) For countries using microsimulation models (e.g. FR, HU, SE, NO) part of the volatility in the average contributory period from one year to another is due to sample size.</w:t>
            </w:r>
          </w:p>
          <w:p w14:paraId="11687380"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3DA79EF2" w14:textId="77777777" w:rsidTr="00B131B3">
        <w:trPr>
          <w:cantSplit/>
          <w:trHeight w:val="20"/>
        </w:trPr>
        <w:tc>
          <w:tcPr>
            <w:tcW w:w="4110" w:type="dxa"/>
            <w:shd w:val="clear" w:color="auto" w:fill="auto"/>
            <w:tcMar>
              <w:bottom w:w="240" w:type="dxa"/>
            </w:tcMar>
          </w:tcPr>
          <w:p w14:paraId="461C103C" w14:textId="77777777" w:rsidR="009F3ED8" w:rsidRPr="00B131B3" w:rsidRDefault="009F3ED8" w:rsidP="00B131B3">
            <w:pPr>
              <w:pStyle w:val="SlimCell"/>
            </w:pPr>
          </w:p>
        </w:tc>
      </w:tr>
    </w:tbl>
    <w:p w14:paraId="628978E3" w14:textId="77777777" w:rsidR="009F3ED8" w:rsidRPr="00B131B3" w:rsidRDefault="009F3ED8" w:rsidP="00B131B3">
      <w:r w:rsidRPr="00B131B3">
        <w:t xml:space="preserve">The largest increase over the entire projection period is to be expected in Greece, Luxembourg and Slovakia, with an increase in the average </w:t>
      </w:r>
      <w:r w:rsidRPr="00B131B3">
        <w:lastRenderedPageBreak/>
        <w:t>contributory period of between 5 and 7 years by 2070. Whereas Slovakia had already one of the highest average contributory periods in 2017, Greece and Luxembourg were among the countries with the lowest value in 2017. In the case of Luxembourg, an initial decline by 0.6 years in 2017-2020 is followed by several decades of notable increases. These are due to the fact that migrant and cross-border workers are expected to achieve more complete careers in Luxembourg.</w:t>
      </w:r>
    </w:p>
    <w:p w14:paraId="4EEF8789" w14:textId="77777777" w:rsidR="009F3ED8" w:rsidRPr="00B131B3" w:rsidRDefault="009F3ED8" w:rsidP="00B131B3">
      <w:r w:rsidRPr="00B131B3">
        <w:t>Longer average careers translate into a shorter period spent into retirement and into higher economic growth given higher employment rates. As such, a rising trend for the average contributory period exerts downward pressure on public pension expenditure. At the same time, however, a longer working life allows people to accumulate more pension rights, thus increasing pension expenditure, unless average yearly accrual rates are reduced in parallel.</w:t>
      </w:r>
    </w:p>
    <w:p w14:paraId="562F8243" w14:textId="77777777" w:rsidR="009F3ED8" w:rsidRPr="00B131B3" w:rsidRDefault="009F3ED8" w:rsidP="00B131B3">
      <w:pPr>
        <w:pStyle w:val="Heading"/>
      </w:pPr>
      <w:r w:rsidRPr="00B131B3">
        <w:t>Accrual rate</w:t>
      </w:r>
    </w:p>
    <w:p w14:paraId="77A528F7" w14:textId="77777777" w:rsidR="009F3ED8" w:rsidRPr="00B131B3" w:rsidRDefault="009F3ED8" w:rsidP="00B131B3">
      <w:r w:rsidRPr="00B131B3">
        <w:t xml:space="preserve">A small increase in the accrual rate of new public pensions is projected for the Czech Republic and Portugal over the projection period (see Table </w:t>
      </w:r>
      <w:r w:rsidRPr="00B131B3">
        <w:fldChar w:fldCharType="begin"/>
      </w:r>
      <w:r w:rsidRPr="00B131B3">
        <w:instrText xml:space="preserve"> QUOTE "II.1.21"</w:instrText>
      </w:r>
      <w:r w:rsidRPr="00B131B3">
        <w:fldChar w:fldCharType="begin">
          <w:fldData xml:space="preserve">QwBSAE8AUwBTAFIARQBGAEUAUgBFAE4AQwBFACoAVABBAEIATABFACoAZgAwADEANQAyADIAYQBl
AC0ANwBlADMAYwAtADQAMgA2AGIALQBhADcAMQAwAC0AOABjAGMAZQA0AGUANwBmADQAMwAxAGQA
</w:fldData>
        </w:fldChar>
      </w:r>
      <w:r w:rsidRPr="00B131B3">
        <w:instrText xml:space="preserve"> ADDIN </w:instrText>
      </w:r>
      <w:r w:rsidRPr="00B131B3">
        <w:fldChar w:fldCharType="end"/>
      </w:r>
      <w:r w:rsidRPr="00B131B3">
        <w:instrText xml:space="preserve"> </w:instrText>
      </w:r>
      <w:r w:rsidRPr="00B131B3">
        <w:fldChar w:fldCharType="separate"/>
      </w:r>
      <w:r w:rsidRPr="00B131B3">
        <w:t>II.1.21</w:t>
      </w:r>
      <w:r w:rsidRPr="00B131B3">
        <w:fldChar w:fldCharType="end"/>
      </w:r>
      <w:r w:rsidRPr="00B131B3">
        <w:t xml:space="preserve">). Bulgaria is set to see a large increase as a gradual increase to 1.5% has been legislated. </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1FAEC566" w14:textId="77777777" w:rsidTr="00B131B3">
        <w:trPr>
          <w:cantSplit/>
          <w:trHeight w:val="20"/>
        </w:trPr>
        <w:tc>
          <w:tcPr>
            <w:tcW w:w="4110" w:type="dxa"/>
            <w:shd w:val="clear" w:color="auto" w:fill="auto"/>
          </w:tcPr>
          <w:p w14:paraId="162189C3" w14:textId="77777777" w:rsidR="009F3ED8" w:rsidRPr="00B131B3" w:rsidRDefault="009F3ED8" w:rsidP="00B131B3">
            <w:pPr>
              <w:pStyle w:val="SlimCell"/>
              <w:keepNext/>
            </w:pPr>
          </w:p>
        </w:tc>
      </w:tr>
      <w:tr w:rsidR="009F3ED8" w:rsidRPr="00B131B3" w14:paraId="010C6D2C" w14:textId="77777777" w:rsidTr="00B131B3">
        <w:trPr>
          <w:cantSplit/>
        </w:trPr>
        <w:tc>
          <w:tcPr>
            <w:tcW w:w="4110" w:type="dxa"/>
            <w:shd w:val="clear" w:color="auto" w:fill="auto"/>
          </w:tcPr>
          <w:p w14:paraId="0ED79F71" w14:textId="77777777" w:rsidR="009F3ED8" w:rsidRPr="00B131B3" w:rsidRDefault="009F3ED8" w:rsidP="00B131B3">
            <w:pPr>
              <w:pStyle w:val="TableTitle"/>
              <w:rPr>
                <w:b/>
              </w:rPr>
            </w:pPr>
            <w:r w:rsidRPr="00B131B3">
              <w:t>Table II.1.21:</w:t>
            </w:r>
            <w:r w:rsidRPr="00B131B3">
              <w:rPr>
                <w:b/>
              </w:rPr>
              <w:tab/>
              <w:t>Average effective accrual rates of new public pensions</w:t>
            </w:r>
          </w:p>
        </w:tc>
      </w:tr>
      <w:tr w:rsidR="009F3ED8" w:rsidRPr="00B131B3" w14:paraId="224C1FB9" w14:textId="77777777" w:rsidTr="00B131B3">
        <w:trPr>
          <w:cantSplit/>
        </w:trPr>
        <w:tc>
          <w:tcPr>
            <w:tcW w:w="4110" w:type="dxa"/>
            <w:shd w:val="clear" w:color="auto" w:fill="auto"/>
          </w:tcPr>
          <w:p w14:paraId="54C4F086" w14:textId="77777777" w:rsidR="009F3ED8" w:rsidRPr="00B131B3" w:rsidRDefault="009F3ED8" w:rsidP="00B131B3">
            <w:pPr>
              <w:pStyle w:val="TableShape"/>
              <w:rPr>
                <w:sz w:val="2"/>
              </w:rPr>
            </w:pPr>
            <w:r w:rsidRPr="00B131B3">
              <w:fldChar w:fldCharType="begin"/>
            </w:r>
            <w:r w:rsidRPr="009F3ED8">
              <w:instrText xml:space="preserve"> TC "</w:instrText>
            </w:r>
            <w:bookmarkStart w:id="143" w:name="_Toc511664540"/>
            <w:r w:rsidRPr="009F3ED8">
              <w:instrText>II.1.21.</w:instrText>
            </w:r>
            <w:r w:rsidRPr="009F3ED8">
              <w:tab/>
              <w:instrText>Average effective accrual rates of new public pensions</w:instrText>
            </w:r>
            <w:bookmarkEnd w:id="143"/>
            <w:r w:rsidRPr="009F3ED8">
              <w:instrText xml:space="preserve">" \ftable \l 5 </w:instrText>
            </w:r>
            <w:r w:rsidRPr="00B131B3">
              <w:fldChar w:fldCharType="end"/>
            </w:r>
            <w:r w:rsidRPr="00B131B3">
              <w:rPr>
                <w:noProof/>
                <w:sz w:val="2"/>
                <w:lang w:val="hr-HR" w:eastAsia="hr-HR"/>
              </w:rPr>
              <w:drawing>
                <wp:inline distT="0" distB="0" distL="0" distR="0" wp14:anchorId="587017A4" wp14:editId="5F47C678">
                  <wp:extent cx="2597595" cy="2536319"/>
                  <wp:effectExtent l="0" t="0" r="0" b="0"/>
                  <wp:docPr id="936" name="Picture 936" descr="&lt;nbr&gt;&lt;GETTEXTFROMWORD&gt;&lt;/nbr&gt;&#10;&lt;title&gt;&lt;GETTEXTFROMWORD&gt;&lt;/title&gt;&#10;&lt;id&gt;f01522ae-7e3c-426b-a710-8cce4e7f431d&lt;/id&gt;&#10;&lt;srcType&gt;EXCEL&lt;/srcType&gt;&#10;&lt;srcPath&gt;U:\Budgetary projections 2018\Reports\2018 AR\Tables_and_graphs\Part II Chapter 1\&lt;/srcPath&gt;&#10;&lt;srcName&gt;Tables_graphs_projections.xlsx&lt;/srcName&gt;&#10;&lt;type&gt;table&lt;/type&gt;&#10; &lt;srcSheet&gt;Table 28&lt;/srcSheet&gt;&#10; &lt;srcRange&gt;R2C2:R37C10&lt;/srcRang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597595" cy="2536319"/>
                          </a:xfrm>
                          <a:prstGeom prst="rect">
                            <a:avLst/>
                          </a:prstGeom>
                          <a:noFill/>
                          <a:ln>
                            <a:noFill/>
                          </a:ln>
                        </pic:spPr>
                      </pic:pic>
                    </a:graphicData>
                  </a:graphic>
                </wp:inline>
              </w:drawing>
            </w:r>
          </w:p>
        </w:tc>
      </w:tr>
      <w:tr w:rsidR="009F3ED8" w:rsidRPr="00B131B3" w14:paraId="79FB08B6" w14:textId="77777777" w:rsidTr="00B131B3">
        <w:trPr>
          <w:cantSplit/>
        </w:trPr>
        <w:tc>
          <w:tcPr>
            <w:tcW w:w="4110" w:type="dxa"/>
            <w:shd w:val="clear" w:color="auto" w:fill="auto"/>
          </w:tcPr>
          <w:p w14:paraId="5D69AF62" w14:textId="77777777" w:rsidR="009F3ED8" w:rsidRDefault="009F3ED8" w:rsidP="00B131B3">
            <w:pPr>
              <w:pStyle w:val="TableFootnote"/>
            </w:pPr>
            <w:r>
              <w:t xml:space="preserve">(1) DK, NL, IE: flat system with new pensions not depending on accrual rates. </w:t>
            </w:r>
            <w:r>
              <w:br/>
              <w:t>(2) DE, RO: point system with new pensions not depending on accrual rates.</w:t>
            </w:r>
            <w:r>
              <w:br/>
              <w:t>(3) FR: accrual rates are computed ex-post, for both DB and PS systems as they coexist in France (see country fiche for more details).</w:t>
            </w:r>
            <w:r>
              <w:br/>
              <w:t>(4) SE: figures for the NDC system.</w:t>
            </w:r>
            <w:r>
              <w:br/>
              <w:t>(5) UK: no data provided.</w:t>
            </w:r>
            <w:r>
              <w:br/>
              <w:t>(6) EL: figures refer only to the main pension provision.</w:t>
            </w:r>
          </w:p>
          <w:p w14:paraId="3A7A1EC4"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0428C819" w14:textId="77777777" w:rsidTr="00B131B3">
        <w:trPr>
          <w:cantSplit/>
          <w:trHeight w:val="20"/>
        </w:trPr>
        <w:tc>
          <w:tcPr>
            <w:tcW w:w="4110" w:type="dxa"/>
            <w:shd w:val="clear" w:color="auto" w:fill="auto"/>
            <w:tcMar>
              <w:bottom w:w="240" w:type="dxa"/>
            </w:tcMar>
          </w:tcPr>
          <w:p w14:paraId="2E8A2135" w14:textId="77777777" w:rsidR="009F3ED8" w:rsidRPr="00B131B3" w:rsidRDefault="009F3ED8" w:rsidP="00B131B3">
            <w:pPr>
              <w:pStyle w:val="SlimCell"/>
            </w:pPr>
          </w:p>
        </w:tc>
      </w:tr>
    </w:tbl>
    <w:p w14:paraId="2B911264" w14:textId="77777777" w:rsidR="009F3ED8" w:rsidRPr="00B131B3" w:rsidRDefault="009F3ED8" w:rsidP="00B131B3"/>
    <w:p w14:paraId="777B5FB7" w14:textId="77777777" w:rsidR="009F3ED8" w:rsidRPr="00B131B3" w:rsidRDefault="009F3ED8" w:rsidP="00B131B3">
      <w:pPr>
        <w:pStyle w:val="NumberedHeading1"/>
        <w:tabs>
          <w:tab w:val="left" w:pos="567"/>
        </w:tabs>
      </w:pPr>
      <w:r w:rsidRPr="00B131B3">
        <w:br w:type="page"/>
      </w:r>
      <w:bookmarkStart w:id="144" w:name="_Toc511664431"/>
      <w:r w:rsidRPr="00B131B3">
        <w:lastRenderedPageBreak/>
        <w:t>1.8.</w:t>
      </w:r>
      <w:r w:rsidRPr="00B131B3">
        <w:tab/>
        <w:t>Sensitivity tests</w:t>
      </w:r>
      <w:bookmarkEnd w:id="144"/>
    </w:p>
    <w:p w14:paraId="5313E411" w14:textId="77777777" w:rsidR="009F3ED8" w:rsidRPr="00B131B3" w:rsidRDefault="009F3ED8" w:rsidP="00B131B3">
      <w:r w:rsidRPr="00B131B3">
        <w:t xml:space="preserve">The 2018 pension projection exercise is carried out on the basis of commonly-agreed demographic and macroeconomic assumptions, as well as a 'no-policy change' scenario (see Part I for a detailed description). Obviously, the assumptions used for this type of long-run projections are surrounded by considerable uncertainty. Therefore, a number of sensitivity tests have been carried out. These allow quantifying the responsiveness of pension expenditure to changes in key underlying assumptions. </w:t>
      </w:r>
    </w:p>
    <w:p w14:paraId="3D21524B" w14:textId="77777777" w:rsidR="009F3ED8" w:rsidRPr="00B131B3" w:rsidRDefault="009F3ED8" w:rsidP="00B131B3">
      <w:r w:rsidRPr="00B131B3">
        <w:t xml:space="preserve">In practice, changes to two types of variables were applied (see Part I, Chapter 3 for a detailed description): demographic variables (life expectancy, migration flows, fertility) and macroeconomic variables (employment rate, productivity). Compared to the 2015 Ageing Report, a number of additional scenarios were added that cover higher net migration, lower fertility, lower employment and higher productivity as compared to the baseline scenario. In addition, a policy-change scenario was run as was done in the 2015 Ageing Report. This scenario looks at the likely impact of automatic rules that would adapt the legal retirement age to changes in life expectancy over time. </w:t>
      </w:r>
    </w:p>
    <w:p w14:paraId="425ED339" w14:textId="77777777" w:rsidR="009F3ED8" w:rsidRPr="00B131B3" w:rsidRDefault="009F3ED8" w:rsidP="00B131B3">
      <w:r w:rsidRPr="00B131B3">
        <w:t>This section presents the results of the alternative scenarios as deviations from the baseline scenario. This relative impact can also be read as an elasticity parameter. For the United Kingdom, sensitivity tests were performed only for State pensions and not for public service pensions. For Ireland, tests were applied only to Public Social Security schemes.</w:t>
      </w:r>
    </w:p>
    <w:p w14:paraId="4ADA1297" w14:textId="77777777" w:rsidR="009F3ED8" w:rsidRPr="00B131B3" w:rsidRDefault="009F3ED8" w:rsidP="00B131B3">
      <w:pPr>
        <w:pStyle w:val="NumberedHeading2"/>
        <w:tabs>
          <w:tab w:val="left" w:pos="567"/>
        </w:tabs>
      </w:pPr>
      <w:r w:rsidRPr="00B131B3">
        <w:t>1.8.1.</w:t>
      </w:r>
      <w:r w:rsidRPr="00B131B3">
        <w:tab/>
        <w:t>Sensitivity tests on demographic variables</w:t>
      </w:r>
    </w:p>
    <w:p w14:paraId="2B07FF60" w14:textId="77777777" w:rsidR="009F3ED8" w:rsidRPr="00B131B3" w:rsidRDefault="009F3ED8" w:rsidP="00B131B3">
      <w:r w:rsidRPr="00B131B3">
        <w:t xml:space="preserve">An </w:t>
      </w:r>
      <w:r w:rsidRPr="00B131B3">
        <w:rPr>
          <w:b/>
        </w:rPr>
        <w:t>increase in life expectancy at birth of around two years</w:t>
      </w:r>
      <w:r w:rsidRPr="00B131B3">
        <w:t xml:space="preserve"> as compared to the assumptions in the baseline scenario would push up average pension expenditure by 0.3 pps. of GDP in 2070 (see Graph </w:t>
      </w:r>
      <w:r w:rsidRPr="00B131B3">
        <w:fldChar w:fldCharType="begin"/>
      </w:r>
      <w:r w:rsidRPr="00B131B3">
        <w:instrText xml:space="preserve"> QUOTE "II.1.17"</w:instrText>
      </w:r>
      <w:r w:rsidRPr="00B131B3">
        <w:fldChar w:fldCharType="begin">
          <w:fldData xml:space="preserve">QwBSAE8AUwBTAFIARQBGAEUAUgBFAE4AQwBFACoARwBSAEEAUABIACoAZgA4AGMAZgAwAGIANAAy
AC0ANQAwAGMANwAtADQANQA0AGMALQBhAGQAYQA5AC0AMAAzADMAMwBmADMAMAA4AGIAMwA3ADQA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II.1.17</w:t>
      </w:r>
      <w:r w:rsidRPr="00B131B3">
        <w:fldChar w:fldCharType="end"/>
      </w:r>
      <w:r w:rsidRPr="00B131B3">
        <w:t xml:space="preserve">). This reflects how people, as they live longer, would also earn a pension during a longer period. This upward impact on public finances would be offset to some extent by the positive effect through the labour force on economic growth. Moreover, some countries have </w:t>
      </w:r>
      <w:r w:rsidRPr="00B131B3">
        <w:lastRenderedPageBreak/>
        <w:t xml:space="preserve">reinforced their pension system with automatic adjustment mechanisms (see Table </w:t>
      </w:r>
      <w:r w:rsidRPr="00B131B3">
        <w:fldChar w:fldCharType="begin"/>
      </w:r>
      <w:r w:rsidRPr="00B131B3">
        <w:instrText xml:space="preserve"> QUOTE "II.1.2"</w:instrText>
      </w:r>
      <w:r w:rsidRPr="00B131B3">
        <w:fldChar w:fldCharType="begin">
          <w:fldData xml:space="preserve">QwBSAE8AUwBTAFIARQBGAEUAUgBFAE4AQwBFACoAVABBAEIATABFACoAYgAwAGQAZgAxADYAZgBk
AC0AMwA2ADkANwAtADQAYwA0AGQALQA4ADQAZgAzAC0AZAAzADcAMQA0ADQAZgAxADgAZQAwADMA
</w:fldData>
        </w:fldChar>
      </w:r>
      <w:r w:rsidRPr="00B131B3">
        <w:instrText xml:space="preserve"> ADDIN </w:instrText>
      </w:r>
      <w:r w:rsidRPr="00B131B3">
        <w:fldChar w:fldCharType="end"/>
      </w:r>
      <w:r w:rsidRPr="00B131B3">
        <w:instrText xml:space="preserve"> </w:instrText>
      </w:r>
      <w:r w:rsidRPr="00B131B3">
        <w:fldChar w:fldCharType="separate"/>
      </w:r>
      <w:r w:rsidRPr="00B131B3">
        <w:t>II.1.2</w:t>
      </w:r>
      <w:r w:rsidRPr="00B131B3">
        <w:fldChar w:fldCharType="end"/>
      </w:r>
      <w:r w:rsidRPr="00B131B3">
        <w:t xml:space="preserve">). This reflects in the estimated impact on the pension expenditure ratio for these countries: all Member States with an impact of at most 0.2 pps. of GDP have such mechanisms. In Cyprus, the Netherlands and Greece estimates even point to a reduction of the pension expenditure ratio. The stronger-than-assumed rise in life expectancy would have the biggest impact on pension spending in Slovenia (+0.9 pps. of GDP), Belgium (+0.8 pps.), and Bulgaria, the Czech Republic and Austria (+0.7 pps.). </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6FDE4864" w14:textId="77777777" w:rsidTr="00B131B3">
        <w:trPr>
          <w:cantSplit/>
        </w:trPr>
        <w:tc>
          <w:tcPr>
            <w:tcW w:w="4110" w:type="dxa"/>
            <w:shd w:val="clear" w:color="auto" w:fill="auto"/>
          </w:tcPr>
          <w:p w14:paraId="6CDCDB84" w14:textId="77777777" w:rsidR="009F3ED8" w:rsidRPr="00B131B3" w:rsidRDefault="009F3ED8" w:rsidP="00B131B3">
            <w:pPr>
              <w:pStyle w:val="GraphTitle"/>
              <w:rPr>
                <w:b/>
              </w:rPr>
            </w:pPr>
            <w:r w:rsidRPr="00B131B3">
              <w:t>Graph II.1.17:</w:t>
            </w:r>
            <w:r w:rsidRPr="00B131B3">
              <w:rPr>
                <w:b/>
              </w:rPr>
              <w:tab/>
              <w:t>Impact of an increase of life expectancy on the change in gross public pension expenditure in 2016-2070 (deviation from baseline, pps. of GDP)</w:t>
            </w:r>
          </w:p>
        </w:tc>
      </w:tr>
      <w:tr w:rsidR="009F3ED8" w:rsidRPr="00B131B3" w14:paraId="446DC6A3" w14:textId="77777777" w:rsidTr="00B131B3">
        <w:trPr>
          <w:cantSplit/>
        </w:trPr>
        <w:tc>
          <w:tcPr>
            <w:tcW w:w="4110" w:type="dxa"/>
            <w:shd w:val="clear" w:color="auto" w:fill="auto"/>
          </w:tcPr>
          <w:p w14:paraId="3D8C24D5" w14:textId="77777777" w:rsidR="009F3ED8" w:rsidRPr="00B131B3" w:rsidRDefault="009F3ED8" w:rsidP="00B131B3">
            <w:pPr>
              <w:pStyle w:val="GraphShape"/>
              <w:rPr>
                <w:sz w:val="2"/>
              </w:rPr>
            </w:pPr>
            <w:r w:rsidRPr="00B131B3">
              <w:fldChar w:fldCharType="begin"/>
            </w:r>
            <w:r w:rsidRPr="009F3ED8">
              <w:instrText xml:space="preserve"> TC "</w:instrText>
            </w:r>
            <w:bookmarkStart w:id="145" w:name="_Toc511664667"/>
            <w:r w:rsidRPr="009F3ED8">
              <w:instrText>II.1.17.</w:instrText>
            </w:r>
            <w:r w:rsidRPr="009F3ED8">
              <w:tab/>
              <w:instrText>Impact of an increase of life expectancy on the change in gross public pension expenditure in 2016-2070 (deviation from baseline, pps. of GDP)</w:instrText>
            </w:r>
            <w:bookmarkEnd w:id="145"/>
            <w:r w:rsidRPr="009F3ED8">
              <w:instrText xml:space="preserve">" \fgraph \l 5 </w:instrText>
            </w:r>
            <w:r w:rsidRPr="00B131B3">
              <w:fldChar w:fldCharType="end"/>
            </w:r>
            <w:r w:rsidRPr="00B131B3">
              <w:rPr>
                <w:noProof/>
                <w:sz w:val="2"/>
                <w:lang w:val="hr-HR" w:eastAsia="hr-HR"/>
              </w:rPr>
              <w:drawing>
                <wp:inline distT="0" distB="0" distL="0" distR="0" wp14:anchorId="5F95C5E7" wp14:editId="0FD626BB">
                  <wp:extent cx="2597595" cy="2597595"/>
                  <wp:effectExtent l="0" t="0" r="0" b="0"/>
                  <wp:docPr id="937" name="Picture 937" descr="&lt;nbr&gt;&lt;GETTEXTFROMWORD&gt;&lt;/nbr&gt;&#10;&lt;title&gt;&lt;GETTEXTFROMWORD&gt;&lt;/title&gt;&#10;&lt;id&gt;f8cf0b42-50c7-454c-ada9-0333f308b374&lt;/id&gt;&#10;&lt;srcType&gt;EXCEL&lt;/srcType&gt;&#10;&lt;srcPath&gt;\\net1.cec.eu.int\ECFIN\C\2\Budgetary projections 2018\Reports\2018 AR\Tables_and_graphs\Part II Chapter 1\&lt;/srcPath&gt;&#10;&lt;srcName&gt;Tables_graphs_projections.xlsx&lt;/srcName&gt;&#10;&lt;type&gt;graph&lt;/type&gt;&#10; &lt;srcSheet&gt;Graph 18&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597595" cy="2597595"/>
                          </a:xfrm>
                          <a:prstGeom prst="rect">
                            <a:avLst/>
                          </a:prstGeom>
                          <a:noFill/>
                          <a:ln>
                            <a:noFill/>
                          </a:ln>
                        </pic:spPr>
                      </pic:pic>
                    </a:graphicData>
                  </a:graphic>
                </wp:inline>
              </w:drawing>
            </w:r>
          </w:p>
        </w:tc>
      </w:tr>
      <w:tr w:rsidR="009F3ED8" w:rsidRPr="00B131B3" w14:paraId="7E03DCF4" w14:textId="77777777" w:rsidTr="00B131B3">
        <w:trPr>
          <w:cantSplit/>
        </w:trPr>
        <w:tc>
          <w:tcPr>
            <w:tcW w:w="4110" w:type="dxa"/>
            <w:shd w:val="clear" w:color="auto" w:fill="auto"/>
            <w:tcMar>
              <w:bottom w:w="240" w:type="dxa"/>
            </w:tcMar>
          </w:tcPr>
          <w:p w14:paraId="426A2B17" w14:textId="77777777" w:rsidR="009F3ED8" w:rsidRPr="00B131B3" w:rsidRDefault="009F3ED8" w:rsidP="00B131B3">
            <w:pPr>
              <w:pStyle w:val="GraphSource"/>
              <w:keepNext/>
            </w:pPr>
            <w:r w:rsidRPr="00B131B3">
              <w:rPr>
                <w:b/>
                <w:i/>
              </w:rPr>
              <w:t>Source:</w:t>
            </w:r>
            <w:r w:rsidRPr="00B131B3">
              <w:t xml:space="preserve"> Commission services, EPC.</w:t>
            </w:r>
          </w:p>
        </w:tc>
      </w:tr>
    </w:tbl>
    <w:p w14:paraId="75408768" w14:textId="77777777" w:rsidR="009F3ED8" w:rsidRPr="00B131B3" w:rsidRDefault="009F3ED8" w:rsidP="00B131B3">
      <w:r w:rsidRPr="00B131B3">
        <w:t xml:space="preserve">Pension expenditure would increase for all countries under the assumption of </w:t>
      </w:r>
      <w:r w:rsidRPr="00B131B3">
        <w:rPr>
          <w:b/>
        </w:rPr>
        <w:t>net migration being 33% lower</w:t>
      </w:r>
      <w:r w:rsidRPr="00B131B3">
        <w:t xml:space="preserve"> during the entire projection horizon (see Graph </w:t>
      </w:r>
      <w:r w:rsidRPr="00B131B3">
        <w:fldChar w:fldCharType="begin"/>
      </w:r>
      <w:r w:rsidRPr="00B131B3">
        <w:instrText xml:space="preserve"> QUOTE "II.1.18"</w:instrText>
      </w:r>
      <w:r w:rsidRPr="00B131B3">
        <w:fldChar w:fldCharType="begin">
          <w:fldData xml:space="preserve">QwBSAE8AUwBTAFIARQBGAEUAUgBFAE4AQwBFACoARwBSAEEAUABIACoAOQAxAGEAYQBjAGMAOABh
AC0ANAA2ADMAYgAtADQAZAAxAGQALQBiADAAYQA3AC0AOQA3AGIAMgA0ADQANQAxADkAYQBhAGUA
</w:fldData>
        </w:fldChar>
      </w:r>
      <w:r w:rsidRPr="00B131B3">
        <w:instrText xml:space="preserve"> ADDIN </w:instrText>
      </w:r>
      <w:r w:rsidRPr="00B131B3">
        <w:fldChar w:fldCharType="end"/>
      </w:r>
      <w:r w:rsidRPr="00B131B3">
        <w:instrText xml:space="preserve"> </w:instrText>
      </w:r>
      <w:r w:rsidRPr="00B131B3">
        <w:fldChar w:fldCharType="separate"/>
      </w:r>
      <w:r w:rsidRPr="00B131B3">
        <w:t>II.1.18</w:t>
      </w:r>
      <w:r w:rsidRPr="00B131B3">
        <w:fldChar w:fldCharType="end"/>
      </w:r>
      <w:r w:rsidRPr="00B131B3">
        <w:t xml:space="preserve">). Countries generally assume that a large share of migrants enters the labour market upon arrival and will be making pension contributions during the projection horizon rather than enjoying pensions themselves. As a result, the impact on the pension expenditure-to-GDP ratio averages 0.4 pps. of GDP by 2070. This impact stems mainly from the denominator as lower net migration inflows shrink labour force projections and thus economic growth. </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1B925D21" w14:textId="77777777" w:rsidTr="00B131B3">
        <w:trPr>
          <w:cantSplit/>
        </w:trPr>
        <w:tc>
          <w:tcPr>
            <w:tcW w:w="4110" w:type="dxa"/>
            <w:shd w:val="clear" w:color="auto" w:fill="auto"/>
          </w:tcPr>
          <w:p w14:paraId="479789E8" w14:textId="77777777" w:rsidR="009F3ED8" w:rsidRPr="00B131B3" w:rsidRDefault="009F3ED8" w:rsidP="00B131B3">
            <w:pPr>
              <w:pStyle w:val="GraphTitle"/>
              <w:rPr>
                <w:b/>
              </w:rPr>
            </w:pPr>
            <w:r w:rsidRPr="00B131B3">
              <w:lastRenderedPageBreak/>
              <w:t>Graph II.1.18:</w:t>
            </w:r>
            <w:r w:rsidRPr="00B131B3">
              <w:rPr>
                <w:b/>
              </w:rPr>
              <w:tab/>
              <w:t>Impact of lower migration on the change in gross public pension expenditure in 2016-2070 (deviation from baseline, pps. of GDP)</w:t>
            </w:r>
          </w:p>
        </w:tc>
      </w:tr>
      <w:tr w:rsidR="009F3ED8" w:rsidRPr="00B131B3" w14:paraId="28122BF6" w14:textId="77777777" w:rsidTr="00B131B3">
        <w:trPr>
          <w:cantSplit/>
        </w:trPr>
        <w:tc>
          <w:tcPr>
            <w:tcW w:w="4110" w:type="dxa"/>
            <w:shd w:val="clear" w:color="auto" w:fill="auto"/>
          </w:tcPr>
          <w:p w14:paraId="590B7847" w14:textId="77777777" w:rsidR="009F3ED8" w:rsidRPr="00B131B3" w:rsidRDefault="009F3ED8" w:rsidP="00B131B3">
            <w:pPr>
              <w:pStyle w:val="GraphShape"/>
              <w:rPr>
                <w:sz w:val="2"/>
              </w:rPr>
            </w:pPr>
            <w:r w:rsidRPr="00B131B3">
              <w:fldChar w:fldCharType="begin"/>
            </w:r>
            <w:r w:rsidRPr="009F3ED8">
              <w:instrText xml:space="preserve"> TC "</w:instrText>
            </w:r>
            <w:bookmarkStart w:id="146" w:name="_Toc511664668"/>
            <w:r w:rsidRPr="009F3ED8">
              <w:instrText>II.1.18.</w:instrText>
            </w:r>
            <w:r w:rsidRPr="009F3ED8">
              <w:tab/>
              <w:instrText>Impact of lower migration on the change in gross public pension expenditure in 2016-2070 (deviation from baseline, pps. of GDP)</w:instrText>
            </w:r>
            <w:bookmarkEnd w:id="146"/>
            <w:r w:rsidRPr="009F3ED8">
              <w:instrText xml:space="preserve">" \fgraph \l 5 </w:instrText>
            </w:r>
            <w:r w:rsidRPr="00B131B3">
              <w:fldChar w:fldCharType="end"/>
            </w:r>
            <w:r w:rsidRPr="00B131B3">
              <w:rPr>
                <w:noProof/>
                <w:sz w:val="2"/>
                <w:lang w:val="hr-HR" w:eastAsia="hr-HR"/>
              </w:rPr>
              <w:drawing>
                <wp:inline distT="0" distB="0" distL="0" distR="0" wp14:anchorId="2598986C" wp14:editId="6A1C1B75">
                  <wp:extent cx="2597595" cy="2597595"/>
                  <wp:effectExtent l="0" t="0" r="0" b="0"/>
                  <wp:docPr id="1114" name="Picture 1114" descr="&lt;nbr&gt;&lt;GETTEXTFROMWORD&gt;&lt;/nbr&gt;&#10;&lt;title&gt;&lt;GETTEXTFROMWORD&gt;&lt;/title&gt;&#10;&lt;id&gt;91aacc8a-463b-4d1d-b0a7-97b244519aae&lt;/id&gt;&#10;&lt;srcType&gt;EXCEL&lt;/srcType&gt;&#10;&lt;srcPath&gt;\\net1.cec.eu.int\ECFIN\C\2\Budgetary projections 2018\Reports\2018 AR\Tables_and_graphs\Part II Chapter 1\&lt;/srcPath&gt;&#10;&lt;srcName&gt;Tables_graphs_projections.xlsx&lt;/srcName&gt;&#10;&lt;type&gt;graph&lt;/type&gt;&#10; &lt;srcSheet&gt;Graph 19&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597595" cy="2597595"/>
                          </a:xfrm>
                          <a:prstGeom prst="rect">
                            <a:avLst/>
                          </a:prstGeom>
                          <a:noFill/>
                          <a:ln>
                            <a:noFill/>
                          </a:ln>
                        </pic:spPr>
                      </pic:pic>
                    </a:graphicData>
                  </a:graphic>
                </wp:inline>
              </w:drawing>
            </w:r>
          </w:p>
        </w:tc>
      </w:tr>
      <w:tr w:rsidR="009F3ED8" w:rsidRPr="00B131B3" w14:paraId="51D5667C" w14:textId="77777777" w:rsidTr="00B131B3">
        <w:trPr>
          <w:cantSplit/>
        </w:trPr>
        <w:tc>
          <w:tcPr>
            <w:tcW w:w="4110" w:type="dxa"/>
            <w:shd w:val="clear" w:color="auto" w:fill="auto"/>
            <w:tcMar>
              <w:bottom w:w="240" w:type="dxa"/>
            </w:tcMar>
          </w:tcPr>
          <w:p w14:paraId="5C2D52FC" w14:textId="77777777" w:rsidR="009F3ED8" w:rsidRPr="00B131B3" w:rsidRDefault="009F3ED8" w:rsidP="00B131B3">
            <w:pPr>
              <w:pStyle w:val="GraphSource"/>
              <w:keepNext/>
            </w:pPr>
            <w:r w:rsidRPr="00B131B3">
              <w:rPr>
                <w:b/>
                <w:i/>
              </w:rPr>
              <w:t>Source:</w:t>
            </w:r>
            <w:r w:rsidRPr="00B131B3">
              <w:t xml:space="preserve"> Commission services, EPC.</w:t>
            </w:r>
          </w:p>
        </w:tc>
      </w:tr>
    </w:tbl>
    <w:p w14:paraId="02C99431" w14:textId="77777777" w:rsidR="009F3ED8" w:rsidRPr="00B131B3" w:rsidRDefault="009F3ED8" w:rsidP="00B131B3">
      <w:r w:rsidRPr="00B131B3">
        <w:t xml:space="preserve">The highest impact would be in smaller countries where net migration flows represent a high proportion of total population in the baseline scenario: Luxembourg (+2 pps. of GDP), Cyprus (+1.3 pps.), Austria (+1.1 pps.), Slovenia, Norway and Malta (+0.7 pps.) and Belgium (+0.6 pps.). Lithuania would see pension expenditure increase by an estimated 0.6 pps. of GDP if this scenario were to occur: under the baseline scenario the Lithuanian population would shrink by 40% in 2070 as compared to 2016. Lower net migration – higher net outflows in the case of Lithuania – would cause a further decline in the population and narrow the contributory base. The impact would be situated in the second half of the projections. </w:t>
      </w:r>
    </w:p>
    <w:p w14:paraId="0A46D9EC" w14:textId="77777777" w:rsidR="009F3ED8" w:rsidRPr="00B131B3" w:rsidRDefault="009F3ED8" w:rsidP="00B131B3">
      <w:r w:rsidRPr="00B131B3">
        <w:t xml:space="preserve">The opposite scenario of </w:t>
      </w:r>
      <w:r w:rsidRPr="00B131B3">
        <w:rPr>
          <w:b/>
        </w:rPr>
        <w:t>net migration being 33% higher</w:t>
      </w:r>
      <w:r w:rsidRPr="00B131B3">
        <w:t xml:space="preserve"> than the baseline assumption would result in a picture more or less symmetric to the lower migration scenario. Luxembourg would benefit the most from a 33% increase in net migration, though the effect is smaller than that of a 33% lower net migration. The fact that pension expenditure would rise in the cases of Bulgaria, Estonia and Romania when assuming higher net migration is explained by their baseline migration profile. </w:t>
      </w:r>
    </w:p>
    <w:p w14:paraId="5B22D61A" w14:textId="77777777" w:rsidR="009F3ED8" w:rsidRPr="00B131B3" w:rsidRDefault="009F3ED8" w:rsidP="00B131B3"/>
    <w:p w14:paraId="627C8A16" w14:textId="77777777" w:rsidR="009F3ED8" w:rsidRPr="00B131B3" w:rsidRDefault="009F3ED8" w:rsidP="00B131B3"/>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13C7AA4F" w14:textId="77777777" w:rsidTr="00B131B3">
        <w:trPr>
          <w:cantSplit/>
        </w:trPr>
        <w:tc>
          <w:tcPr>
            <w:tcW w:w="4110" w:type="dxa"/>
            <w:shd w:val="clear" w:color="auto" w:fill="auto"/>
          </w:tcPr>
          <w:p w14:paraId="5ECA5910" w14:textId="77777777" w:rsidR="009F3ED8" w:rsidRPr="00B131B3" w:rsidRDefault="009F3ED8" w:rsidP="00B131B3">
            <w:pPr>
              <w:pStyle w:val="GraphTitle"/>
              <w:rPr>
                <w:b/>
              </w:rPr>
            </w:pPr>
            <w:r w:rsidRPr="00B131B3">
              <w:lastRenderedPageBreak/>
              <w:t>Graph II.1.19:</w:t>
            </w:r>
            <w:r w:rsidRPr="00B131B3">
              <w:rPr>
                <w:b/>
              </w:rPr>
              <w:tab/>
              <w:t>Impact of higher migration on the change in gross public pension expenditure in 2016-2070 (deviation from baseline, pps. of GDP)</w:t>
            </w:r>
          </w:p>
        </w:tc>
      </w:tr>
      <w:tr w:rsidR="009F3ED8" w:rsidRPr="00B131B3" w14:paraId="5F5E1965" w14:textId="77777777" w:rsidTr="00B131B3">
        <w:trPr>
          <w:cantSplit/>
        </w:trPr>
        <w:tc>
          <w:tcPr>
            <w:tcW w:w="4110" w:type="dxa"/>
            <w:shd w:val="clear" w:color="auto" w:fill="auto"/>
          </w:tcPr>
          <w:p w14:paraId="6DDD56F6" w14:textId="77777777" w:rsidR="009F3ED8" w:rsidRPr="00B131B3" w:rsidRDefault="009F3ED8" w:rsidP="00B131B3">
            <w:pPr>
              <w:pStyle w:val="GraphShape"/>
              <w:rPr>
                <w:sz w:val="2"/>
              </w:rPr>
            </w:pPr>
            <w:r w:rsidRPr="00B131B3">
              <w:fldChar w:fldCharType="begin"/>
            </w:r>
            <w:r w:rsidRPr="009F3ED8">
              <w:instrText xml:space="preserve"> TC "</w:instrText>
            </w:r>
            <w:bookmarkStart w:id="147" w:name="_Toc511664669"/>
            <w:r w:rsidRPr="009F3ED8">
              <w:instrText>II.1.19.</w:instrText>
            </w:r>
            <w:r w:rsidRPr="009F3ED8">
              <w:tab/>
              <w:instrText>Impact of higher migration on the change in gross public pension expenditure in 2016-2070 (deviation from baseline, pps. of GDP)</w:instrText>
            </w:r>
            <w:bookmarkEnd w:id="147"/>
            <w:r w:rsidRPr="009F3ED8">
              <w:instrText xml:space="preserve">" \fgraph \l 5 </w:instrText>
            </w:r>
            <w:r w:rsidRPr="00B131B3">
              <w:fldChar w:fldCharType="end"/>
            </w:r>
            <w:r w:rsidRPr="00B131B3">
              <w:rPr>
                <w:noProof/>
                <w:sz w:val="2"/>
                <w:lang w:val="hr-HR" w:eastAsia="hr-HR"/>
              </w:rPr>
              <w:drawing>
                <wp:inline distT="0" distB="0" distL="0" distR="0" wp14:anchorId="5356487F" wp14:editId="302806AE">
                  <wp:extent cx="2597595" cy="2597595"/>
                  <wp:effectExtent l="0" t="0" r="0" b="0"/>
                  <wp:docPr id="1115" name="Picture 1115" descr="&lt;nbr&gt;&lt;GETTEXTFROMWORD&gt;&lt;/nbr&gt;&#10;&lt;title&gt;&lt;GETTEXTFROMWORD&gt;&lt;/title&gt;&#10;&lt;id&gt;c4e1b454-6877-47b4-bb32-516b1d264605&lt;/id&gt;&#10;&lt;srcType&gt;EXCEL&lt;/srcType&gt;&#10;&lt;srcPath&gt;\\net1.cec.eu.int\ECFIN\C\2\Budgetary projections 2018\Reports\2018 AR\Tables_and_graphs\Part II Chapter 1\&lt;/srcPath&gt;&#10;&lt;srcName&gt;Tables_graphs_projections.xlsx&lt;/srcName&gt;&#10;&lt;type&gt;graph&lt;/type&gt;&#10; &lt;srcSheet&gt;Graph 19b_new&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597595" cy="2597595"/>
                          </a:xfrm>
                          <a:prstGeom prst="rect">
                            <a:avLst/>
                          </a:prstGeom>
                          <a:noFill/>
                          <a:ln>
                            <a:noFill/>
                          </a:ln>
                        </pic:spPr>
                      </pic:pic>
                    </a:graphicData>
                  </a:graphic>
                </wp:inline>
              </w:drawing>
            </w:r>
          </w:p>
        </w:tc>
      </w:tr>
      <w:tr w:rsidR="009F3ED8" w:rsidRPr="00B131B3" w14:paraId="1F0CBD6C" w14:textId="77777777" w:rsidTr="00B131B3">
        <w:trPr>
          <w:cantSplit/>
        </w:trPr>
        <w:tc>
          <w:tcPr>
            <w:tcW w:w="4110" w:type="dxa"/>
            <w:shd w:val="clear" w:color="auto" w:fill="auto"/>
            <w:tcMar>
              <w:bottom w:w="240" w:type="dxa"/>
            </w:tcMar>
          </w:tcPr>
          <w:p w14:paraId="3801259D" w14:textId="77777777" w:rsidR="009F3ED8" w:rsidRPr="00B131B3" w:rsidRDefault="009F3ED8" w:rsidP="00B131B3">
            <w:pPr>
              <w:pStyle w:val="GraphSource"/>
              <w:keepNext/>
            </w:pPr>
            <w:r w:rsidRPr="00B131B3">
              <w:rPr>
                <w:b/>
                <w:i/>
              </w:rPr>
              <w:t>Source:</w:t>
            </w:r>
            <w:r w:rsidRPr="00B131B3">
              <w:t xml:space="preserve"> Commission services, EPC.</w:t>
            </w:r>
          </w:p>
        </w:tc>
      </w:tr>
    </w:tbl>
    <w:p w14:paraId="46CB935A" w14:textId="77777777" w:rsidR="009F3ED8" w:rsidRPr="00B131B3" w:rsidRDefault="009F3ED8" w:rsidP="00B131B3">
      <w:r w:rsidRPr="00B131B3">
        <w:t xml:space="preserve">Setting </w:t>
      </w:r>
      <w:r w:rsidRPr="00B131B3">
        <w:rPr>
          <w:b/>
        </w:rPr>
        <w:t>fertility rates 20% lower</w:t>
      </w:r>
      <w:r w:rsidRPr="00B131B3">
        <w:t xml:space="preserve"> during the entire projection period implies a lower population growth. While the baseline scenario assumes an upward convergence in fertility rates, they would nevertheless stay below the natural replacement rate of 2.1 in all countries by 2070. A more conservative assumption thus results in a more pronounced ageing process. Such development would show in higher dependency ratios, i.e. the older population representing a higher share of the working-age population. Higher employment rates would not offset the drop in employment. </w:t>
      </w:r>
    </w:p>
    <w:p w14:paraId="0AE0C99A" w14:textId="77777777" w:rsidR="009F3ED8" w:rsidRPr="00B131B3" w:rsidRDefault="009F3ED8" w:rsidP="00B131B3">
      <w:r w:rsidRPr="00B131B3">
        <w:t>Lower fertility would push up pension expenditure by as much as 1.3 pps. of GDP on average. The impact is estimated at less than 1 pp. of GDP in just four countries: Latvia, Estonia, Spain and Lithuania. The latter even projects a neutral impact given that the indexation rule reacts to a shrinking employment to the same extent as the GDP. Such balancing mechanism also plays for other countries, i.e. Spain, Sweden and Germany.</w:t>
      </w:r>
    </w:p>
    <w:p w14:paraId="6CA2CD9E" w14:textId="77777777" w:rsidR="009F3ED8" w:rsidRPr="00B131B3" w:rsidRDefault="009F3ED8" w:rsidP="00B131B3">
      <w:r w:rsidRPr="00B131B3">
        <w:t xml:space="preserve">Slovenia (+2.5 pps. of GDP on top of baseline), Luxembourg (+2.4 pps.), Bulgaria (+2.3 pps.) and Belgium (+2 pps.) are expected to show the largest additional pension expenditure increase in case fertility would turn out to be lower than assumed. Twelve other countries would also have pension spending increase by 1.5-1.9 pps. of GDP, though. </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578D6812" w14:textId="77777777" w:rsidTr="00B131B3">
        <w:trPr>
          <w:cantSplit/>
        </w:trPr>
        <w:tc>
          <w:tcPr>
            <w:tcW w:w="4110" w:type="dxa"/>
            <w:shd w:val="clear" w:color="auto" w:fill="auto"/>
          </w:tcPr>
          <w:p w14:paraId="3CB71AD6" w14:textId="77777777" w:rsidR="009F3ED8" w:rsidRPr="00B131B3" w:rsidRDefault="009F3ED8" w:rsidP="00B131B3">
            <w:pPr>
              <w:pStyle w:val="GraphTitle"/>
              <w:rPr>
                <w:b/>
              </w:rPr>
            </w:pPr>
            <w:r w:rsidRPr="00B131B3">
              <w:lastRenderedPageBreak/>
              <w:t>Graph II.1.20:</w:t>
            </w:r>
            <w:r w:rsidRPr="00B131B3">
              <w:rPr>
                <w:b/>
              </w:rPr>
              <w:tab/>
              <w:t>Impact of lower fertility on the change in gross public pension expenditure in 2016-2070 (deviation from baseline, pps. of GDP)</w:t>
            </w:r>
          </w:p>
        </w:tc>
      </w:tr>
      <w:tr w:rsidR="009F3ED8" w:rsidRPr="00B131B3" w14:paraId="7B96F08D" w14:textId="77777777" w:rsidTr="00B131B3">
        <w:trPr>
          <w:cantSplit/>
        </w:trPr>
        <w:tc>
          <w:tcPr>
            <w:tcW w:w="4110" w:type="dxa"/>
            <w:shd w:val="clear" w:color="auto" w:fill="auto"/>
          </w:tcPr>
          <w:p w14:paraId="66DE5CB1" w14:textId="77777777" w:rsidR="009F3ED8" w:rsidRPr="00B131B3" w:rsidRDefault="009F3ED8" w:rsidP="00B131B3">
            <w:pPr>
              <w:pStyle w:val="GraphShape"/>
              <w:rPr>
                <w:sz w:val="2"/>
              </w:rPr>
            </w:pPr>
            <w:r w:rsidRPr="00B131B3">
              <w:fldChar w:fldCharType="begin"/>
            </w:r>
            <w:r w:rsidRPr="009F3ED8">
              <w:instrText xml:space="preserve"> TC "</w:instrText>
            </w:r>
            <w:bookmarkStart w:id="148" w:name="_Toc511664670"/>
            <w:r w:rsidRPr="009F3ED8">
              <w:instrText>II.1.20.</w:instrText>
            </w:r>
            <w:r w:rsidRPr="009F3ED8">
              <w:tab/>
              <w:instrText>Impact of lower fertility on the change in gross public pension expenditure in 2016-2070 (deviation from baseline, pps. of GDP)</w:instrText>
            </w:r>
            <w:bookmarkEnd w:id="148"/>
            <w:r w:rsidRPr="009F3ED8">
              <w:instrText xml:space="preserve">" \fgraph \l 5 </w:instrText>
            </w:r>
            <w:r w:rsidRPr="00B131B3">
              <w:fldChar w:fldCharType="end"/>
            </w:r>
            <w:r w:rsidRPr="00B131B3">
              <w:rPr>
                <w:noProof/>
                <w:sz w:val="2"/>
                <w:lang w:val="hr-HR" w:eastAsia="hr-HR"/>
              </w:rPr>
              <w:drawing>
                <wp:inline distT="0" distB="0" distL="0" distR="0" wp14:anchorId="0A951330" wp14:editId="140DC0FA">
                  <wp:extent cx="2597595" cy="2597595"/>
                  <wp:effectExtent l="0" t="0" r="0" b="0"/>
                  <wp:docPr id="1116" name="Picture 1116" descr="&lt;nbr&gt;&lt;GETTEXTFROMWORD&gt;&lt;/nbr&gt;&#10;&lt;title&gt;&lt;GETTEXTFROMWORD&gt;&lt;/title&gt;&#10;&lt;id&gt;ada76c37-33e9-443d-babf-92a367106046&lt;/id&gt;&#10;&lt;srcType&gt;EXCEL&lt;/srcType&gt;&#10;&lt;srcPath&gt;\\net1.cec.eu.int\ECFIN\C\2\Budgetary projections 2018\Reports\2018 AR\Tables_and_graphs\Part II Chapter 1\&lt;/srcPath&gt;&#10;&lt;srcName&gt;Tables_graphs_projections.xlsx&lt;/srcName&gt;&#10;&lt;type&gt;graph&lt;/type&gt;&#10; &lt;srcSheet&gt;Graph 19c_new&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597595" cy="2597595"/>
                          </a:xfrm>
                          <a:prstGeom prst="rect">
                            <a:avLst/>
                          </a:prstGeom>
                          <a:noFill/>
                          <a:ln>
                            <a:noFill/>
                          </a:ln>
                        </pic:spPr>
                      </pic:pic>
                    </a:graphicData>
                  </a:graphic>
                </wp:inline>
              </w:drawing>
            </w:r>
          </w:p>
        </w:tc>
      </w:tr>
      <w:tr w:rsidR="009F3ED8" w:rsidRPr="00B131B3" w14:paraId="107A7001" w14:textId="77777777" w:rsidTr="00B131B3">
        <w:trPr>
          <w:cantSplit/>
        </w:trPr>
        <w:tc>
          <w:tcPr>
            <w:tcW w:w="4110" w:type="dxa"/>
            <w:shd w:val="clear" w:color="auto" w:fill="auto"/>
            <w:tcMar>
              <w:bottom w:w="240" w:type="dxa"/>
            </w:tcMar>
          </w:tcPr>
          <w:p w14:paraId="689753E5" w14:textId="77777777" w:rsidR="009F3ED8" w:rsidRPr="00B131B3" w:rsidRDefault="009F3ED8" w:rsidP="00B131B3">
            <w:pPr>
              <w:pStyle w:val="GraphSource"/>
              <w:keepNext/>
            </w:pPr>
            <w:r w:rsidRPr="00B131B3">
              <w:rPr>
                <w:b/>
                <w:i/>
              </w:rPr>
              <w:t>Source:</w:t>
            </w:r>
            <w:r w:rsidRPr="00B131B3">
              <w:t xml:space="preserve"> Commission services, EPC.</w:t>
            </w:r>
          </w:p>
        </w:tc>
      </w:tr>
    </w:tbl>
    <w:p w14:paraId="44279AD9" w14:textId="77777777" w:rsidR="009F3ED8" w:rsidRPr="00B131B3" w:rsidRDefault="009F3ED8" w:rsidP="00B131B3">
      <w:pPr>
        <w:pStyle w:val="NumberedHeading2"/>
        <w:tabs>
          <w:tab w:val="left" w:pos="567"/>
        </w:tabs>
      </w:pPr>
      <w:r w:rsidRPr="00B131B3">
        <w:t>1.8.2.</w:t>
      </w:r>
      <w:r w:rsidRPr="00B131B3">
        <w:tab/>
        <w:t>Sensitivity tests on macroeconomic variables</w:t>
      </w:r>
    </w:p>
    <w:p w14:paraId="3E6C516C" w14:textId="77777777" w:rsidR="009F3ED8" w:rsidRPr="00B131B3" w:rsidRDefault="009F3ED8" w:rsidP="00B131B3">
      <w:pPr>
        <w:pStyle w:val="Heading"/>
      </w:pPr>
      <w:r w:rsidRPr="00B131B3">
        <w:t>Employment</w:t>
      </w:r>
    </w:p>
    <w:p w14:paraId="5C7C66DD" w14:textId="77777777" w:rsidR="009F3ED8" w:rsidRPr="00B131B3" w:rsidRDefault="009F3ED8" w:rsidP="00B131B3">
      <w:r w:rsidRPr="00B131B3">
        <w:t xml:space="preserve">If the </w:t>
      </w:r>
      <w:r w:rsidRPr="00B131B3">
        <w:rPr>
          <w:b/>
        </w:rPr>
        <w:t>employment rate were to be 2 pps. lower</w:t>
      </w:r>
      <w:r w:rsidRPr="00B131B3">
        <w:t xml:space="preserve"> for the age group 20-64 relative to the baseline scenario (</w:t>
      </w:r>
      <w:r w:rsidRPr="00B131B3">
        <w:rPr>
          <w:rStyle w:val="Referencafusnote"/>
        </w:rPr>
        <w:footnoteReference w:id="65"/>
      </w:r>
      <w:r w:rsidRPr="00B131B3">
        <w:t xml:space="preserve">), this would entail a relatively small increase in pension expenditure of 0.2 pps. of GDP on average in the EU (see Graph </w:t>
      </w:r>
      <w:r w:rsidRPr="00B131B3">
        <w:fldChar w:fldCharType="begin"/>
      </w:r>
      <w:r w:rsidRPr="00B131B3">
        <w:instrText xml:space="preserve"> QUOTE "II.1.21"</w:instrText>
      </w:r>
      <w:r w:rsidRPr="00B131B3">
        <w:fldChar w:fldCharType="begin">
          <w:fldData xml:space="preserve">QwBSAE8AUwBTAFIARQBGAEUAUgBFAE4AQwBFACoARwBSAEEAUABIACoAMwA3ADAAZABjADAAZQA3
AC0AMQBlADgAMgAtADQANQA2ADYALQBiAGEANwBlAC0AYQAzAGYAZABiAGUAYgA0AGYAZQBmAGIA
</w:fldData>
        </w:fldChar>
      </w:r>
      <w:r w:rsidRPr="00B131B3">
        <w:instrText xml:space="preserve"> ADDIN </w:instrText>
      </w:r>
      <w:r w:rsidRPr="00B131B3">
        <w:fldChar w:fldCharType="end"/>
      </w:r>
      <w:r w:rsidRPr="00B131B3">
        <w:instrText xml:space="preserve"> </w:instrText>
      </w:r>
      <w:r w:rsidRPr="00B131B3">
        <w:fldChar w:fldCharType="separate"/>
      </w:r>
      <w:r w:rsidRPr="00B131B3">
        <w:t>II.1.21</w:t>
      </w:r>
      <w:r w:rsidRPr="00B131B3">
        <w:fldChar w:fldCharType="end"/>
      </w:r>
      <w:r w:rsidRPr="00B131B3">
        <w:t xml:space="preserve">). The spread around this average would be limited. Hungary, the Czech Republic, Slovenia, Norway and Belgium estimate an additional expenditure increase of around 0.4 pps. of GDP under this scenario. </w:t>
      </w:r>
    </w:p>
    <w:p w14:paraId="2B8302D4" w14:textId="77777777" w:rsidR="009F3ED8" w:rsidRPr="00B131B3" w:rsidRDefault="009F3ED8" w:rsidP="00B131B3">
      <w:r w:rsidRPr="00B131B3">
        <w:t xml:space="preserve">Conversely, a </w:t>
      </w:r>
      <w:r w:rsidRPr="00B131B3">
        <w:rPr>
          <w:b/>
        </w:rPr>
        <w:t>2 pps. higher overall employment rate</w:t>
      </w:r>
      <w:r w:rsidRPr="00B131B3">
        <w:t xml:space="preserve"> would reduce public pension expenditure by 0.2 pps. of GDP in the EU as a whole (see Graph </w:t>
      </w:r>
      <w:r w:rsidRPr="00B131B3">
        <w:fldChar w:fldCharType="begin"/>
      </w:r>
      <w:r w:rsidRPr="00B131B3">
        <w:instrText xml:space="preserve"> QUOTE "II.1.22"</w:instrText>
      </w:r>
      <w:r w:rsidRPr="00B131B3">
        <w:fldChar w:fldCharType="begin">
          <w:fldData xml:space="preserve">QwBSAE8AUwBTAFIARQBGAEUAUgBFAE4AQwBFACoARwBSAEEAUABIACoAMwAxADIAMAA4ADAAMQBj
AC0AOQBiADEANgAtADQAYgA0AGQALQA5AGUAYQBjAC0ANwBkADcAMQA4ADUAOAA3ADIANQBjAGYA
</w:fldData>
        </w:fldChar>
      </w:r>
      <w:r w:rsidRPr="00B131B3">
        <w:instrText xml:space="preserve"> ADDIN </w:instrText>
      </w:r>
      <w:r w:rsidRPr="00B131B3">
        <w:fldChar w:fldCharType="end"/>
      </w:r>
      <w:r w:rsidRPr="00B131B3">
        <w:instrText xml:space="preserve"> </w:instrText>
      </w:r>
      <w:r w:rsidRPr="00B131B3">
        <w:fldChar w:fldCharType="separate"/>
      </w:r>
      <w:r w:rsidRPr="00B131B3">
        <w:t>II.1.22</w:t>
      </w:r>
      <w:r w:rsidRPr="00B131B3">
        <w:fldChar w:fldCharType="end"/>
      </w:r>
      <w:r w:rsidRPr="00B131B3">
        <w:t xml:space="preserve">). Moreover, variance across countries is relatively limited, from an impact of -0.4 pps. of GDP in Austria and Belgium, to a slightly upward impact in Italy and Poland. </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78FFC8CE" w14:textId="77777777" w:rsidTr="00B131B3">
        <w:trPr>
          <w:cantSplit/>
        </w:trPr>
        <w:tc>
          <w:tcPr>
            <w:tcW w:w="4110" w:type="dxa"/>
            <w:shd w:val="clear" w:color="auto" w:fill="auto"/>
          </w:tcPr>
          <w:p w14:paraId="5C1050FC" w14:textId="77777777" w:rsidR="009F3ED8" w:rsidRPr="00B131B3" w:rsidRDefault="009F3ED8" w:rsidP="00B131B3">
            <w:pPr>
              <w:pStyle w:val="GraphTitle"/>
              <w:rPr>
                <w:b/>
              </w:rPr>
            </w:pPr>
            <w:r w:rsidRPr="00B131B3">
              <w:lastRenderedPageBreak/>
              <w:t>Graph II.1.21:</w:t>
            </w:r>
            <w:r w:rsidRPr="00B131B3">
              <w:rPr>
                <w:b/>
              </w:rPr>
              <w:tab/>
              <w:t>Impact of lower overall employment rate of age group 20-64 on the change in gross public pension expenditure in 2016-2070 (deviation from baseline, pps. of GDP)</w:t>
            </w:r>
          </w:p>
        </w:tc>
      </w:tr>
      <w:tr w:rsidR="009F3ED8" w:rsidRPr="00B131B3" w14:paraId="0E1E2A97" w14:textId="77777777" w:rsidTr="00B131B3">
        <w:trPr>
          <w:cantSplit/>
        </w:trPr>
        <w:tc>
          <w:tcPr>
            <w:tcW w:w="4110" w:type="dxa"/>
            <w:shd w:val="clear" w:color="auto" w:fill="auto"/>
          </w:tcPr>
          <w:p w14:paraId="07C7914F" w14:textId="77777777" w:rsidR="009F3ED8" w:rsidRPr="00B131B3" w:rsidRDefault="009F3ED8" w:rsidP="00B131B3">
            <w:pPr>
              <w:pStyle w:val="GraphShape"/>
              <w:rPr>
                <w:sz w:val="2"/>
              </w:rPr>
            </w:pPr>
            <w:r w:rsidRPr="00B131B3">
              <w:fldChar w:fldCharType="begin"/>
            </w:r>
            <w:r w:rsidRPr="009F3ED8">
              <w:instrText xml:space="preserve"> TC "</w:instrText>
            </w:r>
            <w:bookmarkStart w:id="149" w:name="_Toc511664671"/>
            <w:r w:rsidRPr="009F3ED8">
              <w:instrText>II.1.21.</w:instrText>
            </w:r>
            <w:r w:rsidRPr="009F3ED8">
              <w:tab/>
              <w:instrText>Impact of lower overall employment rate of age group 20-64 on the change in gross public pension expenditure in 2016-2070 (deviation from baseline, pps. of GDP)</w:instrText>
            </w:r>
            <w:bookmarkEnd w:id="149"/>
            <w:r w:rsidRPr="009F3ED8">
              <w:instrText xml:space="preserve">" \fgraph \l 5 </w:instrText>
            </w:r>
            <w:r w:rsidRPr="00B131B3">
              <w:fldChar w:fldCharType="end"/>
            </w:r>
            <w:r w:rsidRPr="00B131B3">
              <w:rPr>
                <w:noProof/>
                <w:sz w:val="2"/>
                <w:lang w:val="hr-HR" w:eastAsia="hr-HR"/>
              </w:rPr>
              <w:drawing>
                <wp:inline distT="0" distB="0" distL="0" distR="0" wp14:anchorId="6EB0F48F" wp14:editId="15A30591">
                  <wp:extent cx="2597595" cy="2597595"/>
                  <wp:effectExtent l="0" t="0" r="0" b="0"/>
                  <wp:docPr id="1117" name="Picture 1117" descr="&lt;nbr&gt;&lt;GETTEXTFROMWORD&gt;&lt;/nbr&gt;&#10;&lt;title&gt;&lt;GETTEXTFROMWORD&gt;&lt;/title&gt;&#10;&lt;id&gt;370dc0e7-1e82-4566-ba7e-a3fdbeb4fefb&lt;/id&gt;&#10;&lt;srcType&gt;EXCEL&lt;/srcType&gt;&#10;&lt;srcPath&gt;\\net1.cec.eu.int\ECFIN\C\2\Budgetary projections 2018\Reports\2018 AR\Tables_and_graphs\Part II Chapter 1\&lt;/srcPath&gt;&#10;&lt;srcName&gt;Tables_graphs_projections.xlsx&lt;/srcName&gt;&#10;&lt;type&gt;graph&lt;/type&gt;&#10; &lt;srcSheet&gt;Graph 21b_new)&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597595" cy="2597595"/>
                          </a:xfrm>
                          <a:prstGeom prst="rect">
                            <a:avLst/>
                          </a:prstGeom>
                          <a:noFill/>
                          <a:ln>
                            <a:noFill/>
                          </a:ln>
                        </pic:spPr>
                      </pic:pic>
                    </a:graphicData>
                  </a:graphic>
                </wp:inline>
              </w:drawing>
            </w:r>
          </w:p>
        </w:tc>
      </w:tr>
      <w:tr w:rsidR="009F3ED8" w:rsidRPr="00B131B3" w14:paraId="67A79A93" w14:textId="77777777" w:rsidTr="00B131B3">
        <w:trPr>
          <w:cantSplit/>
        </w:trPr>
        <w:tc>
          <w:tcPr>
            <w:tcW w:w="4110" w:type="dxa"/>
            <w:shd w:val="clear" w:color="auto" w:fill="auto"/>
            <w:tcMar>
              <w:bottom w:w="240" w:type="dxa"/>
            </w:tcMar>
          </w:tcPr>
          <w:p w14:paraId="3654A0BF" w14:textId="77777777" w:rsidR="009F3ED8" w:rsidRPr="00B131B3" w:rsidRDefault="009F3ED8" w:rsidP="00B131B3">
            <w:pPr>
              <w:pStyle w:val="GraphSource"/>
              <w:keepNext/>
            </w:pPr>
            <w:r w:rsidRPr="00B131B3">
              <w:rPr>
                <w:b/>
                <w:i/>
              </w:rPr>
              <w:t>Source:</w:t>
            </w:r>
            <w:r w:rsidRPr="00B131B3">
              <w:t xml:space="preserve"> Commission services, EPC.</w:t>
            </w:r>
          </w:p>
        </w:tc>
      </w:tr>
    </w:tbl>
    <w:p w14:paraId="23E1D56B" w14:textId="77777777" w:rsidR="009F3ED8" w:rsidRPr="00B131B3" w:rsidRDefault="009F3ED8" w:rsidP="00B131B3">
      <w:pPr>
        <w:pStyle w:val="MultipageDelimiter"/>
      </w:pP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0A542D63" w14:textId="77777777" w:rsidTr="00B131B3">
        <w:trPr>
          <w:cantSplit/>
        </w:trPr>
        <w:tc>
          <w:tcPr>
            <w:tcW w:w="4110" w:type="dxa"/>
            <w:shd w:val="clear" w:color="auto" w:fill="auto"/>
          </w:tcPr>
          <w:p w14:paraId="29C51F72" w14:textId="77777777" w:rsidR="009F3ED8" w:rsidRPr="00B131B3" w:rsidRDefault="009F3ED8" w:rsidP="00B131B3">
            <w:pPr>
              <w:pStyle w:val="GraphTitle"/>
              <w:rPr>
                <w:b/>
              </w:rPr>
            </w:pPr>
            <w:r w:rsidRPr="00B131B3">
              <w:t>Graph II.1.22:</w:t>
            </w:r>
            <w:r w:rsidRPr="00B131B3">
              <w:rPr>
                <w:b/>
              </w:rPr>
              <w:tab/>
              <w:t>Impact of higher overall employment rate of age group 20-64 on the change in gross public pension expenditure in 2016-2070 (deviation from baseline, pps. of GDP)</w:t>
            </w:r>
          </w:p>
        </w:tc>
      </w:tr>
      <w:tr w:rsidR="009F3ED8" w:rsidRPr="00B131B3" w14:paraId="5EA81C04" w14:textId="77777777" w:rsidTr="00B131B3">
        <w:trPr>
          <w:cantSplit/>
        </w:trPr>
        <w:tc>
          <w:tcPr>
            <w:tcW w:w="4110" w:type="dxa"/>
            <w:shd w:val="clear" w:color="auto" w:fill="auto"/>
          </w:tcPr>
          <w:p w14:paraId="5A5DE1B1" w14:textId="77777777" w:rsidR="009F3ED8" w:rsidRPr="00B131B3" w:rsidRDefault="009F3ED8" w:rsidP="00B131B3">
            <w:pPr>
              <w:pStyle w:val="GraphShape"/>
              <w:rPr>
                <w:sz w:val="2"/>
              </w:rPr>
            </w:pPr>
            <w:r w:rsidRPr="00B131B3">
              <w:fldChar w:fldCharType="begin"/>
            </w:r>
            <w:r w:rsidRPr="009F3ED8">
              <w:instrText xml:space="preserve"> TC "</w:instrText>
            </w:r>
            <w:bookmarkStart w:id="150" w:name="_Toc511664672"/>
            <w:r w:rsidRPr="009F3ED8">
              <w:instrText>II.1.22.</w:instrText>
            </w:r>
            <w:r w:rsidRPr="009F3ED8">
              <w:tab/>
              <w:instrText>Impact of higher overall employment rate of age group 20-64 on the change in gross public pension expenditure in 2016-2070 (deviation from baseline, pps. of GDP)</w:instrText>
            </w:r>
            <w:bookmarkEnd w:id="150"/>
            <w:r w:rsidRPr="009F3ED8">
              <w:instrText xml:space="preserve">" \fgraph \l 5 </w:instrText>
            </w:r>
            <w:r w:rsidRPr="00B131B3">
              <w:fldChar w:fldCharType="end"/>
            </w:r>
            <w:r w:rsidRPr="00B131B3">
              <w:rPr>
                <w:noProof/>
                <w:sz w:val="2"/>
                <w:lang w:val="hr-HR" w:eastAsia="hr-HR"/>
              </w:rPr>
              <w:drawing>
                <wp:inline distT="0" distB="0" distL="0" distR="0" wp14:anchorId="2A1949A5" wp14:editId="272AFABC">
                  <wp:extent cx="2597595" cy="2597595"/>
                  <wp:effectExtent l="0" t="0" r="0" b="0"/>
                  <wp:docPr id="1118" name="Picture 1118" descr="&lt;nbr&gt;&lt;GETTEXTFROMWORD&gt;&lt;/nbr&gt;&#10;&lt;title&gt;&lt;GETTEXTFROMWORD&gt;&lt;/title&gt;&#10;&lt;id&gt;3120801c-9b16-4b4d-9eac-7d71858725cf&lt;/id&gt;&#10;&lt;srcType&gt;EXCEL&lt;/srcType&gt;&#10;&lt;srcPath&gt;\\net1.cec.eu.int\ECFIN\C\2\Budgetary projections 2018\Reports\2018 AR\Tables_and_graphs\Part II Chapter 1\&lt;/srcPath&gt;&#10;&lt;srcName&gt;Tables_graphs_projections.xlsx&lt;/srcName&gt;&#10;&lt;type&gt;graph&lt;/type&gt;&#10; &lt;srcSheet&gt;Graph 21&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597595" cy="2597595"/>
                          </a:xfrm>
                          <a:prstGeom prst="rect">
                            <a:avLst/>
                          </a:prstGeom>
                          <a:noFill/>
                          <a:ln>
                            <a:noFill/>
                          </a:ln>
                        </pic:spPr>
                      </pic:pic>
                    </a:graphicData>
                  </a:graphic>
                </wp:inline>
              </w:drawing>
            </w:r>
          </w:p>
        </w:tc>
      </w:tr>
      <w:tr w:rsidR="009F3ED8" w:rsidRPr="00B131B3" w14:paraId="4112CDC8" w14:textId="77777777" w:rsidTr="00B131B3">
        <w:trPr>
          <w:cantSplit/>
        </w:trPr>
        <w:tc>
          <w:tcPr>
            <w:tcW w:w="4110" w:type="dxa"/>
            <w:shd w:val="clear" w:color="auto" w:fill="auto"/>
            <w:tcMar>
              <w:bottom w:w="240" w:type="dxa"/>
            </w:tcMar>
          </w:tcPr>
          <w:p w14:paraId="7247A1B0" w14:textId="77777777" w:rsidR="009F3ED8" w:rsidRPr="00B131B3" w:rsidRDefault="009F3ED8" w:rsidP="00B131B3">
            <w:pPr>
              <w:pStyle w:val="GraphSource"/>
              <w:keepNext/>
            </w:pPr>
            <w:r w:rsidRPr="00B131B3">
              <w:rPr>
                <w:b/>
                <w:i/>
              </w:rPr>
              <w:t>Source:</w:t>
            </w:r>
            <w:r w:rsidRPr="00B131B3">
              <w:t xml:space="preserve"> Commission services, EPC.</w:t>
            </w:r>
          </w:p>
        </w:tc>
      </w:tr>
    </w:tbl>
    <w:p w14:paraId="096D3A6A" w14:textId="77777777" w:rsidR="009F3ED8" w:rsidRPr="00B131B3" w:rsidRDefault="009F3ED8" w:rsidP="00B131B3">
      <w:r w:rsidRPr="00B131B3">
        <w:t xml:space="preserve">If the </w:t>
      </w:r>
      <w:r w:rsidRPr="00B131B3">
        <w:rPr>
          <w:b/>
        </w:rPr>
        <w:t>employment rate of workers aged 55 to 74 years were to rise by 10 pps.</w:t>
      </w:r>
      <w:r w:rsidRPr="00B131B3">
        <w:t xml:space="preserve"> on top of the baseline assumption (</w:t>
      </w:r>
      <w:r w:rsidRPr="00B131B3">
        <w:rPr>
          <w:rStyle w:val="Referencafusnote"/>
        </w:rPr>
        <w:footnoteReference w:id="66"/>
      </w:r>
      <w:r w:rsidRPr="00B131B3">
        <w:t xml:space="preserve">), this would cut pension expenditure by 0.4 pps. of GDP on average in the EU. The effect of such development is estimated to </w:t>
      </w:r>
      <w:r w:rsidRPr="00B131B3">
        <w:lastRenderedPageBreak/>
        <w:t>be fairly similar across countries, though with some outliers in both directions. Two opposite dynamics would take place. On the one hand, increased employment among workers aged 55-74 leads to higher GDP growth, fewer pensioners and a shorter pension spell. These factors reduce public pension expenditure (</w:t>
      </w:r>
      <w:r w:rsidRPr="00B131B3">
        <w:rPr>
          <w:rStyle w:val="Referencafusnote"/>
        </w:rPr>
        <w:footnoteReference w:id="67"/>
      </w:r>
      <w:r w:rsidRPr="00B131B3">
        <w:t>). On the other hand, though, a longer average career would enable employees to accrue additional pension rights, especially in countries that apply a bonus system beyond a certain age or career length. This leads to higher public pension expenditure.</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056C4785" w14:textId="77777777" w:rsidTr="00B131B3">
        <w:trPr>
          <w:cantSplit/>
        </w:trPr>
        <w:tc>
          <w:tcPr>
            <w:tcW w:w="4110" w:type="dxa"/>
            <w:shd w:val="clear" w:color="auto" w:fill="auto"/>
          </w:tcPr>
          <w:p w14:paraId="3E66B64C" w14:textId="77777777" w:rsidR="009F3ED8" w:rsidRPr="00B131B3" w:rsidRDefault="009F3ED8" w:rsidP="00B131B3">
            <w:pPr>
              <w:pStyle w:val="GraphTitle"/>
              <w:rPr>
                <w:b/>
              </w:rPr>
            </w:pPr>
            <w:r w:rsidRPr="00B131B3">
              <w:t>Graph II.1.23:</w:t>
            </w:r>
            <w:r w:rsidRPr="00B131B3">
              <w:rPr>
                <w:b/>
              </w:rPr>
              <w:tab/>
              <w:t>Impact of higher employment rate among older workers on the change in gross public pension expenditure in 2016-2070 (deviation from baseline, pps. of GDP)</w:t>
            </w:r>
          </w:p>
        </w:tc>
      </w:tr>
      <w:tr w:rsidR="009F3ED8" w:rsidRPr="00B131B3" w14:paraId="7C0F3A3F" w14:textId="77777777" w:rsidTr="00B131B3">
        <w:trPr>
          <w:cantSplit/>
        </w:trPr>
        <w:tc>
          <w:tcPr>
            <w:tcW w:w="4110" w:type="dxa"/>
            <w:shd w:val="clear" w:color="auto" w:fill="auto"/>
          </w:tcPr>
          <w:p w14:paraId="26007EDA" w14:textId="77777777" w:rsidR="009F3ED8" w:rsidRPr="00B131B3" w:rsidRDefault="009F3ED8" w:rsidP="00B131B3">
            <w:pPr>
              <w:pStyle w:val="GraphShape"/>
              <w:rPr>
                <w:sz w:val="2"/>
              </w:rPr>
            </w:pPr>
            <w:r w:rsidRPr="00B131B3">
              <w:fldChar w:fldCharType="begin"/>
            </w:r>
            <w:r w:rsidRPr="009F3ED8">
              <w:instrText xml:space="preserve"> TC "</w:instrText>
            </w:r>
            <w:bookmarkStart w:id="151" w:name="_Toc511664673"/>
            <w:r w:rsidRPr="009F3ED8">
              <w:instrText>II.1.23.</w:instrText>
            </w:r>
            <w:r w:rsidRPr="009F3ED8">
              <w:tab/>
              <w:instrText>Impact of higher employment rate among older workers on the change in gross public pension expenditure in 2016-2070 (deviation from baseline, pps. of GDP)</w:instrText>
            </w:r>
            <w:bookmarkEnd w:id="151"/>
            <w:r w:rsidRPr="009F3ED8">
              <w:instrText xml:space="preserve">" \fgraph \l 5 </w:instrText>
            </w:r>
            <w:r w:rsidRPr="00B131B3">
              <w:fldChar w:fldCharType="end"/>
            </w:r>
            <w:r w:rsidRPr="00B131B3">
              <w:rPr>
                <w:noProof/>
                <w:sz w:val="2"/>
                <w:lang w:val="hr-HR" w:eastAsia="hr-HR"/>
              </w:rPr>
              <w:drawing>
                <wp:inline distT="0" distB="0" distL="0" distR="0" wp14:anchorId="36E1D630" wp14:editId="10E2CBC1">
                  <wp:extent cx="2597595" cy="2597595"/>
                  <wp:effectExtent l="0" t="0" r="0" b="0"/>
                  <wp:docPr id="1119" name="Picture 1119" descr="&lt;nbr&gt;&lt;GETTEXTFROMWORD&gt;&lt;/nbr&gt;&#10;&lt;title&gt;&lt;GETTEXTFROMWORD&gt;&lt;/title&gt;&#10;&lt;id&gt;0a999672-3a31-4c2e-b2d9-5722f09c2650&lt;/id&gt;&#10;&lt;srcType&gt;EXCEL&lt;/srcType&gt;&#10;&lt;srcPath&gt;\\net1.cec.eu.int\ECFIN\C\2\Budgetary projections 2018\Reports\2018 AR\Tables_and_graphs\Part II Chapter 1\&lt;/srcPath&gt;&#10;&lt;srcName&gt;Tables_graphs_projections.xlsx&lt;/srcName&gt;&#10;&lt;type&gt;graph&lt;/type&gt;&#10; &lt;srcSheet&gt;Graph 20&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597595" cy="2597595"/>
                          </a:xfrm>
                          <a:prstGeom prst="rect">
                            <a:avLst/>
                          </a:prstGeom>
                          <a:noFill/>
                          <a:ln>
                            <a:noFill/>
                          </a:ln>
                        </pic:spPr>
                      </pic:pic>
                    </a:graphicData>
                  </a:graphic>
                </wp:inline>
              </w:drawing>
            </w:r>
          </w:p>
        </w:tc>
      </w:tr>
      <w:tr w:rsidR="009F3ED8" w:rsidRPr="00B131B3" w14:paraId="33567495" w14:textId="77777777" w:rsidTr="00B131B3">
        <w:trPr>
          <w:cantSplit/>
        </w:trPr>
        <w:tc>
          <w:tcPr>
            <w:tcW w:w="4110" w:type="dxa"/>
            <w:shd w:val="clear" w:color="auto" w:fill="auto"/>
            <w:tcMar>
              <w:bottom w:w="240" w:type="dxa"/>
            </w:tcMar>
          </w:tcPr>
          <w:p w14:paraId="6F3A86E8" w14:textId="77777777" w:rsidR="009F3ED8" w:rsidRPr="00B131B3" w:rsidRDefault="009F3ED8" w:rsidP="00B131B3">
            <w:pPr>
              <w:pStyle w:val="GraphSource"/>
              <w:keepNext/>
            </w:pPr>
            <w:r w:rsidRPr="00B131B3">
              <w:rPr>
                <w:b/>
                <w:i/>
              </w:rPr>
              <w:t>Source:</w:t>
            </w:r>
            <w:r w:rsidRPr="00B131B3">
              <w:t xml:space="preserve"> Commission services, EPC.</w:t>
            </w:r>
          </w:p>
        </w:tc>
      </w:tr>
    </w:tbl>
    <w:p w14:paraId="16C34D2D" w14:textId="77777777" w:rsidR="009F3ED8" w:rsidRPr="00B131B3" w:rsidRDefault="009F3ED8" w:rsidP="00B131B3">
      <w:r w:rsidRPr="00B131B3">
        <w:t>The expenditure-reducing factors dominate in about all countries and this downward impact is generally larger than that from an increase in the employment rate of people aged 20-64. Belgium (</w:t>
      </w:r>
      <w:r w:rsidRPr="00B131B3">
        <w:noBreakHyphen/>
        <w:t>1.4 pps. of GDP), Finland (</w:t>
      </w:r>
      <w:r w:rsidRPr="00B131B3">
        <w:noBreakHyphen/>
        <w:t>1.1 pps.), and Austria, Norway and Spain (</w:t>
      </w:r>
      <w:r w:rsidRPr="00B131B3">
        <w:noBreakHyphen/>
        <w:t xml:space="preserve">0.7 pps.) have the most to gain from lifting employment rates among older workers. It should be noted that those gains are often even more substantial on a shorter time horizon. When looking at the period 2016-2040, the decrease relative to the baseline amounts to 1.0-1.7 pps. of GDP for Belgium, Spain, Austria, Slovenia and Finland. For the EU as a whole, </w:t>
      </w:r>
      <w:r w:rsidRPr="00B131B3">
        <w:lastRenderedPageBreak/>
        <w:t>pension expenditure would be 0.7 pps. of GDP lower compared to the baselined scenario in 2040.</w:t>
      </w:r>
    </w:p>
    <w:p w14:paraId="5D74710A" w14:textId="77777777" w:rsidR="009F3ED8" w:rsidRPr="00B131B3" w:rsidRDefault="009F3ED8" w:rsidP="00B131B3">
      <w:r w:rsidRPr="00B131B3">
        <w:t>In the cases of Lithuania, Greece, Estonia, Poland and Latvia the impact would be broadly neutral in 2070. The same holds when a shorter time horizon is applied. If employment were effectively to be lifted among older workers, Italy and the Czech Republic would expect pension expenditure to increase by 0.3 pps. of GDP relative to the baseline in 2070. This reflects how the accumulation of additional rights outweighs the expenditure-reducing factors, at least in the long term. Indeed, when considering the period 2016-2040, also Italy (-0.9 pps. of GDP relative to the baseline) and the Czech Republic (-0.9 pps.) would benefit from higher employment rates for people above the age of 55.</w:t>
      </w:r>
    </w:p>
    <w:p w14:paraId="57218797" w14:textId="77777777" w:rsidR="009F3ED8" w:rsidRPr="00B131B3" w:rsidRDefault="009F3ED8" w:rsidP="00B131B3">
      <w:pPr>
        <w:pStyle w:val="Heading"/>
      </w:pPr>
      <w:r w:rsidRPr="00B131B3">
        <w:t>Productivity</w:t>
      </w:r>
    </w:p>
    <w:p w14:paraId="3C5B8878" w14:textId="77777777" w:rsidR="009F3ED8" w:rsidRPr="00B131B3" w:rsidRDefault="009F3ED8" w:rsidP="00B131B3">
      <w:r w:rsidRPr="00B131B3">
        <w:t xml:space="preserve">The effect on pension spending from either a </w:t>
      </w:r>
      <w:r w:rsidRPr="00B131B3">
        <w:rPr>
          <w:b/>
        </w:rPr>
        <w:t>higher or lower than assumed growth rate of total factor productivity (TFP)</w:t>
      </w:r>
      <w:r w:rsidRPr="00B131B3">
        <w:t xml:space="preserve"> is shown in Graph </w:t>
      </w:r>
      <w:r w:rsidRPr="00B131B3">
        <w:fldChar w:fldCharType="begin"/>
      </w:r>
      <w:r w:rsidRPr="00B131B3">
        <w:instrText xml:space="preserve"> QUOTE "II.1.24"</w:instrText>
      </w:r>
      <w:r w:rsidRPr="00B131B3">
        <w:fldChar w:fldCharType="begin">
          <w:fldData xml:space="preserve">QwBSAE8AUwBTAFIARQBGAEUAUgBFAE4AQwBFACoARwBSAEEAUABIACoAYQBmAGUAOQA0ADMANwAw
AC0AZQBjAGMAYgAtADQAMQBkADUALQA5ADUAMgAzAC0AMgAyADMAOAA2ADIAYwA3ADgANABmAGYA
</w:fldData>
        </w:fldChar>
      </w:r>
      <w:r w:rsidRPr="00B131B3">
        <w:instrText xml:space="preserve"> ADDIN </w:instrText>
      </w:r>
      <w:r w:rsidRPr="00B131B3">
        <w:fldChar w:fldCharType="end"/>
      </w:r>
      <w:r w:rsidRPr="00B131B3">
        <w:instrText xml:space="preserve"> </w:instrText>
      </w:r>
      <w:r w:rsidRPr="00B131B3">
        <w:fldChar w:fldCharType="separate"/>
      </w:r>
      <w:r w:rsidRPr="00B131B3">
        <w:t>II.1.24</w:t>
      </w:r>
      <w:r w:rsidRPr="00B131B3">
        <w:fldChar w:fldCharType="end"/>
      </w:r>
      <w:r w:rsidRPr="00B131B3">
        <w:t>. In this case TFP growth is assumed to converge by 2045 to a rate that is 0.4 pps. higher or lower than the baseline scenario assumption. These scenarios reflect for example the possibility of a better-than-anticipated economic absorption of technology or a higher average level of education. Conversely, technological progress might stall or fail to lift productivity. The opposing scenarios yield fairly symmetric results.</w:t>
      </w:r>
    </w:p>
    <w:p w14:paraId="1E8F2A8E" w14:textId="77777777" w:rsidR="009F3ED8" w:rsidRPr="00B131B3" w:rsidRDefault="009F3ED8" w:rsidP="00B131B3">
      <w:r w:rsidRPr="00B131B3">
        <w:t xml:space="preserve">The aggregate effect on pension spending from a permanent increase in TFP growth for the EU is estimated at </w:t>
      </w:r>
      <w:r w:rsidRPr="00B131B3">
        <w:noBreakHyphen/>
        <w:t>0.7 pps. of GDP. It surpasses 1 pp. of GDP for seven countries: Belgium (</w:t>
      </w:r>
      <w:r w:rsidRPr="00B131B3">
        <w:noBreakHyphen/>
        <w:t>1.8 pps. of GDP), Portugal (</w:t>
      </w:r>
      <w:r w:rsidRPr="00B131B3">
        <w:noBreakHyphen/>
        <w:t>1.7 pps.), France (</w:t>
      </w:r>
      <w:r w:rsidRPr="00B131B3">
        <w:noBreakHyphen/>
        <w:t>1.5 pps.), Luxembourg (</w:t>
      </w:r>
      <w:r w:rsidRPr="00B131B3">
        <w:noBreakHyphen/>
        <w:t>1.2 pps.), Greece and Italy (</w:t>
      </w:r>
      <w:r w:rsidRPr="00B131B3">
        <w:noBreakHyphen/>
        <w:t>1.1 pps.) and Finland (</w:t>
      </w:r>
      <w:r w:rsidRPr="00B131B3">
        <w:noBreakHyphen/>
        <w:t>1 pp.). They contrast with another group of countries that expects no or only a limited impact on pension spending in case productivity gains were to emerge. The distinctive feature between both groups is generally whether or not pension indexation fully adjusts to wage growth. The latter is assumed to fully reflect higher productivity growth.</w:t>
      </w:r>
    </w:p>
    <w:p w14:paraId="75603D95" w14:textId="77777777" w:rsidR="009F3ED8" w:rsidRPr="00B131B3" w:rsidRDefault="009F3ED8" w:rsidP="00B131B3">
      <w:r w:rsidRPr="00B131B3">
        <w:t xml:space="preserve">In case of a permanent negative shock to TFP growth, pension spending in the EU would be 0.7 pps. of GDP higher than in the baseline. Pension expenditure would rise by more than </w:t>
      </w:r>
      <w:r w:rsidRPr="00B131B3">
        <w:lastRenderedPageBreak/>
        <w:t xml:space="preserve">2 pps. of GDP in Belgium and Portugal. Upward deviations from the baseline of between 1.1 pps. and 1.9 pps. of GDP are expected in France, Luxembourg, Greece, Italy, Finland and Hungary. </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6E5633BE" w14:textId="77777777" w:rsidTr="00B131B3">
        <w:trPr>
          <w:cantSplit/>
        </w:trPr>
        <w:tc>
          <w:tcPr>
            <w:tcW w:w="4110" w:type="dxa"/>
            <w:shd w:val="clear" w:color="auto" w:fill="auto"/>
          </w:tcPr>
          <w:p w14:paraId="08277F95" w14:textId="77777777" w:rsidR="009F3ED8" w:rsidRPr="00B131B3" w:rsidRDefault="009F3ED8" w:rsidP="00B131B3">
            <w:pPr>
              <w:pStyle w:val="GraphTitle"/>
              <w:rPr>
                <w:b/>
              </w:rPr>
            </w:pPr>
            <w:r w:rsidRPr="00B131B3">
              <w:t>Graph II.1.24:</w:t>
            </w:r>
            <w:r w:rsidRPr="00B131B3">
              <w:rPr>
                <w:b/>
              </w:rPr>
              <w:tab/>
              <w:t>Impact of higher/lower TFP growth on the change in gross public pension expenditure in 2016-2070 (deviation from baseline, pps. of GDP)</w:t>
            </w:r>
          </w:p>
        </w:tc>
      </w:tr>
      <w:tr w:rsidR="009F3ED8" w:rsidRPr="00B131B3" w14:paraId="7323E63B" w14:textId="77777777" w:rsidTr="00B131B3">
        <w:trPr>
          <w:cantSplit/>
        </w:trPr>
        <w:tc>
          <w:tcPr>
            <w:tcW w:w="4110" w:type="dxa"/>
            <w:shd w:val="clear" w:color="auto" w:fill="auto"/>
          </w:tcPr>
          <w:p w14:paraId="7C0BFE33" w14:textId="77777777" w:rsidR="009F3ED8" w:rsidRPr="00B131B3" w:rsidRDefault="009F3ED8" w:rsidP="00B131B3">
            <w:pPr>
              <w:pStyle w:val="GraphShape"/>
              <w:rPr>
                <w:sz w:val="2"/>
              </w:rPr>
            </w:pPr>
            <w:r w:rsidRPr="00B131B3">
              <w:fldChar w:fldCharType="begin"/>
            </w:r>
            <w:r w:rsidRPr="009F3ED8">
              <w:instrText xml:space="preserve"> TC "</w:instrText>
            </w:r>
            <w:bookmarkStart w:id="152" w:name="_Toc511664674"/>
            <w:r w:rsidRPr="009F3ED8">
              <w:instrText>II.1.24.</w:instrText>
            </w:r>
            <w:r w:rsidRPr="009F3ED8">
              <w:tab/>
              <w:instrText>Impact of higher/lower TFP growth on the change in gross public pension expenditure in 2016-2070 (deviation from baseline, pps. of GDP)</w:instrText>
            </w:r>
            <w:bookmarkEnd w:id="152"/>
            <w:r w:rsidRPr="009F3ED8">
              <w:instrText xml:space="preserve">" \fgraph \l 5 </w:instrText>
            </w:r>
            <w:r w:rsidRPr="00B131B3">
              <w:fldChar w:fldCharType="end"/>
            </w:r>
            <w:r w:rsidRPr="00B131B3">
              <w:rPr>
                <w:noProof/>
                <w:sz w:val="2"/>
                <w:lang w:val="hr-HR" w:eastAsia="hr-HR"/>
              </w:rPr>
              <w:drawing>
                <wp:inline distT="0" distB="0" distL="0" distR="0" wp14:anchorId="67AF5632" wp14:editId="4C8AA703">
                  <wp:extent cx="2597595" cy="2597595"/>
                  <wp:effectExtent l="0" t="0" r="0" b="0"/>
                  <wp:docPr id="1120" name="Picture 1120" descr="&lt;nbr&gt;&lt;GETTEXTFROMWORD&gt;&lt;/nbr&gt;&#10;&lt;title&gt;&lt;GETTEXTFROMWORD&gt;&lt;/title&gt;&#10;&lt;id&gt;afe94370-eccb-41d5-9523-223862c784ff&lt;/id&gt;&#10;&lt;srcType&gt;EXCEL&lt;/srcType&gt;&#10;&lt;srcPath&gt;\\net1.cec.eu.int\ECFIN\C\2\Budgetary projections 2018\Reports\2018 AR\Tables_and_graphs\Part II Chapter 1\&lt;/srcPath&gt;&#10;&lt;srcName&gt;Tables_graphs_projections.xlsx&lt;/srcName&gt;&#10;&lt;type&gt;graph&lt;/type&gt;&#10; &lt;srcSheet&gt;Graph 22&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597595" cy="2597595"/>
                          </a:xfrm>
                          <a:prstGeom prst="rect">
                            <a:avLst/>
                          </a:prstGeom>
                          <a:noFill/>
                          <a:ln>
                            <a:noFill/>
                          </a:ln>
                        </pic:spPr>
                      </pic:pic>
                    </a:graphicData>
                  </a:graphic>
                </wp:inline>
              </w:drawing>
            </w:r>
          </w:p>
        </w:tc>
      </w:tr>
      <w:tr w:rsidR="009F3ED8" w:rsidRPr="00B131B3" w14:paraId="315AF735" w14:textId="77777777" w:rsidTr="00B131B3">
        <w:trPr>
          <w:cantSplit/>
        </w:trPr>
        <w:tc>
          <w:tcPr>
            <w:tcW w:w="4110" w:type="dxa"/>
            <w:shd w:val="clear" w:color="auto" w:fill="auto"/>
            <w:tcMar>
              <w:bottom w:w="240" w:type="dxa"/>
            </w:tcMar>
          </w:tcPr>
          <w:p w14:paraId="43446171" w14:textId="77777777" w:rsidR="009F3ED8" w:rsidRPr="00B131B3" w:rsidRDefault="009F3ED8" w:rsidP="00B131B3">
            <w:pPr>
              <w:pStyle w:val="GraphSource"/>
              <w:keepNext/>
            </w:pPr>
            <w:r w:rsidRPr="00B131B3">
              <w:rPr>
                <w:b/>
                <w:i/>
              </w:rPr>
              <w:t>Source:</w:t>
            </w:r>
            <w:r w:rsidRPr="00B131B3">
              <w:t xml:space="preserve"> Commission services, EPC.</w:t>
            </w:r>
          </w:p>
        </w:tc>
      </w:tr>
    </w:tbl>
    <w:p w14:paraId="09CA66DA" w14:textId="77777777" w:rsidR="009F3ED8" w:rsidRPr="00B131B3" w:rsidRDefault="009F3ED8" w:rsidP="00B131B3">
      <w:r w:rsidRPr="00B131B3">
        <w:t xml:space="preserve">An alternative TFP scenario looks into the impact on pension expenditure if </w:t>
      </w:r>
      <w:r w:rsidRPr="00B131B3">
        <w:rPr>
          <w:b/>
        </w:rPr>
        <w:t>TFP growth is assumed to converge to only 0.8% by 2070</w:t>
      </w:r>
      <w:r w:rsidRPr="00B131B3">
        <w:t xml:space="preserve"> for all countries as compared to the 1% in the baseline scenario. Under this scenario (the 'TFP risk scenario'), gross public pension expenditure would rise by 0.4 pps. of GDP in the EU relative to the baseline (see Graph </w:t>
      </w:r>
      <w:r w:rsidRPr="00B131B3">
        <w:fldChar w:fldCharType="begin"/>
      </w:r>
      <w:r w:rsidRPr="00B131B3">
        <w:instrText xml:space="preserve"> QUOTE "II.1.25"</w:instrText>
      </w:r>
      <w:r w:rsidRPr="00B131B3">
        <w:fldChar w:fldCharType="begin">
          <w:fldData xml:space="preserve">QwBSAE8AUwBTAFIARQBGAEUAUgBFAE4AQwBFACoARwBSAEEAUABIACoAZQA1ADQAOQBjADYAOQBk
AC0ANAA2AGYAOAAtADQAOQAzADkALQBiADAAYgA1AC0AYwAzAGUAMgBjAGMANQA1AGEAMAAyADMA
</w:fldData>
        </w:fldChar>
      </w:r>
      <w:r w:rsidRPr="00B131B3">
        <w:instrText xml:space="preserve"> ADDIN </w:instrText>
      </w:r>
      <w:r w:rsidRPr="00B131B3">
        <w:fldChar w:fldCharType="end"/>
      </w:r>
      <w:r w:rsidRPr="00B131B3">
        <w:instrText xml:space="preserve"> </w:instrText>
      </w:r>
      <w:r w:rsidRPr="00B131B3">
        <w:fldChar w:fldCharType="separate"/>
      </w:r>
      <w:r w:rsidRPr="00B131B3">
        <w:t>II.1.25</w:t>
      </w:r>
      <w:r w:rsidRPr="00B131B3">
        <w:fldChar w:fldCharType="end"/>
      </w:r>
      <w:r w:rsidRPr="00B131B3">
        <w:t xml:space="preserve">). Belgium (+1.1 pps. of GDP), Portugal and Greece (+1 pp.) and France (+0.9 pps.) would be the most affected by such development. At the other end of the spectrum are Denmark, Norway, Ireland, the Netherlands, Sweden, Lithuania, Spain and Germany, which would be barely impacted. </w:t>
      </w: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6E0D114F" w14:textId="77777777" w:rsidTr="00B131B3">
        <w:trPr>
          <w:cantSplit/>
        </w:trPr>
        <w:tc>
          <w:tcPr>
            <w:tcW w:w="4110" w:type="dxa"/>
            <w:shd w:val="clear" w:color="auto" w:fill="auto"/>
          </w:tcPr>
          <w:p w14:paraId="34D86E52" w14:textId="77777777" w:rsidR="009F3ED8" w:rsidRPr="00B131B3" w:rsidRDefault="009F3ED8" w:rsidP="00B131B3">
            <w:pPr>
              <w:pStyle w:val="GraphTitle"/>
              <w:rPr>
                <w:b/>
              </w:rPr>
            </w:pPr>
            <w:r w:rsidRPr="00B131B3">
              <w:lastRenderedPageBreak/>
              <w:t>Graph II.1.25:</w:t>
            </w:r>
            <w:r w:rsidRPr="00B131B3">
              <w:rPr>
                <w:b/>
              </w:rPr>
              <w:tab/>
              <w:t>TFP risk scenario: impact on the change in gross public pension expenditure in 2016-2070 (deviation from baseline, pps. of GDP)</w:t>
            </w:r>
          </w:p>
        </w:tc>
      </w:tr>
      <w:tr w:rsidR="009F3ED8" w:rsidRPr="00B131B3" w14:paraId="5DA09F7E" w14:textId="77777777" w:rsidTr="00B131B3">
        <w:trPr>
          <w:cantSplit/>
        </w:trPr>
        <w:tc>
          <w:tcPr>
            <w:tcW w:w="4110" w:type="dxa"/>
            <w:shd w:val="clear" w:color="auto" w:fill="auto"/>
          </w:tcPr>
          <w:p w14:paraId="065DF585" w14:textId="77777777" w:rsidR="009F3ED8" w:rsidRPr="00B131B3" w:rsidRDefault="009F3ED8" w:rsidP="00B131B3">
            <w:pPr>
              <w:pStyle w:val="GraphShape"/>
              <w:rPr>
                <w:sz w:val="2"/>
              </w:rPr>
            </w:pPr>
            <w:r w:rsidRPr="00B131B3">
              <w:fldChar w:fldCharType="begin"/>
            </w:r>
            <w:r w:rsidRPr="009F3ED8">
              <w:instrText xml:space="preserve"> TC "</w:instrText>
            </w:r>
            <w:bookmarkStart w:id="153" w:name="_Toc511664675"/>
            <w:r w:rsidRPr="009F3ED8">
              <w:instrText>II.1.25.</w:instrText>
            </w:r>
            <w:r w:rsidRPr="009F3ED8">
              <w:tab/>
              <w:instrText>TFP risk scenario: impact on the change in gross public pension expenditure in 2016-2070 (deviation from baseline, pps. of GDP)</w:instrText>
            </w:r>
            <w:bookmarkEnd w:id="153"/>
            <w:r w:rsidRPr="009F3ED8">
              <w:instrText xml:space="preserve">" \fgraph \l 5 </w:instrText>
            </w:r>
            <w:r w:rsidRPr="00B131B3">
              <w:fldChar w:fldCharType="end"/>
            </w:r>
            <w:r w:rsidRPr="00B131B3">
              <w:rPr>
                <w:noProof/>
                <w:sz w:val="2"/>
                <w:lang w:val="hr-HR" w:eastAsia="hr-HR"/>
              </w:rPr>
              <w:drawing>
                <wp:inline distT="0" distB="0" distL="0" distR="0" wp14:anchorId="7E35F8AD" wp14:editId="7791F5D6">
                  <wp:extent cx="2597595" cy="2597595"/>
                  <wp:effectExtent l="0" t="0" r="0" b="0"/>
                  <wp:docPr id="1121" name="Picture 1121" descr="&lt;nbr&gt;&lt;GETTEXTFROMWORD&gt;&lt;/nbr&gt;&#10;&lt;title&gt;&lt;GETTEXTFROMWORD&gt;&lt;/title&gt;&#10;&lt;id&gt;e549c69d-46f8-4939-b0b5-c3e2cc55a023&lt;/id&gt;&#10;&lt;srcType&gt;EXCEL&lt;/srcType&gt;&#10;&lt;srcPath&gt;\\net1.cec.eu.int\ECFIN\C\2\Budgetary projections 2018\Reports\2018 AR\Tables_and_graphs\Part II Chapter 1\&lt;/srcPath&gt;&#10;&lt;srcName&gt;Tables_graphs_projections.xlsx&lt;/srcName&gt;&#10;&lt;type&gt;graph&lt;/type&gt;&#10; &lt;srcSheet&gt;Graph 23&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597595" cy="2597595"/>
                          </a:xfrm>
                          <a:prstGeom prst="rect">
                            <a:avLst/>
                          </a:prstGeom>
                          <a:noFill/>
                          <a:ln>
                            <a:noFill/>
                          </a:ln>
                        </pic:spPr>
                      </pic:pic>
                    </a:graphicData>
                  </a:graphic>
                </wp:inline>
              </w:drawing>
            </w:r>
          </w:p>
        </w:tc>
      </w:tr>
      <w:tr w:rsidR="009F3ED8" w:rsidRPr="00B131B3" w14:paraId="697F0A12" w14:textId="77777777" w:rsidTr="00B131B3">
        <w:trPr>
          <w:cantSplit/>
        </w:trPr>
        <w:tc>
          <w:tcPr>
            <w:tcW w:w="4110" w:type="dxa"/>
            <w:shd w:val="clear" w:color="auto" w:fill="auto"/>
            <w:tcMar>
              <w:bottom w:w="240" w:type="dxa"/>
            </w:tcMar>
          </w:tcPr>
          <w:p w14:paraId="76139D1B" w14:textId="77777777" w:rsidR="009F3ED8" w:rsidRPr="00B131B3" w:rsidRDefault="009F3ED8" w:rsidP="00B131B3">
            <w:pPr>
              <w:pStyle w:val="GraphSource"/>
              <w:keepNext/>
            </w:pPr>
            <w:r w:rsidRPr="00B131B3">
              <w:rPr>
                <w:b/>
                <w:i/>
              </w:rPr>
              <w:t>Source:</w:t>
            </w:r>
            <w:r w:rsidRPr="00B131B3">
              <w:t xml:space="preserve"> Commission services, EPC.</w:t>
            </w:r>
          </w:p>
        </w:tc>
      </w:tr>
    </w:tbl>
    <w:p w14:paraId="49B238B8" w14:textId="77777777" w:rsidR="009F3ED8" w:rsidRPr="00B131B3" w:rsidRDefault="009F3ED8" w:rsidP="00B131B3">
      <w:pPr>
        <w:pStyle w:val="NumberedHeading2"/>
        <w:tabs>
          <w:tab w:val="left" w:pos="567"/>
        </w:tabs>
      </w:pPr>
      <w:r w:rsidRPr="00B131B3">
        <w:t>1.8.3.</w:t>
      </w:r>
      <w:r w:rsidRPr="00B131B3">
        <w:tab/>
        <w:t xml:space="preserve">Policy-change scenario: linking retirement ages to increases in life expectancy </w:t>
      </w:r>
    </w:p>
    <w:p w14:paraId="5536BF10" w14:textId="77777777" w:rsidR="009F3ED8" w:rsidRPr="00B131B3" w:rsidRDefault="009F3ED8" w:rsidP="00B131B3">
      <w:r w:rsidRPr="00B131B3">
        <w:t xml:space="preserve">The introduction of an automatic link between early and statutory retirement ages and life expectancy would have a substantial downward impact on pension expenditure in many countries (see Graph </w:t>
      </w:r>
      <w:r w:rsidRPr="00B131B3">
        <w:fldChar w:fldCharType="begin"/>
      </w:r>
      <w:r w:rsidRPr="00B131B3">
        <w:instrText xml:space="preserve"> QUOTE "II.1.26"</w:instrText>
      </w:r>
      <w:r w:rsidRPr="00B131B3">
        <w:fldChar w:fldCharType="begin">
          <w:fldData xml:space="preserve">QwBSAE8AUwBTAFIARQBGAEUAUgBFAE4AQwBFACoARwBSAEEAUABIACoAYQA2AGQAMwA1ADkAZQBk
AC0AOQBiAGYANgAtADQAOAA0ADAALQBhADAAMQBmAC0AYwA4ADkAMABkADIAYQAwADkAZgBiADEA
</w:fldData>
        </w:fldChar>
      </w:r>
      <w:r w:rsidRPr="00B131B3">
        <w:instrText xml:space="preserve"> ADDIN </w:instrText>
      </w:r>
      <w:r w:rsidRPr="00B131B3">
        <w:fldChar w:fldCharType="end"/>
      </w:r>
      <w:r w:rsidRPr="00B131B3">
        <w:instrText xml:space="preserve"> </w:instrText>
      </w:r>
      <w:r w:rsidRPr="00B131B3">
        <w:fldChar w:fldCharType="separate"/>
      </w:r>
      <w:r w:rsidRPr="00B131B3">
        <w:t>II.1.26</w:t>
      </w:r>
      <w:r w:rsidRPr="00B131B3">
        <w:fldChar w:fldCharType="end"/>
      </w:r>
      <w:r w:rsidRPr="00B131B3">
        <w:t>) (</w:t>
      </w:r>
      <w:r w:rsidRPr="00B131B3">
        <w:rPr>
          <w:rStyle w:val="Referencafusnote"/>
        </w:rPr>
        <w:footnoteReference w:id="68"/>
      </w:r>
      <w:r w:rsidRPr="00B131B3">
        <w:t xml:space="preserve">). As careers would be rising in line with longevity, the decline in the number of pensioners results in a lower coverage ratio so that pension expenditure falls in comparison to the baseline. In addition, higher labour activity pushes up economic growth. At the same time, longer careers lead to a higher benefit ratio as more rights can be accumulated. Nevertheless, pension expenditure ratios are estimated to go down in all countries for which the policy-change scenario was run. For those countries that already have an automatic link between retirement ages and life expectancy, the scenario was not run as it would concur with their baseline. This is the case for </w:t>
      </w:r>
      <w:r w:rsidRPr="00B131B3">
        <w:lastRenderedPageBreak/>
        <w:fldChar w:fldCharType="begin"/>
      </w:r>
      <w:r w:rsidRPr="009F3ED8">
        <w:instrText xml:space="preserve"> TC "</w:instrText>
      </w:r>
      <w:bookmarkStart w:id="154" w:name="_Toc511664541"/>
      <w:r w:rsidRPr="009F3ED8">
        <w:instrText>II.1.22.</w:instrText>
      </w:r>
      <w:r w:rsidRPr="009F3ED8">
        <w:tab/>
        <w:instrText>Summary table: impact of all sensitivity tests on the change in gross public pension expenditure in 2016-2070 (deviation from baseline, pps. of GDP)</w:instrText>
      </w:r>
      <w:bookmarkEnd w:id="154"/>
      <w:r w:rsidRPr="009F3ED8">
        <w:instrText xml:space="preserve">" \ftable \l 5 </w:instrText>
      </w:r>
      <w:r w:rsidRPr="00B131B3">
        <w:fldChar w:fldCharType="end"/>
      </w:r>
      <w:r w:rsidRPr="00B131B3">
        <w:t xml:space="preserve">Denmark, Greece, Italy, Cyprus, the Netherlands, Slovakia and Finland. </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9F3ED8" w:rsidRPr="00B131B3" w14:paraId="07FA277B" w14:textId="77777777" w:rsidTr="00B131B3">
        <w:trPr>
          <w:cantSplit/>
          <w:trHeight w:val="20"/>
        </w:trPr>
        <w:tc>
          <w:tcPr>
            <w:tcW w:w="8505" w:type="dxa"/>
            <w:shd w:val="clear" w:color="auto" w:fill="auto"/>
          </w:tcPr>
          <w:p w14:paraId="304CA8F2" w14:textId="77777777" w:rsidR="009F3ED8" w:rsidRPr="00B131B3" w:rsidRDefault="009F3ED8" w:rsidP="00B131B3">
            <w:pPr>
              <w:pStyle w:val="SlimCell"/>
              <w:keepNext/>
            </w:pPr>
          </w:p>
        </w:tc>
      </w:tr>
      <w:tr w:rsidR="009F3ED8" w:rsidRPr="00B131B3" w14:paraId="1F6E31E6" w14:textId="77777777" w:rsidTr="00B131B3">
        <w:trPr>
          <w:cantSplit/>
        </w:trPr>
        <w:tc>
          <w:tcPr>
            <w:tcW w:w="8505" w:type="dxa"/>
            <w:shd w:val="clear" w:color="auto" w:fill="auto"/>
          </w:tcPr>
          <w:p w14:paraId="22C94BD0" w14:textId="77777777" w:rsidR="009F3ED8" w:rsidRPr="00B131B3" w:rsidRDefault="009F3ED8" w:rsidP="00B131B3">
            <w:pPr>
              <w:pStyle w:val="TableTitle"/>
              <w:rPr>
                <w:b/>
              </w:rPr>
            </w:pPr>
            <w:r w:rsidRPr="00B131B3">
              <w:t>Table II.1.22:</w:t>
            </w:r>
            <w:r w:rsidRPr="00B131B3">
              <w:rPr>
                <w:b/>
              </w:rPr>
              <w:tab/>
              <w:t>Summary table: impact of all sensitivity tests on the change in gross public pension expenditure in 2016-2070 (deviation from baseline, pps. of GDP)</w:t>
            </w:r>
          </w:p>
        </w:tc>
      </w:tr>
      <w:tr w:rsidR="009F3ED8" w:rsidRPr="00B131B3" w14:paraId="11D121C1" w14:textId="77777777" w:rsidTr="00B131B3">
        <w:trPr>
          <w:cantSplit/>
        </w:trPr>
        <w:tc>
          <w:tcPr>
            <w:tcW w:w="8505" w:type="dxa"/>
            <w:shd w:val="clear" w:color="auto" w:fill="auto"/>
          </w:tcPr>
          <w:p w14:paraId="617CF508" w14:textId="77777777" w:rsidR="009F3ED8" w:rsidRPr="00B131B3" w:rsidRDefault="009F3ED8" w:rsidP="00B131B3">
            <w:pPr>
              <w:pStyle w:val="TableShape"/>
              <w:rPr>
                <w:sz w:val="2"/>
              </w:rPr>
            </w:pPr>
            <w:r w:rsidRPr="00B131B3">
              <w:rPr>
                <w:noProof/>
                <w:sz w:val="2"/>
                <w:lang w:val="hr-HR" w:eastAsia="hr-HR"/>
              </w:rPr>
              <w:drawing>
                <wp:inline distT="0" distB="0" distL="0" distR="0" wp14:anchorId="35910FA6" wp14:editId="1912255B">
                  <wp:extent cx="5400929" cy="3350965"/>
                  <wp:effectExtent l="0" t="0" r="9525" b="1905"/>
                  <wp:docPr id="1122" name="Picture 1122" descr="&lt;nbr&gt;&lt;GETTEXTFROMWORD&gt;&lt;/nbr&gt;&#10;&lt;title&gt;&lt;GETTEXTFROMWORD&gt;&lt;/title&gt;&#10;&lt;id&gt;b73895c0-413d-4684-b45a-bbc10727f49d&lt;/id&gt;&#10;&lt;srcType&gt;EXCEL&lt;/srcType&gt;&#10;&lt;srcPath&gt;U:\Budgetary projections 2018\Reports\2018 AR\Tables_and_graphs\Part II Chapter 1\&lt;/srcPath&gt;&#10;&lt;srcName&gt;Tables_graphs_projections.xlsx&lt;/srcName&gt;&#10;&lt;type&gt;table&lt;/type&gt;&#10; &lt;srcSheet&gt;Table 30&lt;/srcSheet&gt;&#10; &lt;srcRange&gt;R2C2:R35C18&lt;/srcRange&gt;&#10;&lt;pos&gt;top&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400929" cy="3350965"/>
                          </a:xfrm>
                          <a:prstGeom prst="rect">
                            <a:avLst/>
                          </a:prstGeom>
                          <a:noFill/>
                          <a:ln>
                            <a:noFill/>
                          </a:ln>
                        </pic:spPr>
                      </pic:pic>
                    </a:graphicData>
                  </a:graphic>
                </wp:inline>
              </w:drawing>
            </w:r>
          </w:p>
        </w:tc>
      </w:tr>
      <w:tr w:rsidR="009F3ED8" w:rsidRPr="00B131B3" w14:paraId="2A0FCBA6" w14:textId="77777777" w:rsidTr="00B131B3">
        <w:trPr>
          <w:cantSplit/>
        </w:trPr>
        <w:tc>
          <w:tcPr>
            <w:tcW w:w="8505" w:type="dxa"/>
            <w:shd w:val="clear" w:color="auto" w:fill="auto"/>
          </w:tcPr>
          <w:p w14:paraId="1F08A788"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31A90028" w14:textId="77777777" w:rsidTr="00B131B3">
        <w:trPr>
          <w:cantSplit/>
          <w:trHeight w:val="20"/>
        </w:trPr>
        <w:tc>
          <w:tcPr>
            <w:tcW w:w="8505" w:type="dxa"/>
            <w:shd w:val="clear" w:color="auto" w:fill="auto"/>
          </w:tcPr>
          <w:p w14:paraId="3B045E78" w14:textId="77777777" w:rsidR="009F3ED8" w:rsidRPr="00B131B3" w:rsidRDefault="009F3ED8" w:rsidP="00B131B3">
            <w:pPr>
              <w:pStyle w:val="SlimCell"/>
            </w:pPr>
          </w:p>
        </w:tc>
      </w:tr>
    </w:tbl>
    <w:p w14:paraId="3B77BAD9" w14:textId="77777777" w:rsidR="009F3ED8" w:rsidRPr="00B131B3" w:rsidRDefault="009F3ED8" w:rsidP="00B131B3">
      <w:pPr>
        <w:pStyle w:val="MultipageDelimiter"/>
      </w:pPr>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132D998C" w14:textId="77777777" w:rsidTr="00B131B3">
        <w:trPr>
          <w:cantSplit/>
        </w:trPr>
        <w:tc>
          <w:tcPr>
            <w:tcW w:w="4110" w:type="dxa"/>
            <w:shd w:val="clear" w:color="auto" w:fill="auto"/>
          </w:tcPr>
          <w:p w14:paraId="7B47F922" w14:textId="77777777" w:rsidR="009F3ED8" w:rsidRPr="00B131B3" w:rsidRDefault="009F3ED8" w:rsidP="00B131B3">
            <w:pPr>
              <w:pStyle w:val="GraphTitle"/>
              <w:rPr>
                <w:b/>
              </w:rPr>
            </w:pPr>
            <w:r w:rsidRPr="00B131B3">
              <w:t>Graph II.1.26:</w:t>
            </w:r>
            <w:r w:rsidRPr="00B131B3">
              <w:rPr>
                <w:b/>
              </w:rPr>
              <w:tab/>
              <w:t>Impact of linking retirement age to life expectancy on the change in gross public pension expenditure in 2016-2070 (deviation from baseline, pps. of GDP)</w:t>
            </w:r>
          </w:p>
        </w:tc>
      </w:tr>
      <w:tr w:rsidR="009F3ED8" w:rsidRPr="00B131B3" w14:paraId="551195BE" w14:textId="77777777" w:rsidTr="00B131B3">
        <w:trPr>
          <w:cantSplit/>
        </w:trPr>
        <w:tc>
          <w:tcPr>
            <w:tcW w:w="4110" w:type="dxa"/>
            <w:shd w:val="clear" w:color="auto" w:fill="auto"/>
          </w:tcPr>
          <w:p w14:paraId="57683DA4" w14:textId="77777777" w:rsidR="009F3ED8" w:rsidRPr="00B131B3" w:rsidRDefault="009F3ED8" w:rsidP="00B131B3">
            <w:pPr>
              <w:pStyle w:val="GraphShape"/>
              <w:rPr>
                <w:sz w:val="2"/>
              </w:rPr>
            </w:pPr>
            <w:r w:rsidRPr="00B131B3">
              <w:fldChar w:fldCharType="begin"/>
            </w:r>
            <w:r w:rsidRPr="009F3ED8">
              <w:instrText xml:space="preserve"> TC "</w:instrText>
            </w:r>
            <w:bookmarkStart w:id="155" w:name="_Toc511664676"/>
            <w:r w:rsidRPr="009F3ED8">
              <w:instrText>II.1.26.</w:instrText>
            </w:r>
            <w:r w:rsidRPr="009F3ED8">
              <w:tab/>
              <w:instrText>Impact of linking retirement age to life expectancy on the change in gross public pension expenditure in 2016-2070 (deviation from baseline, pps. of GDP)</w:instrText>
            </w:r>
            <w:bookmarkEnd w:id="155"/>
            <w:r w:rsidRPr="009F3ED8">
              <w:instrText xml:space="preserve">" \fgraph \l 5 </w:instrText>
            </w:r>
            <w:r w:rsidRPr="00B131B3">
              <w:fldChar w:fldCharType="end"/>
            </w:r>
            <w:r w:rsidRPr="00B131B3">
              <w:rPr>
                <w:noProof/>
                <w:sz w:val="2"/>
                <w:lang w:val="hr-HR" w:eastAsia="hr-HR"/>
              </w:rPr>
              <w:drawing>
                <wp:inline distT="0" distB="0" distL="0" distR="0" wp14:anchorId="682FC390" wp14:editId="0B6E4B4D">
                  <wp:extent cx="2597595" cy="2281314"/>
                  <wp:effectExtent l="0" t="0" r="0" b="5080"/>
                  <wp:docPr id="1123" name="Picture 1123" descr="&lt;nbr&gt;&lt;GETTEXTFROMWORD&gt;&lt;/nbr&gt;&#10;&lt;title&gt;&lt;GETTEXTFROMWORD&gt;&lt;/title&gt;&#10;&lt;id&gt;a6d359ed-9bf6-4840-a01f-c890d2a09fb1&lt;/id&gt;&#10;&lt;srcType&gt;EXCEL&lt;/srcType&gt;&#10;&lt;srcPath&gt;\\net1.cec.eu.int\ECFIN\C\2\Budgetary projections 2018\Reports\2018 AR\Tables_and_graphs\Part II Chapter 1\&lt;/srcPath&gt;&#10;&lt;srcName&gt;Tables_graphs_projections.xlsx&lt;/srcName&gt;&#10;&lt;type&gt;graph&lt;/type&gt;&#10; &lt;srcSheet&gt;Graph 24&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597595" cy="2281314"/>
                          </a:xfrm>
                          <a:prstGeom prst="rect">
                            <a:avLst/>
                          </a:prstGeom>
                          <a:noFill/>
                          <a:ln>
                            <a:noFill/>
                          </a:ln>
                        </pic:spPr>
                      </pic:pic>
                    </a:graphicData>
                  </a:graphic>
                </wp:inline>
              </w:drawing>
            </w:r>
          </w:p>
        </w:tc>
      </w:tr>
      <w:tr w:rsidR="009F3ED8" w:rsidRPr="00B131B3" w14:paraId="0D0BECDF" w14:textId="77777777" w:rsidTr="00B131B3">
        <w:trPr>
          <w:cantSplit/>
        </w:trPr>
        <w:tc>
          <w:tcPr>
            <w:tcW w:w="4110" w:type="dxa"/>
            <w:shd w:val="clear" w:color="auto" w:fill="auto"/>
            <w:tcMar>
              <w:bottom w:w="240" w:type="dxa"/>
            </w:tcMar>
          </w:tcPr>
          <w:p w14:paraId="1EAA79B6" w14:textId="77777777" w:rsidR="009F3ED8" w:rsidRPr="00B131B3" w:rsidRDefault="009F3ED8" w:rsidP="00B131B3">
            <w:pPr>
              <w:pStyle w:val="GraphSource"/>
              <w:keepNext/>
            </w:pPr>
            <w:r w:rsidRPr="00B131B3">
              <w:rPr>
                <w:b/>
                <w:i/>
              </w:rPr>
              <w:t>Source:</w:t>
            </w:r>
            <w:r w:rsidRPr="00B131B3">
              <w:t xml:space="preserve"> Commission services, EPC.</w:t>
            </w:r>
          </w:p>
        </w:tc>
      </w:tr>
    </w:tbl>
    <w:p w14:paraId="1D8AF1DE" w14:textId="77777777" w:rsidR="009F3ED8" w:rsidRPr="00B131B3" w:rsidRDefault="009F3ED8" w:rsidP="00B131B3"/>
    <w:p w14:paraId="766D96BB" w14:textId="77777777" w:rsidR="009F3ED8" w:rsidRPr="00B131B3" w:rsidRDefault="009F3ED8" w:rsidP="00B131B3">
      <w:r w:rsidRPr="00B131B3">
        <w:t xml:space="preserve">The strongest impact would be for Austria, at </w:t>
      </w:r>
      <w:r w:rsidRPr="00B131B3">
        <w:noBreakHyphen/>
        <w:t xml:space="preserve">2.4 pps. of GDP in 2070 as compared to the baseline. It is followed by Luxemburg, Hungary, the Czech Republic and France, all of which would see spending decrease by 1.6-1.8 pps. of GDP. The impact is estimated at 1 pp. of GDP or more for Slovenia, Bulgaria, Romania, Malta, Belgium and Norway. Countries that would gain less in terms of spending dynamics from introducing an automatic link often already have other automatic adjustment mechanisms. This is for example the case in Sweden, Germany, Spain, Portugal (where a partial link applies), Poland, Latvia and Lithuania. </w:t>
      </w:r>
    </w:p>
    <w:p w14:paraId="653C6FE7" w14:textId="77777777" w:rsidR="009F3ED8" w:rsidRPr="00B131B3" w:rsidRDefault="009F3ED8" w:rsidP="00B131B3">
      <w:pPr>
        <w:pStyle w:val="NumberedHeading2"/>
        <w:tabs>
          <w:tab w:val="left" w:pos="567"/>
        </w:tabs>
      </w:pPr>
      <w:r w:rsidRPr="00B131B3">
        <w:t>1.8.4.</w:t>
      </w:r>
      <w:r w:rsidRPr="00B131B3">
        <w:tab/>
        <w:t>Overview of sensitivity scenarios</w:t>
      </w:r>
    </w:p>
    <w:p w14:paraId="5A9DE761" w14:textId="77777777" w:rsidR="009F3ED8" w:rsidRPr="00B131B3" w:rsidRDefault="009F3ED8" w:rsidP="00B131B3">
      <w:r w:rsidRPr="00B131B3">
        <w:t xml:space="preserve">Table </w:t>
      </w:r>
      <w:r w:rsidRPr="00B131B3">
        <w:fldChar w:fldCharType="begin"/>
      </w:r>
      <w:r w:rsidRPr="00B131B3">
        <w:instrText xml:space="preserve"> QUOTE "II.1.22"</w:instrText>
      </w:r>
      <w:r w:rsidRPr="00B131B3">
        <w:fldChar w:fldCharType="begin">
          <w:fldData xml:space="preserve">QwBSAE8AUwBTAFIARQBGAEUAUgBFAE4AQwBFACoAVABBAEIATABFACoAYgA3ADMAOAA5ADUAYwAw
AC0ANAAxADMAZAAtADQANgA4ADQALQBiADQANQBhAC0AYgBiAGMAMQAwADcAMgA3AGYANAA5AGQA
</w:fldData>
        </w:fldChar>
      </w:r>
      <w:r w:rsidRPr="00B131B3">
        <w:instrText xml:space="preserve"> ADDIN </w:instrText>
      </w:r>
      <w:r w:rsidRPr="00B131B3">
        <w:fldChar w:fldCharType="end"/>
      </w:r>
      <w:r w:rsidRPr="00B131B3">
        <w:instrText xml:space="preserve"> </w:instrText>
      </w:r>
      <w:r w:rsidRPr="00B131B3">
        <w:fldChar w:fldCharType="separate"/>
      </w:r>
      <w:r w:rsidRPr="00B131B3">
        <w:t>II.1.22</w:t>
      </w:r>
      <w:r w:rsidRPr="00B131B3">
        <w:fldChar w:fldCharType="end"/>
      </w:r>
      <w:r w:rsidRPr="00B131B3">
        <w:t xml:space="preserve"> brings together the impact of the different scenarios compared to the baseline projections for 2016-2070. It shows how downward risks are mainly associated with lower-than-assumed fertility rates and productivity growth. The countries with the highest pension expenditure increase in the baseline projections are generally the most exposed to the unfavourable scenarios. Among the favourable scenarios, the most positive impact would be expected from </w:t>
      </w:r>
      <w:r w:rsidRPr="00B131B3">
        <w:lastRenderedPageBreak/>
        <w:t xml:space="preserve">higher TFP growth and from the policy decision to link retirement ages to life expectancy. Graph </w:t>
      </w:r>
      <w:r w:rsidRPr="00B131B3">
        <w:fldChar w:fldCharType="begin"/>
      </w:r>
      <w:r w:rsidRPr="00B131B3">
        <w:instrText xml:space="preserve"> QUOTE "II.1.27"</w:instrText>
      </w:r>
      <w:r w:rsidRPr="00B131B3">
        <w:fldChar w:fldCharType="begin">
          <w:fldData xml:space="preserve">QwBSAE8AUwBTAFIARQBGAEUAUgBFAE4AQwBFACoARwBSAEEAUABIACoANwAzAGEAYwBhADcANABk
AC0AMgA0AGIAMgAtADQANAAwADAALQBiAGYAYgAyAC0AYQA0ADAAZgBhADEAMgA4AGYAZgA1ADAA
</w:fldData>
        </w:fldChar>
      </w:r>
      <w:r w:rsidRPr="00B131B3">
        <w:instrText xml:space="preserve"> ADDIN </w:instrText>
      </w:r>
      <w:r w:rsidRPr="00B131B3">
        <w:fldChar w:fldCharType="end"/>
      </w:r>
      <w:r w:rsidRPr="00B131B3">
        <w:instrText xml:space="preserve"> </w:instrText>
      </w:r>
      <w:r w:rsidRPr="00B131B3">
        <w:fldChar w:fldCharType="separate"/>
      </w:r>
      <w:r w:rsidRPr="00B131B3">
        <w:t>II.1.27</w:t>
      </w:r>
      <w:r w:rsidRPr="00B131B3">
        <w:fldChar w:fldCharType="end"/>
      </w:r>
      <w:r w:rsidRPr="00B131B3">
        <w:t xml:space="preserve"> shows the impact on pension expenditure of </w:t>
      </w:r>
      <w:r w:rsidRPr="00B131B3">
        <w:fldChar w:fldCharType="begin"/>
      </w:r>
      <w:r w:rsidRPr="009F3ED8">
        <w:instrText xml:space="preserve"> TC "</w:instrText>
      </w:r>
      <w:bookmarkStart w:id="156" w:name="_Toc511664677"/>
      <w:r w:rsidRPr="009F3ED8">
        <w:instrText>II.1.27.</w:instrText>
      </w:r>
      <w:r w:rsidRPr="009F3ED8">
        <w:tab/>
        <w:instrText>Change in gross public pension expenditure in 2016-2070: baseline scenario, baseline + most favourable scenario &amp; baseline + least favourable scenario (% of GDP)</w:instrText>
      </w:r>
      <w:bookmarkEnd w:id="156"/>
      <w:r w:rsidRPr="009F3ED8">
        <w:instrText xml:space="preserve">" \fgraph \l 5 </w:instrText>
      </w:r>
      <w:r w:rsidRPr="00B131B3">
        <w:fldChar w:fldCharType="end"/>
      </w:r>
      <w:r w:rsidRPr="00B131B3">
        <w:t xml:space="preserve">the single most negative and the single most positive scenarios for all countries. </w:t>
      </w:r>
    </w:p>
    <w:p w14:paraId="76C254BE" w14:textId="77777777" w:rsidR="009F3ED8" w:rsidRPr="00B131B3" w:rsidRDefault="009F3ED8" w:rsidP="00B131B3"/>
    <w:p w14:paraId="1839FB6E" w14:textId="77777777" w:rsidR="009F3ED8" w:rsidRPr="00B131B3" w:rsidRDefault="009F3ED8" w:rsidP="00B131B3"/>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9F3ED8" w:rsidRPr="00B131B3" w14:paraId="64FF23E8" w14:textId="77777777" w:rsidTr="00B131B3">
        <w:trPr>
          <w:cantSplit/>
        </w:trPr>
        <w:tc>
          <w:tcPr>
            <w:tcW w:w="8505" w:type="dxa"/>
            <w:shd w:val="clear" w:color="auto" w:fill="auto"/>
          </w:tcPr>
          <w:p w14:paraId="036F6EED" w14:textId="77777777" w:rsidR="009F3ED8" w:rsidRPr="00B131B3" w:rsidRDefault="009F3ED8" w:rsidP="00B131B3">
            <w:pPr>
              <w:pStyle w:val="GraphTitle"/>
              <w:rPr>
                <w:b/>
              </w:rPr>
            </w:pPr>
            <w:r w:rsidRPr="00B131B3">
              <w:t>Graph II.1.27:</w:t>
            </w:r>
            <w:r w:rsidRPr="00B131B3">
              <w:rPr>
                <w:b/>
              </w:rPr>
              <w:tab/>
              <w:t>Change in gross public pension expenditure in 2016-2070: baseline scenario, baseline + most favourable scenario &amp; baseline + least favourable scenario (% of GDP)</w:t>
            </w:r>
          </w:p>
        </w:tc>
      </w:tr>
      <w:tr w:rsidR="009F3ED8" w:rsidRPr="00B131B3" w14:paraId="55068065" w14:textId="77777777" w:rsidTr="00B131B3">
        <w:trPr>
          <w:cantSplit/>
        </w:trPr>
        <w:tc>
          <w:tcPr>
            <w:tcW w:w="8505" w:type="dxa"/>
            <w:shd w:val="clear" w:color="auto" w:fill="auto"/>
          </w:tcPr>
          <w:p w14:paraId="2B1162C2" w14:textId="77777777" w:rsidR="009F3ED8" w:rsidRPr="00B131B3" w:rsidRDefault="009F3ED8" w:rsidP="00B131B3">
            <w:pPr>
              <w:pStyle w:val="GraphShape"/>
              <w:rPr>
                <w:sz w:val="2"/>
              </w:rPr>
            </w:pPr>
            <w:r w:rsidRPr="00B131B3">
              <w:rPr>
                <w:noProof/>
                <w:sz w:val="2"/>
                <w:lang w:val="hr-HR" w:eastAsia="hr-HR"/>
              </w:rPr>
              <w:drawing>
                <wp:inline distT="0" distB="0" distL="0" distR="0" wp14:anchorId="214B703D" wp14:editId="661D8E87">
                  <wp:extent cx="5400929" cy="2705229"/>
                  <wp:effectExtent l="0" t="0" r="0" b="0"/>
                  <wp:docPr id="1124" name="Picture 1124" descr="&lt;nbr&gt;&lt;GETTEXTFROMWORD&gt;&lt;/nbr&gt;&#10;&lt;title&gt;&lt;GETTEXTFROMWORD&gt;&lt;/title&gt;&#10;&lt;id&gt;73aca74d-24b2-4400-bfb2-a40fa128ff50&lt;/id&gt;&#10;&lt;srcType&gt;EXCEL&lt;/srcType&gt;&#10;&lt;srcPath&gt;\\net1.cec.eu.int\ECFIN\C\2\Budgetary projections 2018\Reports\2018 AR\Tables_and_graphs\Part II Chapter 1\&lt;/srcPath&gt;&#10;&lt;srcName&gt;Tables_graphs_projections.xlsx&lt;/srcName&gt;&#10;&lt;type&gt;graph&lt;/type&gt;&#10; &lt;srcSheet&gt;Table 30&lt;/srcSheet&gt;&#10; &lt;srcChartTitle&gt;Chart 1&lt;/srcChartTitle&gt;&#10;&lt;pos&gt;top&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00929" cy="2705229"/>
                          </a:xfrm>
                          <a:prstGeom prst="rect">
                            <a:avLst/>
                          </a:prstGeom>
                          <a:noFill/>
                          <a:ln>
                            <a:noFill/>
                          </a:ln>
                        </pic:spPr>
                      </pic:pic>
                    </a:graphicData>
                  </a:graphic>
                </wp:inline>
              </w:drawing>
            </w:r>
          </w:p>
        </w:tc>
      </w:tr>
      <w:tr w:rsidR="009F3ED8" w:rsidRPr="00B131B3" w14:paraId="2CD2221C" w14:textId="77777777" w:rsidTr="00B131B3">
        <w:trPr>
          <w:cantSplit/>
        </w:trPr>
        <w:tc>
          <w:tcPr>
            <w:tcW w:w="8505" w:type="dxa"/>
            <w:shd w:val="clear" w:color="auto" w:fill="auto"/>
          </w:tcPr>
          <w:p w14:paraId="75788D50" w14:textId="77777777" w:rsidR="009F3ED8" w:rsidRPr="00B131B3" w:rsidRDefault="009F3ED8" w:rsidP="00B131B3">
            <w:pPr>
              <w:pStyle w:val="GraphSource"/>
              <w:keepNext/>
            </w:pPr>
            <w:r w:rsidRPr="00B131B3">
              <w:rPr>
                <w:b/>
                <w:i/>
              </w:rPr>
              <w:t>Source:</w:t>
            </w:r>
            <w:r w:rsidRPr="00B131B3">
              <w:t xml:space="preserve"> Commission services, EPC.</w:t>
            </w:r>
          </w:p>
        </w:tc>
      </w:tr>
    </w:tbl>
    <w:p w14:paraId="14736351" w14:textId="77777777" w:rsidR="009F3ED8" w:rsidRPr="00B131B3" w:rsidRDefault="009F3ED8" w:rsidP="00B131B3">
      <w:pPr>
        <w:pStyle w:val="NumberedHeading1"/>
        <w:tabs>
          <w:tab w:val="left" w:pos="567"/>
        </w:tabs>
      </w:pPr>
      <w:r w:rsidRPr="00B131B3">
        <w:br w:type="page"/>
      </w:r>
      <w:r w:rsidRPr="00B131B3">
        <w:lastRenderedPageBreak/>
        <w:fldChar w:fldCharType="begin"/>
      </w:r>
      <w:r w:rsidRPr="009F3ED8">
        <w:instrText xml:space="preserve"> TC "</w:instrText>
      </w:r>
      <w:bookmarkStart w:id="157" w:name="_Toc511664678"/>
      <w:r w:rsidRPr="009F3ED8">
        <w:instrText>II.1.28.</w:instrText>
      </w:r>
      <w:r w:rsidRPr="009F3ED8">
        <w:tab/>
        <w:instrText>Change in gross public pension expenditure in 2016-2060: latest projections vs. 2015 Ageing Report (pps. of GDP)</w:instrText>
      </w:r>
      <w:bookmarkEnd w:id="157"/>
      <w:r w:rsidRPr="009F3ED8">
        <w:instrText xml:space="preserve">" \fgraph \l 5 </w:instrText>
      </w:r>
      <w:r w:rsidRPr="00B131B3">
        <w:fldChar w:fldCharType="end"/>
      </w:r>
      <w:bookmarkStart w:id="158" w:name="_Toc511664432"/>
      <w:r w:rsidRPr="00B131B3">
        <w:t>1.9.</w:t>
      </w:r>
      <w:r w:rsidRPr="00B131B3">
        <w:tab/>
        <w:t>Comparison with the 2015 Ageing Report (</w:t>
      </w:r>
      <w:r w:rsidRPr="00B131B3">
        <w:rPr>
          <w:rStyle w:val="Referencafusnote"/>
        </w:rPr>
        <w:footnoteReference w:id="69"/>
      </w:r>
      <w:r w:rsidRPr="00B131B3">
        <w:t>)</w:t>
      </w:r>
      <w:bookmarkEnd w:id="158"/>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9F3ED8" w:rsidRPr="00B131B3" w14:paraId="4015F82A" w14:textId="77777777" w:rsidTr="00B131B3">
        <w:trPr>
          <w:cantSplit/>
        </w:trPr>
        <w:tc>
          <w:tcPr>
            <w:tcW w:w="8505" w:type="dxa"/>
            <w:shd w:val="clear" w:color="auto" w:fill="auto"/>
          </w:tcPr>
          <w:p w14:paraId="29B5D76B" w14:textId="77777777" w:rsidR="009F3ED8" w:rsidRPr="00B131B3" w:rsidRDefault="009F3ED8" w:rsidP="00B131B3">
            <w:pPr>
              <w:pStyle w:val="GraphTitle"/>
              <w:rPr>
                <w:b/>
              </w:rPr>
            </w:pPr>
            <w:r w:rsidRPr="00B131B3">
              <w:t>Graph II.1.28:</w:t>
            </w:r>
            <w:r w:rsidRPr="00B131B3">
              <w:rPr>
                <w:b/>
              </w:rPr>
              <w:tab/>
              <w:t>Change in gross public pension expenditure in 2016-2060: latest projections vs. 2015 Ageing Report (pps. of GDP)</w:t>
            </w:r>
          </w:p>
        </w:tc>
      </w:tr>
      <w:tr w:rsidR="009F3ED8" w:rsidRPr="00B131B3" w14:paraId="5BD782DD" w14:textId="77777777" w:rsidTr="00B131B3">
        <w:trPr>
          <w:cantSplit/>
        </w:trPr>
        <w:tc>
          <w:tcPr>
            <w:tcW w:w="8505" w:type="dxa"/>
            <w:shd w:val="clear" w:color="auto" w:fill="auto"/>
          </w:tcPr>
          <w:p w14:paraId="25DE4A5C" w14:textId="77777777" w:rsidR="009F3ED8" w:rsidRPr="00B131B3" w:rsidRDefault="009F3ED8" w:rsidP="00B131B3">
            <w:pPr>
              <w:pStyle w:val="GraphShape"/>
              <w:rPr>
                <w:sz w:val="2"/>
              </w:rPr>
            </w:pPr>
            <w:r w:rsidRPr="00B131B3">
              <w:rPr>
                <w:noProof/>
                <w:sz w:val="2"/>
                <w:lang w:val="hr-HR" w:eastAsia="hr-HR"/>
              </w:rPr>
              <w:drawing>
                <wp:inline distT="0" distB="0" distL="0" distR="0" wp14:anchorId="16F1BDFE" wp14:editId="531270CB">
                  <wp:extent cx="5400929" cy="2638845"/>
                  <wp:effectExtent l="0" t="0" r="0" b="9525"/>
                  <wp:docPr id="1125" name="Picture 1125" descr="&lt;nbr&gt;&lt;GETTEXTFROMWORD&gt;&lt;/nbr&gt;&#10;&lt;title&gt;&lt;GETTEXTFROMWORD&gt;&lt;/title&gt;&#10;&lt;id&gt;2cfeb1a5-58b6-4886-9c21-4d23605f7561&lt;/id&gt;&#10;&lt;srcType&gt;EXCEL&lt;/srcType&gt;&#10;&lt;srcPath&gt;\\net1.cec.eu.int\ECFIN\C\2\Budgetary projections 2018\Reports\2018 AR\Tables_and_graphs\Part II Chapter 1\&lt;/srcPath&gt;&#10;&lt;srcName&gt;Tables_graphs_projections.xlsx&lt;/srcName&gt;&#10;&lt;type&gt;graph&lt;/type&gt;&#10; &lt;srcSheet&gt;Graph 27&lt;/srcSheet&gt;&#10; &lt;srcChartTitle&gt;Chart 1&lt;/srcChartTitl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400929" cy="2638845"/>
                          </a:xfrm>
                          <a:prstGeom prst="rect">
                            <a:avLst/>
                          </a:prstGeom>
                          <a:noFill/>
                          <a:ln>
                            <a:noFill/>
                          </a:ln>
                        </pic:spPr>
                      </pic:pic>
                    </a:graphicData>
                  </a:graphic>
                </wp:inline>
              </w:drawing>
            </w:r>
          </w:p>
        </w:tc>
      </w:tr>
      <w:tr w:rsidR="009F3ED8" w:rsidRPr="00B131B3" w14:paraId="122E2780" w14:textId="77777777" w:rsidTr="00B131B3">
        <w:trPr>
          <w:cantSplit/>
        </w:trPr>
        <w:tc>
          <w:tcPr>
            <w:tcW w:w="8505" w:type="dxa"/>
            <w:shd w:val="clear" w:color="auto" w:fill="auto"/>
          </w:tcPr>
          <w:p w14:paraId="75C43126" w14:textId="77777777" w:rsidR="009F3ED8" w:rsidRDefault="009F3ED8" w:rsidP="00B131B3">
            <w:pPr>
              <w:pStyle w:val="GraphFootnote"/>
              <w:keepNext/>
            </w:pPr>
            <w:r>
              <w:t>(1) For Belgium, Bulgaria and Malta, the 2015 Ageing Report projections refer to updated figures following pension reforms adopted since 2015. These updated projections were peer-reviewed within the EPC's Ageing Working Group.</w:t>
            </w:r>
          </w:p>
          <w:p w14:paraId="029E68FB" w14:textId="77777777" w:rsidR="009F3ED8" w:rsidRPr="00B131B3" w:rsidRDefault="009F3ED8" w:rsidP="00B131B3">
            <w:pPr>
              <w:pStyle w:val="GraphSource"/>
              <w:keepNext/>
            </w:pPr>
            <w:r w:rsidRPr="00B131B3">
              <w:rPr>
                <w:b/>
                <w:i/>
              </w:rPr>
              <w:t>Source:</w:t>
            </w:r>
            <w:r w:rsidRPr="00B131B3">
              <w:t xml:space="preserve"> Commission services, EPC.</w:t>
            </w:r>
          </w:p>
        </w:tc>
      </w:tr>
    </w:tbl>
    <w:p w14:paraId="0FAE0377" w14:textId="77777777" w:rsidR="009F3ED8" w:rsidRPr="00B131B3" w:rsidRDefault="009F3ED8" w:rsidP="00B131B3">
      <w:r w:rsidRPr="00B131B3">
        <w:t xml:space="preserve">For the EU as a whole, the projected change in public pension expenditure in 2016-2060 is basically unaltered compared to the 2015 Ageing Report: +0.1 pps. of GDP vs. -0.1 pps. of GDP in the 2015 exercise. The same holds for twelve countries with a revision of at most 0.3 pps. of GDP since the previous projections. For several other countries, projections were significantly revised, though. The distance from the 45-degree line in Graph </w:t>
      </w:r>
      <w:r w:rsidRPr="00B131B3">
        <w:fldChar w:fldCharType="begin"/>
      </w:r>
      <w:r w:rsidRPr="00B131B3">
        <w:instrText xml:space="preserve"> QUOTE "II.1.28"</w:instrText>
      </w:r>
      <w:r w:rsidRPr="00B131B3">
        <w:fldChar w:fldCharType="begin">
          <w:fldData xml:space="preserve">QwBSAE8AUwBTAFIARQBGAEUAUgBFAE4AQwBFACoARwBSAEEAUABIACoAMgBjAGYAZQBiADEAYQA1
AC0ANQA4AGIANgAtADQAOAA4ADYALQA5AGMAMgAxAC0ANABkADIAMwA2ADAANQBmADcANQA2ADEA
</w:fldData>
        </w:fldChar>
      </w:r>
      <w:r w:rsidRPr="00B131B3">
        <w:instrText xml:space="preserve"> ADDIN </w:instrText>
      </w:r>
      <w:r w:rsidRPr="00B131B3">
        <w:fldChar w:fldCharType="end"/>
      </w:r>
      <w:r w:rsidRPr="00B131B3">
        <w:instrText xml:space="preserve"> </w:instrText>
      </w:r>
      <w:r w:rsidRPr="00B131B3">
        <w:fldChar w:fldCharType="separate"/>
      </w:r>
      <w:r w:rsidRPr="00B131B3">
        <w:t>II.1.28</w:t>
      </w:r>
      <w:r w:rsidRPr="00B131B3">
        <w:fldChar w:fldCharType="end"/>
      </w:r>
      <w:r w:rsidRPr="00B131B3">
        <w:t xml:space="preserve"> indicates the size of the revision.</w:t>
      </w:r>
    </w:p>
    <w:p w14:paraId="21C7ABEC" w14:textId="77777777" w:rsidR="009F3ED8" w:rsidRPr="00B131B3" w:rsidRDefault="009F3ED8" w:rsidP="00B131B3">
      <w:r w:rsidRPr="00B131B3">
        <w:t>The change in pension spending over the period 2016-2060 was revised upwards for a majority of 21 countries. This contrasts with the comparison between the 2012 and the 2015 Ageing Reports, when the trend was clearly downward with limited upward revisions for just two countries. Now, eight countries would see spending increase by at least 1 pp. of GDP more than previously expected. These are Luxembourg (+3.5 pps. of GDP), the Czech Republic (+2.6 pps.), Cyprus (+1.7 pps.), Belgium (+1.5 pps.), Italy and Bulgaria (+1.2 pps.), Ireland (+1.1 pps.) and Romania (+1 pp.). For some of them this increase comes atop of the one already anticipated in 2015 (e.g. Luxembourg, Belgium and Ireland). For other countries the 2015 starting point was clearly more favourable (e.g. Italy, Romania and Cyprus).</w:t>
      </w:r>
    </w:p>
    <w:p w14:paraId="041B3F5A" w14:textId="77777777" w:rsidR="009F3ED8" w:rsidRPr="00B131B3" w:rsidRDefault="009F3ED8" w:rsidP="00B131B3">
      <w:r w:rsidRPr="00B131B3">
        <w:t>Of the eight countries for which the change in the pension expenditure ratio in 2016-2060 is lower than in the 2015 Ageing Report, Greece records the largest change (</w:t>
      </w:r>
      <w:r w:rsidRPr="00B131B3">
        <w:noBreakHyphen/>
        <w:t>4.5 pps. of GDP), followed by Lithuania (</w:t>
      </w:r>
      <w:r w:rsidRPr="00B131B3">
        <w:noBreakHyphen/>
        <w:t>1.7 pps.). For Malta, Portugal, Slovakia, Sweden, Germany and Norway, the change compared to the previous projections is 0.7 pps. of GDP or less.</w:t>
      </w:r>
    </w:p>
    <w:p w14:paraId="2459FF2B" w14:textId="77777777" w:rsidR="009F3ED8" w:rsidRPr="00B131B3" w:rsidRDefault="009F3ED8" w:rsidP="00B131B3">
      <w:r w:rsidRPr="00B131B3">
        <w:t xml:space="preserve">Table </w:t>
      </w:r>
      <w:r w:rsidRPr="00B131B3">
        <w:fldChar w:fldCharType="begin"/>
      </w:r>
      <w:r w:rsidRPr="00B131B3">
        <w:instrText xml:space="preserve"> QUOTE "II.1.23"</w:instrText>
      </w:r>
      <w:r w:rsidRPr="00B131B3">
        <w:fldChar w:fldCharType="begin">
          <w:fldData xml:space="preserve">QwBSAE8AUwBTAFIARQBGAEUAUgBFAE4AQwBFACoAVABBAEIATABFACoANgA4ADYAMAA1ADQANgAw
AC0AYQBjAGIAZQAtADQAYQA2AGMALQBiADQANAAxAC0AYwA5AGMAMgA1AGMANgBmAGYAYwAzADAA
</w:fldData>
        </w:fldChar>
      </w:r>
      <w:r w:rsidRPr="00B131B3">
        <w:instrText xml:space="preserve"> ADDIN </w:instrText>
      </w:r>
      <w:r w:rsidRPr="00B131B3">
        <w:fldChar w:fldCharType="end"/>
      </w:r>
      <w:r w:rsidRPr="00B131B3">
        <w:instrText xml:space="preserve"> </w:instrText>
      </w:r>
      <w:r w:rsidRPr="00B131B3">
        <w:fldChar w:fldCharType="separate"/>
      </w:r>
      <w:r w:rsidRPr="00B131B3">
        <w:t>II.1.23</w:t>
      </w:r>
      <w:r w:rsidRPr="00B131B3">
        <w:fldChar w:fldCharType="end"/>
      </w:r>
      <w:r w:rsidRPr="00B131B3">
        <w:t xml:space="preserve"> contains the data for the different projection exercises. It shows how for a number of countries actual pension expenditure in 2016 differed notably from what was projected in the 2015 Ageing Report. Actual spending in 2016 was for instance higher in Greece (+1.7 pps. of GDP), Cyprus (+0.9 pps.) and Latvia (+0.7 pps.) but turned out 0.7-0.9 pps. of GDP lower for the Czech Republic, Luxembourg and Hungary. The base year effect amounts to </w:t>
      </w:r>
      <w:r w:rsidRPr="00B131B3">
        <w:noBreakHyphen/>
        <w:t xml:space="preserve">1.6 pps. of GDP for Malta and </w:t>
      </w:r>
      <w:r w:rsidRPr="00B131B3">
        <w:noBreakHyphen/>
        <w:t>2.3 pps. of GDP for Ireland. This generally reflects a denominator effect, i.e. GDP being higher or lower than expected at that time.</w:t>
      </w:r>
    </w:p>
    <w:p w14:paraId="2B9ED330" w14:textId="77777777" w:rsidR="009F3ED8" w:rsidRPr="00B131B3" w:rsidRDefault="009F3ED8" w:rsidP="00B131B3">
      <w:r w:rsidRPr="00B131B3">
        <w:lastRenderedPageBreak/>
        <w:fldChar w:fldCharType="begin"/>
      </w:r>
      <w:r w:rsidRPr="009F3ED8">
        <w:instrText xml:space="preserve"> TC "</w:instrText>
      </w:r>
      <w:bookmarkStart w:id="159" w:name="_Toc511664542"/>
      <w:r w:rsidRPr="009F3ED8">
        <w:instrText>II.1.23.</w:instrText>
      </w:r>
      <w:r w:rsidRPr="009F3ED8">
        <w:tab/>
        <w:instrText>Comparison of gross public pension expenditure levels in 2016 and 2060: 2015 vs. 2018 Ageing Reports (% and pps. of GDP)</w:instrText>
      </w:r>
      <w:bookmarkEnd w:id="159"/>
      <w:r w:rsidRPr="009F3ED8">
        <w:instrText xml:space="preserve">" \ftable \l 5 </w:instrText>
      </w:r>
      <w:r w:rsidRPr="00B131B3">
        <w:fldChar w:fldCharType="end"/>
      </w:r>
      <w:r w:rsidRPr="00B131B3">
        <w:t xml:space="preserve">Table </w:t>
      </w:r>
      <w:r w:rsidRPr="00B131B3">
        <w:fldChar w:fldCharType="begin"/>
      </w:r>
      <w:r w:rsidRPr="00B131B3">
        <w:instrText xml:space="preserve"> QUOTE "II.1.24"</w:instrText>
      </w:r>
      <w:r w:rsidRPr="00B131B3">
        <w:fldChar w:fldCharType="begin">
          <w:fldData xml:space="preserve">QwBSAE8AUwBTAFIARQBGAEUAUgBFAE4AQwBFACoAVABBAEIATABFACoAOAA5AGYAZgA0ADMANAA4
AC0ANgBhADkAOQAtADQANAAwAGUALQA5ADcAMABiAC0ANQBmAGQAOABhAGQAOQAyADQAYwBmAGQA
</w:fldData>
        </w:fldChar>
      </w:r>
      <w:r w:rsidRPr="00B131B3">
        <w:instrText xml:space="preserve"> ADDIN </w:instrText>
      </w:r>
      <w:r w:rsidRPr="00B131B3">
        <w:fldChar w:fldCharType="end"/>
      </w:r>
      <w:r w:rsidRPr="00B131B3">
        <w:instrText xml:space="preserve"> </w:instrText>
      </w:r>
      <w:r w:rsidRPr="00B131B3">
        <w:fldChar w:fldCharType="separate"/>
      </w:r>
      <w:r w:rsidRPr="00B131B3">
        <w:t>II.1.24</w:t>
      </w:r>
      <w:r w:rsidRPr="00B131B3">
        <w:fldChar w:fldCharType="end"/>
      </w:r>
      <w:r w:rsidRPr="00B131B3">
        <w:t xml:space="preserve"> allocates the change in the 2016-2060 public pension expenditure projections between the 2015 and 2018 Ageing Reports over the dependency ratio effect, the coverage ratio effect, the benefit ratio effect and the labour market effect. It shows how for most countries revisions in either direction are driven by the developments of the dependency ratio and the benefit ratio. </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9F3ED8" w:rsidRPr="00B131B3" w14:paraId="57965552" w14:textId="77777777" w:rsidTr="00B131B3">
        <w:trPr>
          <w:cantSplit/>
          <w:trHeight w:val="20"/>
        </w:trPr>
        <w:tc>
          <w:tcPr>
            <w:tcW w:w="8505" w:type="dxa"/>
            <w:shd w:val="clear" w:color="auto" w:fill="auto"/>
          </w:tcPr>
          <w:p w14:paraId="0718A59E" w14:textId="77777777" w:rsidR="009F3ED8" w:rsidRPr="00B131B3" w:rsidRDefault="009F3ED8" w:rsidP="00B131B3">
            <w:pPr>
              <w:pStyle w:val="SlimCell"/>
              <w:keepNext/>
            </w:pPr>
          </w:p>
        </w:tc>
      </w:tr>
      <w:tr w:rsidR="009F3ED8" w:rsidRPr="00B131B3" w14:paraId="5C143CB8" w14:textId="77777777" w:rsidTr="00B131B3">
        <w:trPr>
          <w:cantSplit/>
        </w:trPr>
        <w:tc>
          <w:tcPr>
            <w:tcW w:w="8505" w:type="dxa"/>
            <w:shd w:val="clear" w:color="auto" w:fill="auto"/>
          </w:tcPr>
          <w:p w14:paraId="3D540A19" w14:textId="77777777" w:rsidR="009F3ED8" w:rsidRPr="00B131B3" w:rsidRDefault="009F3ED8" w:rsidP="00B131B3">
            <w:pPr>
              <w:pStyle w:val="TableTitle"/>
              <w:rPr>
                <w:b/>
              </w:rPr>
            </w:pPr>
            <w:r w:rsidRPr="00B131B3">
              <w:t>Table II.1.23:</w:t>
            </w:r>
            <w:r w:rsidRPr="00B131B3">
              <w:rPr>
                <w:b/>
              </w:rPr>
              <w:tab/>
              <w:t>Comparison of gross public pension expenditure levels in 2016 and 2060: 2015 vs. 2018 Ageing Reports (% and pps. of GDP)</w:t>
            </w:r>
          </w:p>
        </w:tc>
      </w:tr>
      <w:tr w:rsidR="009F3ED8" w:rsidRPr="00B131B3" w14:paraId="79E4F98B" w14:textId="77777777" w:rsidTr="00B131B3">
        <w:trPr>
          <w:cantSplit/>
        </w:trPr>
        <w:tc>
          <w:tcPr>
            <w:tcW w:w="8505" w:type="dxa"/>
            <w:shd w:val="clear" w:color="auto" w:fill="auto"/>
          </w:tcPr>
          <w:p w14:paraId="0F6A3E4E" w14:textId="77777777" w:rsidR="009F3ED8" w:rsidRPr="00B131B3" w:rsidRDefault="009F3ED8" w:rsidP="00B131B3">
            <w:pPr>
              <w:pStyle w:val="TableShape"/>
              <w:rPr>
                <w:sz w:val="2"/>
              </w:rPr>
            </w:pPr>
            <w:r w:rsidRPr="00B131B3">
              <w:rPr>
                <w:noProof/>
                <w:sz w:val="2"/>
                <w:lang w:val="hr-HR" w:eastAsia="hr-HR"/>
              </w:rPr>
              <w:drawing>
                <wp:inline distT="0" distB="0" distL="0" distR="0" wp14:anchorId="057E0C71" wp14:editId="4FB005B8">
                  <wp:extent cx="5400929" cy="4661493"/>
                  <wp:effectExtent l="0" t="0" r="0" b="6350"/>
                  <wp:docPr id="36" name="Picture 36" descr="&lt;nbr&gt;&lt;GETTEXTFROMWORD&gt;&lt;/nbr&gt;&#10;&lt;title&gt;&lt;GETTEXTFROMWORD&gt;&lt;/title&gt;&#10;&lt;id&gt;68605460-acbe-4a6c-b441-c9c25c6ffc30&lt;/id&gt;&#10;&lt;srcType&gt;EXCEL&lt;/srcType&gt;&#10;&lt;srcPath&gt;U:\Budgetary projections 2018\Reports\2018 AR\Tables_and_graphs\Part II Chapter 1\&lt;/srcPath&gt;&#10;&lt;srcName&gt;Tables_graphs_projections.xlsx&lt;/srcName&gt;&#10;&lt;type&gt;table&lt;/type&gt;&#10; &lt;srcSheet&gt;Table 31&lt;/srcSheet&gt;&#10; &lt;srcRange&gt;R2C2:R35C11&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400929" cy="4661493"/>
                          </a:xfrm>
                          <a:prstGeom prst="rect">
                            <a:avLst/>
                          </a:prstGeom>
                          <a:noFill/>
                          <a:ln>
                            <a:noFill/>
                          </a:ln>
                        </pic:spPr>
                      </pic:pic>
                    </a:graphicData>
                  </a:graphic>
                </wp:inline>
              </w:drawing>
            </w:r>
          </w:p>
        </w:tc>
      </w:tr>
      <w:tr w:rsidR="009F3ED8" w:rsidRPr="00B131B3" w14:paraId="395A173F" w14:textId="77777777" w:rsidTr="00B131B3">
        <w:trPr>
          <w:cantSplit/>
        </w:trPr>
        <w:tc>
          <w:tcPr>
            <w:tcW w:w="8505" w:type="dxa"/>
            <w:shd w:val="clear" w:color="auto" w:fill="auto"/>
          </w:tcPr>
          <w:p w14:paraId="60464713" w14:textId="77777777" w:rsidR="009F3ED8" w:rsidRDefault="009F3ED8" w:rsidP="00B131B3">
            <w:pPr>
              <w:pStyle w:val="TableFootnote"/>
            </w:pPr>
            <w:r>
              <w:t>(1) For Belgium, Bulgaria and Malta, the 2015 Ageing Report projections refer to updated figures following pension reforms adopted since 2015. These updated projections were peer-reviewed within the EPC's Ageing Working Group.</w:t>
            </w:r>
          </w:p>
          <w:p w14:paraId="03218E3B"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714023EC" w14:textId="77777777" w:rsidTr="00B131B3">
        <w:trPr>
          <w:cantSplit/>
          <w:trHeight w:val="20"/>
        </w:trPr>
        <w:tc>
          <w:tcPr>
            <w:tcW w:w="8505" w:type="dxa"/>
            <w:shd w:val="clear" w:color="auto" w:fill="auto"/>
          </w:tcPr>
          <w:p w14:paraId="503A8D00" w14:textId="77777777" w:rsidR="009F3ED8" w:rsidRPr="00B131B3" w:rsidRDefault="009F3ED8" w:rsidP="00B131B3">
            <w:pPr>
              <w:pStyle w:val="SlimCell"/>
            </w:pPr>
          </w:p>
        </w:tc>
      </w:tr>
    </w:tbl>
    <w:p w14:paraId="44AEF64B" w14:textId="77777777" w:rsidR="009F3ED8" w:rsidRPr="00B131B3" w:rsidRDefault="009F3ED8" w:rsidP="00B131B3">
      <w:r w:rsidRPr="00B131B3">
        <w:t xml:space="preserve">The old-age dependency ratio barely moves for the EU as a whole (see Graph </w:t>
      </w:r>
      <w:r w:rsidRPr="00B131B3">
        <w:fldChar w:fldCharType="begin"/>
      </w:r>
      <w:r w:rsidRPr="00B131B3">
        <w:instrText xml:space="preserve"> QUOTE "II.1.29"</w:instrText>
      </w:r>
      <w:r w:rsidRPr="00B131B3">
        <w:fldChar w:fldCharType="begin">
          <w:fldData xml:space="preserve">QwBSAE8AUwBTAFIARQBGAEUAUgBFAE4AQwBFACoARwBSAEEAUABIACoAMgA4AGEAOQAzADMAMQA4
AC0ANABlAGMAMgAtADQAOQBkAGQALQA5AGYAYwBkAC0AZgAwAGQAOQBhAGUANQA1ADkANAAyADkA
</w:fldData>
        </w:fldChar>
      </w:r>
      <w:r w:rsidRPr="00B131B3">
        <w:instrText xml:space="preserve"> ADDIN </w:instrText>
      </w:r>
      <w:r w:rsidRPr="00B131B3">
        <w:fldChar w:fldCharType="end"/>
      </w:r>
      <w:r w:rsidRPr="00B131B3">
        <w:instrText xml:space="preserve"> </w:instrText>
      </w:r>
      <w:r w:rsidRPr="00B131B3">
        <w:fldChar w:fldCharType="separate"/>
      </w:r>
      <w:r w:rsidRPr="00B131B3">
        <w:t>II.1.29</w:t>
      </w:r>
      <w:r w:rsidRPr="00B131B3">
        <w:fldChar w:fldCharType="end"/>
      </w:r>
      <w:r w:rsidRPr="00B131B3">
        <w:t>). For thirteen countries the dependency ratio is larger than it was the case in the 2015 Ageing Report. The largest increases as compared to the 2015 projections are for Italy (+2.8 pps. of GDP), Cyprus (+2.5 pps.), Luxembourg (+2.2 pps.), Lithuania (+2 pps.) and Latvia (+1.9 pps.). Those increases generally exceed the revision for the pension expenditure ratio. The exceptions are the Czech Republic and Luxembourg: the larger dependency ratio does not fully explain the upward revision in the pension expenditure ratio. The largest decreases in the dependency ratio effect in 2016-2060 as compared to the 2015 projections are for Slovakia (</w:t>
      </w:r>
      <w:r w:rsidRPr="00B131B3">
        <w:noBreakHyphen/>
        <w:t>1.5 pps. of GDP), Malta (</w:t>
      </w:r>
      <w:r w:rsidRPr="00B131B3">
        <w:noBreakHyphen/>
        <w:t>1.1 pps.), the Netherlands (</w:t>
      </w:r>
      <w:r w:rsidRPr="00B131B3">
        <w:noBreakHyphen/>
        <w:t>0.9 pps.) and the United Kingdom (</w:t>
      </w:r>
      <w:r w:rsidRPr="00B131B3">
        <w:noBreakHyphen/>
        <w:t>0.8 pps.).</w:t>
      </w:r>
    </w:p>
    <w:p w14:paraId="072B61E8" w14:textId="77777777" w:rsidR="009F3ED8" w:rsidRPr="00B131B3" w:rsidRDefault="009F3ED8" w:rsidP="00B131B3">
      <w:r w:rsidRPr="00B131B3">
        <w:t xml:space="preserve">Also the benefit ratio effect is about stable for the EU when compared to the previous projections (see Graph </w:t>
      </w:r>
      <w:r w:rsidRPr="00B131B3">
        <w:fldChar w:fldCharType="begin"/>
      </w:r>
      <w:r w:rsidRPr="00B131B3">
        <w:instrText xml:space="preserve"> QUOTE "II.1.30"</w:instrText>
      </w:r>
      <w:r w:rsidRPr="00B131B3">
        <w:fldChar w:fldCharType="begin">
          <w:fldData xml:space="preserve">QwBSAE8AUwBTAFIARQBGAEUAUgBFAE4AQwBFACoARwBSAEEAUABIACoAMwAxADAAZQA2ADAAZgAw
AC0AMABhADMANgAtADQANQAxADYALQBhAGUAMwA2AC0AMABhADIANAA0ADcAZgA5AGUAZAAwADUA
</w:fldData>
        </w:fldChar>
      </w:r>
      <w:r w:rsidRPr="00B131B3">
        <w:instrText xml:space="preserve"> ADDIN </w:instrText>
      </w:r>
      <w:r w:rsidRPr="00B131B3">
        <w:fldChar w:fldCharType="end"/>
      </w:r>
      <w:r w:rsidRPr="00B131B3">
        <w:instrText xml:space="preserve"> </w:instrText>
      </w:r>
      <w:r w:rsidRPr="00B131B3">
        <w:fldChar w:fldCharType="separate"/>
      </w:r>
      <w:r w:rsidRPr="00B131B3">
        <w:t>II.1.30</w:t>
      </w:r>
      <w:r w:rsidRPr="00B131B3">
        <w:fldChar w:fldCharType="end"/>
      </w:r>
      <w:r w:rsidRPr="00B131B3">
        <w:t xml:space="preserve">). Higher pension benefits relative to wages drive, however, the upward </w:t>
      </w:r>
      <w:r w:rsidRPr="00B131B3">
        <w:lastRenderedPageBreak/>
        <w:t xml:space="preserve">revisions for Ireland and Romania (+1.1 pps.) and for Finland (+0.8 pps.). For other countries with </w:t>
      </w:r>
      <w:r w:rsidRPr="00B131B3">
        <w:fldChar w:fldCharType="begin"/>
      </w:r>
      <w:r w:rsidRPr="009F3ED8">
        <w:instrText xml:space="preserve"> TC "</w:instrText>
      </w:r>
      <w:bookmarkStart w:id="160" w:name="_Toc511664543"/>
      <w:r w:rsidRPr="009F3ED8">
        <w:instrText>II.1.24.</w:instrText>
      </w:r>
      <w:r w:rsidRPr="009F3ED8">
        <w:tab/>
        <w:instrText>Breakdown of the difference in the gross public pension expenditure change in 2016-2060 between the 2018 and 2015 Ageing Reports (pps. of GDP)</w:instrText>
      </w:r>
      <w:bookmarkEnd w:id="160"/>
      <w:r w:rsidRPr="009F3ED8">
        <w:instrText xml:space="preserve">" \ftable \l 5 </w:instrText>
      </w:r>
      <w:r w:rsidRPr="00B131B3">
        <w:fldChar w:fldCharType="end"/>
      </w:r>
      <w:r w:rsidRPr="00B131B3">
        <w:t xml:space="preserve">considerably higher contributions from the benefit ratio effect than in 2015, the impact on overall public pensions is offset by other factors. This is for example the case for Estonia (+1.2 pps. of GDP), the Netherlands and the United Kingdom (+0.8 pps.) and for Slovakia (+0.7 pps.). </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9F3ED8" w:rsidRPr="00B131B3" w14:paraId="0F64D524" w14:textId="77777777" w:rsidTr="00B131B3">
        <w:trPr>
          <w:cantSplit/>
          <w:trHeight w:val="20"/>
        </w:trPr>
        <w:tc>
          <w:tcPr>
            <w:tcW w:w="8505" w:type="dxa"/>
            <w:shd w:val="clear" w:color="auto" w:fill="auto"/>
          </w:tcPr>
          <w:p w14:paraId="2657BFC6" w14:textId="77777777" w:rsidR="009F3ED8" w:rsidRPr="00B131B3" w:rsidRDefault="009F3ED8" w:rsidP="00B131B3">
            <w:pPr>
              <w:pStyle w:val="SlimCell"/>
              <w:keepNext/>
            </w:pPr>
          </w:p>
        </w:tc>
      </w:tr>
      <w:tr w:rsidR="009F3ED8" w:rsidRPr="00B131B3" w14:paraId="13D36133" w14:textId="77777777" w:rsidTr="00B131B3">
        <w:trPr>
          <w:cantSplit/>
        </w:trPr>
        <w:tc>
          <w:tcPr>
            <w:tcW w:w="8505" w:type="dxa"/>
            <w:shd w:val="clear" w:color="auto" w:fill="auto"/>
          </w:tcPr>
          <w:p w14:paraId="2A518120" w14:textId="77777777" w:rsidR="009F3ED8" w:rsidRPr="00B131B3" w:rsidRDefault="009F3ED8" w:rsidP="00B131B3">
            <w:pPr>
              <w:pStyle w:val="TableTitle"/>
              <w:rPr>
                <w:b/>
              </w:rPr>
            </w:pPr>
            <w:r w:rsidRPr="00B131B3">
              <w:t>Table II.1.24:</w:t>
            </w:r>
            <w:r w:rsidRPr="00B131B3">
              <w:rPr>
                <w:b/>
              </w:rPr>
              <w:tab/>
              <w:t>Breakdown of the difference in the gross public pension expenditure change in 2016-2060 between the 2018 and 2015 Ageing Reports (pps. of GDP)</w:t>
            </w:r>
          </w:p>
        </w:tc>
      </w:tr>
      <w:tr w:rsidR="009F3ED8" w:rsidRPr="00B131B3" w14:paraId="75E12FDA" w14:textId="77777777" w:rsidTr="00B131B3">
        <w:trPr>
          <w:cantSplit/>
        </w:trPr>
        <w:tc>
          <w:tcPr>
            <w:tcW w:w="8505" w:type="dxa"/>
            <w:shd w:val="clear" w:color="auto" w:fill="auto"/>
          </w:tcPr>
          <w:p w14:paraId="2F449A53" w14:textId="77777777" w:rsidR="009F3ED8" w:rsidRPr="00B131B3" w:rsidRDefault="009F3ED8" w:rsidP="00B131B3">
            <w:pPr>
              <w:pStyle w:val="TableShape"/>
              <w:rPr>
                <w:sz w:val="2"/>
              </w:rPr>
            </w:pPr>
            <w:r w:rsidRPr="00B131B3">
              <w:rPr>
                <w:noProof/>
                <w:sz w:val="2"/>
                <w:lang w:val="hr-HR" w:eastAsia="hr-HR"/>
              </w:rPr>
              <w:drawing>
                <wp:inline distT="0" distB="0" distL="0" distR="0" wp14:anchorId="2ED8464D" wp14:editId="3A0DC560">
                  <wp:extent cx="5400929" cy="4063720"/>
                  <wp:effectExtent l="0" t="0" r="0" b="0"/>
                  <wp:docPr id="35" name="Picture 35" descr="&lt;nbr&gt;&lt;GETTEXTFROMWORD&gt;&lt;/nbr&gt;&#10;&lt;title&gt;&lt;GETTEXTFROMWORD&gt;&lt;/title&gt;&#10;&lt;id&gt;89ff4348-6a99-440e-970b-5fd8ad924cfd&lt;/id&gt;&#10;&lt;srcType&gt;EXCEL&lt;/srcType&gt;&#10;&lt;srcPath&gt;U:\Budgetary projections 2018\Reports\2018 AR\Tables_and_graphs\Part II Chapter 1\&lt;/srcPath&gt;&#10;&lt;srcName&gt;Tables_graphs_projections.xlsx&lt;/srcName&gt;&#10;&lt;type&gt;table&lt;/type&gt;&#10; &lt;srcSheet&gt;Table 32&lt;/srcSheet&gt;&#10; &lt;srcRange&gt;R2C2:R33C8&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400929" cy="4063720"/>
                          </a:xfrm>
                          <a:prstGeom prst="rect">
                            <a:avLst/>
                          </a:prstGeom>
                          <a:noFill/>
                          <a:ln>
                            <a:noFill/>
                          </a:ln>
                        </pic:spPr>
                      </pic:pic>
                    </a:graphicData>
                  </a:graphic>
                </wp:inline>
              </w:drawing>
            </w:r>
          </w:p>
        </w:tc>
      </w:tr>
      <w:tr w:rsidR="009F3ED8" w:rsidRPr="00B131B3" w14:paraId="5E8116B6" w14:textId="77777777" w:rsidTr="00B131B3">
        <w:trPr>
          <w:cantSplit/>
        </w:trPr>
        <w:tc>
          <w:tcPr>
            <w:tcW w:w="8505" w:type="dxa"/>
            <w:shd w:val="clear" w:color="auto" w:fill="auto"/>
          </w:tcPr>
          <w:p w14:paraId="5AF5A5E5" w14:textId="77777777" w:rsidR="009F3ED8" w:rsidRDefault="009F3ED8" w:rsidP="00B131B3">
            <w:pPr>
              <w:pStyle w:val="TableFootnote"/>
            </w:pPr>
            <w:r>
              <w:t>(1) For Belgium, Bulgaria and Malta, the 2015 Ageing Report projections refer to updated figures following pension reforms adopted since 2015. These updated projections were peer-reviewed within the EPC's Ageing Working Group.</w:t>
            </w:r>
            <w:r>
              <w:br/>
              <w:t xml:space="preserve">(2) Based on change in ratios in 2015-2060 for 2015 Ageing Report; the non-allocated portion of expected total change in 2016-2060 according to 2015 Ageing Report was added to residual term. </w:t>
            </w:r>
          </w:p>
          <w:p w14:paraId="1CEA2B05"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5ADCB04F" w14:textId="77777777" w:rsidTr="00B131B3">
        <w:trPr>
          <w:cantSplit/>
          <w:trHeight w:val="20"/>
        </w:trPr>
        <w:tc>
          <w:tcPr>
            <w:tcW w:w="8505" w:type="dxa"/>
            <w:shd w:val="clear" w:color="auto" w:fill="auto"/>
          </w:tcPr>
          <w:p w14:paraId="1951314A" w14:textId="77777777" w:rsidR="009F3ED8" w:rsidRPr="00B131B3" w:rsidRDefault="009F3ED8" w:rsidP="00B131B3">
            <w:pPr>
              <w:pStyle w:val="SlimCell"/>
            </w:pPr>
          </w:p>
        </w:tc>
      </w:tr>
    </w:tbl>
    <w:p w14:paraId="5F64AB07" w14:textId="77777777" w:rsidR="009F3ED8" w:rsidRPr="00B131B3" w:rsidRDefault="009F3ED8" w:rsidP="00B131B3">
      <w:r w:rsidRPr="00B131B3">
        <w:t>Conversely, a lower-than-previously-projected benefit ratio effect reduces the pension expenditure projections in Greece (</w:t>
      </w:r>
      <w:r w:rsidRPr="00B131B3">
        <w:noBreakHyphen/>
        <w:t>5.1 pps. of GDP), Lithuania (</w:t>
      </w:r>
      <w:r w:rsidRPr="00B131B3">
        <w:noBreakHyphen/>
        <w:t>3.4 pps.), and in Malta and Norway (</w:t>
      </w:r>
      <w:r w:rsidRPr="00B131B3">
        <w:noBreakHyphen/>
        <w:t>1 pp.). In Poland (</w:t>
      </w:r>
      <w:r w:rsidRPr="00B131B3">
        <w:noBreakHyphen/>
        <w:t>2.3 pps. of GDP), Italy (</w:t>
      </w:r>
      <w:r w:rsidRPr="00B131B3">
        <w:noBreakHyphen/>
        <w:t>1.3 pps.), Spain (</w:t>
      </w:r>
      <w:r w:rsidRPr="00B131B3">
        <w:noBreakHyphen/>
        <w:t>1.2 pps.) and Cyprus (</w:t>
      </w:r>
      <w:r w:rsidRPr="00B131B3">
        <w:noBreakHyphen/>
        <w:t xml:space="preserve">1 pp.) the favourable impact on the expenditure ratio is more than offset by the change in the other ratios. </w:t>
      </w:r>
    </w:p>
    <w:p w14:paraId="34020DB3" w14:textId="77777777" w:rsidR="009F3ED8" w:rsidRPr="00B131B3" w:rsidRDefault="009F3ED8" w:rsidP="00B131B3">
      <w:r w:rsidRPr="00B131B3">
        <w:t>For some countries also the coverage ratio effect contributes notably to the revision in the pension expenditure ratio. This is for example the case for Poland (+1.4 pps. of GDP), Malta (+1 pp.) (</w:t>
      </w:r>
      <w:r w:rsidRPr="00B131B3">
        <w:rPr>
          <w:rStyle w:val="Referencafusnote"/>
        </w:rPr>
        <w:footnoteReference w:id="70"/>
      </w:r>
      <w:r w:rsidRPr="00B131B3">
        <w:t>), Hungary (+0.7 pps.) and for Estonia (</w:t>
      </w:r>
      <w:r w:rsidRPr="00B131B3">
        <w:noBreakHyphen/>
        <w:t xml:space="preserve">1.2 pps.). The effect on the overall expenditure ratio is mostly neutralized by other drivers. </w:t>
      </w:r>
    </w:p>
    <w:p w14:paraId="4DD463EB" w14:textId="77777777" w:rsidR="009F3ED8" w:rsidRPr="00B131B3" w:rsidRDefault="009F3ED8" w:rsidP="00B131B3">
      <w:r w:rsidRPr="00B131B3">
        <w:t>The labour market effect is generally not a major driver of the revisions in the pension expenditure projections. In the case of the Czech Republic, it is one of several factors behind the upward revision compared to the 2015 Ageing Report.</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9F3ED8" w:rsidRPr="00B131B3" w14:paraId="6448AD05" w14:textId="77777777" w:rsidTr="00B131B3">
        <w:trPr>
          <w:cantSplit/>
        </w:trPr>
        <w:tc>
          <w:tcPr>
            <w:tcW w:w="8505" w:type="dxa"/>
            <w:shd w:val="clear" w:color="auto" w:fill="auto"/>
          </w:tcPr>
          <w:p w14:paraId="680A0AAE" w14:textId="77777777" w:rsidR="009F3ED8" w:rsidRPr="00B131B3" w:rsidRDefault="009F3ED8" w:rsidP="00B131B3">
            <w:pPr>
              <w:pStyle w:val="GraphTitle"/>
              <w:rPr>
                <w:b/>
              </w:rPr>
            </w:pPr>
            <w:r w:rsidRPr="00B131B3">
              <w:lastRenderedPageBreak/>
              <w:fldChar w:fldCharType="begin"/>
            </w:r>
            <w:r w:rsidRPr="009F3ED8">
              <w:instrText xml:space="preserve"> TC "</w:instrText>
            </w:r>
            <w:bookmarkStart w:id="161" w:name="_Toc511664679"/>
            <w:r w:rsidRPr="009F3ED8">
              <w:instrText>II.1.29.</w:instrText>
            </w:r>
            <w:r w:rsidRPr="009F3ED8">
              <w:tab/>
              <w:instrText>Revision of the dependency ratio and of the change in gross public pension expenditure ratio in 2016-2060 in the 2018 Ageing Report as compared to the 2015 Ageing Report (pps. of GDP)</w:instrText>
            </w:r>
            <w:bookmarkEnd w:id="161"/>
            <w:r w:rsidRPr="009F3ED8">
              <w:instrText xml:space="preserve">" \fgraph \l 5 </w:instrText>
            </w:r>
            <w:r w:rsidRPr="00B131B3">
              <w:fldChar w:fldCharType="end"/>
            </w:r>
            <w:r w:rsidRPr="00B131B3">
              <w:t>Graph II.1.29:</w:t>
            </w:r>
            <w:r w:rsidRPr="00B131B3">
              <w:rPr>
                <w:b/>
              </w:rPr>
              <w:tab/>
              <w:t>Revision of the dependency ratio and of the change in gross public pension expenditure ratio in 2016-2060 in the 2018 Ageing Report as compared to the 2015 Ageing Report (pps. of GDP)</w:t>
            </w:r>
          </w:p>
        </w:tc>
      </w:tr>
      <w:tr w:rsidR="009F3ED8" w:rsidRPr="00B131B3" w14:paraId="6E21EB58" w14:textId="77777777" w:rsidTr="00B131B3">
        <w:trPr>
          <w:cantSplit/>
        </w:trPr>
        <w:tc>
          <w:tcPr>
            <w:tcW w:w="8505" w:type="dxa"/>
            <w:shd w:val="clear" w:color="auto" w:fill="auto"/>
          </w:tcPr>
          <w:p w14:paraId="532283AA" w14:textId="77777777" w:rsidR="009F3ED8" w:rsidRPr="00B131B3" w:rsidRDefault="009F3ED8" w:rsidP="00B131B3">
            <w:pPr>
              <w:pStyle w:val="GraphShape"/>
              <w:rPr>
                <w:sz w:val="2"/>
              </w:rPr>
            </w:pPr>
            <w:r w:rsidRPr="00B131B3">
              <w:rPr>
                <w:noProof/>
                <w:sz w:val="2"/>
                <w:lang w:val="hr-HR" w:eastAsia="hr-HR"/>
              </w:rPr>
              <w:drawing>
                <wp:inline distT="0" distB="0" distL="0" distR="0" wp14:anchorId="3D59BFB4" wp14:editId="371C2F56">
                  <wp:extent cx="5400929" cy="2600447"/>
                  <wp:effectExtent l="0" t="0" r="9525" b="9525"/>
                  <wp:docPr id="1126" name="Picture 1126" descr="&lt;nbr&gt;&lt;GETTEXTFROMWORD&gt;&lt;/nbr&gt;&#10;&lt;title&gt;&lt;GETTEXTFROMWORD&gt;&lt;/title&gt;&#10;&lt;id&gt;28a93318-4ec2-49dd-9fcd-f0d9ae559429&lt;/id&gt;&#10;&lt;srcType&gt;EXCEL&lt;/srcType&gt;&#10;&lt;srcPath&gt;\\net1.cec.eu.int\ECFIN\C\2\Budgetary projections 2018\Reports\2018 AR\Tables_and_graphs\Part II Chapter 1\&lt;/srcPath&gt;&#10;&lt;srcName&gt;Tables_graphs_projections.xlsx&lt;/srcName&gt;&#10;&lt;type&gt;graph&lt;/type&gt;&#10; &lt;srcSheet&gt;Graph 28&lt;/srcSheet&gt;&#10; &lt;srcChartTitle&gt;Chart 1&lt;/srcChartTitl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400929" cy="2600447"/>
                          </a:xfrm>
                          <a:prstGeom prst="rect">
                            <a:avLst/>
                          </a:prstGeom>
                          <a:noFill/>
                          <a:ln>
                            <a:noFill/>
                          </a:ln>
                        </pic:spPr>
                      </pic:pic>
                    </a:graphicData>
                  </a:graphic>
                </wp:inline>
              </w:drawing>
            </w:r>
          </w:p>
        </w:tc>
      </w:tr>
      <w:tr w:rsidR="009F3ED8" w:rsidRPr="00B131B3" w14:paraId="25347A9E" w14:textId="77777777" w:rsidTr="00B131B3">
        <w:trPr>
          <w:cantSplit/>
        </w:trPr>
        <w:tc>
          <w:tcPr>
            <w:tcW w:w="8505" w:type="dxa"/>
            <w:shd w:val="clear" w:color="auto" w:fill="auto"/>
          </w:tcPr>
          <w:p w14:paraId="264E7FF6" w14:textId="77777777" w:rsidR="009F3ED8" w:rsidRDefault="009F3ED8" w:rsidP="00B131B3">
            <w:pPr>
              <w:pStyle w:val="GraphFootnote"/>
              <w:keepNext/>
            </w:pPr>
            <w:r>
              <w:t>(1) For Belgium, Bulgaria and Malta, the 2015 Ageing Report projections refer to updated figures following pension reforms adopted since 2015. These updated projections were peer-reviewed within the EPC's Ageing Working Group.</w:t>
            </w:r>
            <w:r>
              <w:br/>
              <w:t>(2) Greece is not depicted in the graph in order to enhance readability. X-axis value: -4.5; Y-axis value: -0.2.</w:t>
            </w:r>
          </w:p>
          <w:p w14:paraId="2C8FD6E9" w14:textId="77777777" w:rsidR="009F3ED8" w:rsidRPr="00B131B3" w:rsidRDefault="009F3ED8" w:rsidP="00B131B3">
            <w:pPr>
              <w:pStyle w:val="GraphSource"/>
              <w:keepNext/>
            </w:pPr>
            <w:r w:rsidRPr="00B131B3">
              <w:rPr>
                <w:b/>
                <w:i/>
              </w:rPr>
              <w:t>Source:</w:t>
            </w:r>
            <w:r w:rsidRPr="00B131B3">
              <w:t xml:space="preserve"> Commission services, EPC.</w:t>
            </w:r>
          </w:p>
        </w:tc>
      </w:tr>
    </w:tbl>
    <w:p w14:paraId="6950CE4C" w14:textId="77777777" w:rsidR="009F3ED8" w:rsidRPr="00B131B3" w:rsidRDefault="009F3ED8" w:rsidP="00B131B3">
      <w:r w:rsidRPr="00B131B3">
        <w:t xml:space="preserve">An alternative breakdown of the change in the public pension expenditure ratio compared to the 2015 Ageing Report is provided in Table </w:t>
      </w:r>
      <w:r w:rsidRPr="00B131B3">
        <w:fldChar w:fldCharType="begin"/>
      </w:r>
      <w:r w:rsidRPr="00B131B3">
        <w:instrText xml:space="preserve"> QUOTE "II.1.25"</w:instrText>
      </w:r>
      <w:r w:rsidRPr="00B131B3">
        <w:fldChar w:fldCharType="begin">
          <w:fldData xml:space="preserve">QwBSAE8AUwBTAFIARQBGAEUAUgBFAE4AQwBFACoAVABBAEIATABFACoANgA2ADYAZgAyAGQAOAA2
AC0AYwBmAGIAYgAtADQANwBjAGYALQA5AGUAZgBjAC0AOQA5ADUAMgBhAGEANAAwAGMAOQA5ADIA
</w:fldData>
        </w:fldChar>
      </w:r>
      <w:r w:rsidRPr="00B131B3">
        <w:instrText xml:space="preserve"> ADDIN </w:instrText>
      </w:r>
      <w:r w:rsidRPr="00B131B3">
        <w:fldChar w:fldCharType="end"/>
      </w:r>
      <w:r w:rsidRPr="00B131B3">
        <w:instrText xml:space="preserve"> </w:instrText>
      </w:r>
      <w:r w:rsidRPr="00B131B3">
        <w:fldChar w:fldCharType="separate"/>
      </w:r>
      <w:r w:rsidRPr="00B131B3">
        <w:t>II.1.25</w:t>
      </w:r>
      <w:r w:rsidRPr="00B131B3">
        <w:fldChar w:fldCharType="end"/>
      </w:r>
      <w:r w:rsidRPr="00B131B3">
        <w:t>. It indicates how much of the revision can be related to, respectively, a change in the underlying assumptions, better modelling, the interpretation of constant policy and pension reforms adopted in recent years. The breakdown shows that changes in demographic and macroeconomic assumptions are the main drivers behind revisions as compared to the 2015 exercise.</w:t>
      </w:r>
    </w:p>
    <w:tbl>
      <w:tblPr>
        <w:tblpPr w:horzAnchor="margin" w:tblpYSpec="bottom"/>
        <w:tblOverlap w:val="never"/>
        <w:tblW w:w="0" w:type="auto"/>
        <w:tblLayout w:type="fixed"/>
        <w:tblCellMar>
          <w:left w:w="0" w:type="dxa"/>
          <w:right w:w="0" w:type="dxa"/>
        </w:tblCellMar>
        <w:tblLook w:val="0000" w:firstRow="0" w:lastRow="0" w:firstColumn="0" w:lastColumn="0" w:noHBand="0" w:noVBand="0"/>
      </w:tblPr>
      <w:tblGrid>
        <w:gridCol w:w="8505"/>
      </w:tblGrid>
      <w:tr w:rsidR="009F3ED8" w:rsidRPr="00B131B3" w14:paraId="180BC2BC" w14:textId="77777777" w:rsidTr="00B131B3">
        <w:trPr>
          <w:cantSplit/>
        </w:trPr>
        <w:tc>
          <w:tcPr>
            <w:tcW w:w="8505" w:type="dxa"/>
            <w:shd w:val="clear" w:color="auto" w:fill="auto"/>
          </w:tcPr>
          <w:p w14:paraId="5C071DB6" w14:textId="77777777" w:rsidR="009F3ED8" w:rsidRPr="00B131B3" w:rsidRDefault="009F3ED8" w:rsidP="00B131B3">
            <w:pPr>
              <w:pStyle w:val="GraphTitle"/>
              <w:rPr>
                <w:b/>
              </w:rPr>
            </w:pPr>
            <w:r w:rsidRPr="00B131B3">
              <w:t>Graph II.1.30:</w:t>
            </w:r>
            <w:r w:rsidRPr="00B131B3">
              <w:rPr>
                <w:b/>
              </w:rPr>
              <w:tab/>
              <w:t>Revision of the benefit ratio and of the change in gross public pension expenditure ratio in 2016-2060 in the 2018 Ageing Report as compared to the 2015 Ageing Report (pps. of GDP)</w:t>
            </w:r>
          </w:p>
        </w:tc>
      </w:tr>
      <w:tr w:rsidR="009F3ED8" w:rsidRPr="00B131B3" w14:paraId="592260A0" w14:textId="77777777" w:rsidTr="00B131B3">
        <w:trPr>
          <w:cantSplit/>
        </w:trPr>
        <w:tc>
          <w:tcPr>
            <w:tcW w:w="8505" w:type="dxa"/>
            <w:shd w:val="clear" w:color="auto" w:fill="auto"/>
          </w:tcPr>
          <w:p w14:paraId="163A6431" w14:textId="77777777" w:rsidR="009F3ED8" w:rsidRPr="00B131B3" w:rsidRDefault="009F3ED8" w:rsidP="00B131B3">
            <w:pPr>
              <w:pStyle w:val="GraphShape"/>
              <w:rPr>
                <w:sz w:val="2"/>
              </w:rPr>
            </w:pPr>
            <w:r w:rsidRPr="00B131B3">
              <w:rPr>
                <w:noProof/>
                <w:sz w:val="2"/>
                <w:lang w:val="hr-HR" w:eastAsia="hr-HR"/>
              </w:rPr>
              <w:drawing>
                <wp:inline distT="0" distB="0" distL="0" distR="0" wp14:anchorId="4F50D301" wp14:editId="6ABBA241">
                  <wp:extent cx="5400929" cy="2603271"/>
                  <wp:effectExtent l="0" t="0" r="0" b="6985"/>
                  <wp:docPr id="1127" name="Picture 1127" descr="&lt;nbr&gt;&lt;GETTEXTFROMWORD&gt;&lt;/nbr&gt;&#10;&lt;title&gt;&lt;GETTEXTFROMWORD&gt;&lt;/title&gt;&#10;&lt;id&gt;310e60f0-0a36-4516-ae36-0a2447f9ed05&lt;/id&gt;&#10;&lt;srcType&gt;EXCEL&lt;/srcType&gt;&#10;&lt;srcPath&gt;\\net1.cec.eu.int\ECFIN\C\2\Budgetary projections 2018\Reports\2018 AR\Tables_and_graphs\Part II Chapter 1\&lt;/srcPath&gt;&#10;&lt;srcName&gt;Tables_graphs_projections.xlsx&lt;/srcName&gt;&#10;&lt;type&gt;graph&lt;/type&gt;&#10; &lt;srcSheet&gt;Graph 29&lt;/srcSheet&gt;&#10; &lt;srcChartTitle&gt;Chart 1&lt;/srcChartTitle&gt;&#10;&lt;pos&gt;bottom_maintext&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400929" cy="2603271"/>
                          </a:xfrm>
                          <a:prstGeom prst="rect">
                            <a:avLst/>
                          </a:prstGeom>
                          <a:noFill/>
                          <a:ln>
                            <a:noFill/>
                          </a:ln>
                        </pic:spPr>
                      </pic:pic>
                    </a:graphicData>
                  </a:graphic>
                </wp:inline>
              </w:drawing>
            </w:r>
          </w:p>
        </w:tc>
      </w:tr>
      <w:tr w:rsidR="009F3ED8" w:rsidRPr="00B131B3" w14:paraId="052B33A4" w14:textId="77777777" w:rsidTr="00B131B3">
        <w:trPr>
          <w:cantSplit/>
        </w:trPr>
        <w:tc>
          <w:tcPr>
            <w:tcW w:w="8505" w:type="dxa"/>
            <w:shd w:val="clear" w:color="auto" w:fill="auto"/>
          </w:tcPr>
          <w:p w14:paraId="16E1B624" w14:textId="77777777" w:rsidR="009F3ED8" w:rsidRDefault="009F3ED8" w:rsidP="00B131B3">
            <w:pPr>
              <w:pStyle w:val="GraphFootnote"/>
              <w:keepNext/>
            </w:pPr>
            <w:r>
              <w:t>(1) For Belgium, Bulgaria and Malta, the 2015 Ageing Report projections refer to updated figures following pension reforms adopted since 2015. These updated projections were peer-reviewed within the EPC's Ageing Working Group.</w:t>
            </w:r>
            <w:r>
              <w:br/>
              <w:t>(2) Greece is not depicted in the graph in order to enhance readability. X-axis value: -4.5; Y-axis value: -5.1.</w:t>
            </w:r>
          </w:p>
          <w:p w14:paraId="6C1538A6" w14:textId="77777777" w:rsidR="009F3ED8" w:rsidRPr="00B131B3" w:rsidRDefault="009F3ED8" w:rsidP="00B131B3">
            <w:pPr>
              <w:pStyle w:val="GraphSource"/>
              <w:keepNext/>
            </w:pPr>
            <w:r w:rsidRPr="00B131B3">
              <w:rPr>
                <w:b/>
                <w:i/>
              </w:rPr>
              <w:t>Source:</w:t>
            </w:r>
            <w:r w:rsidRPr="00B131B3">
              <w:t xml:space="preserve"> Commission services, EPC.</w:t>
            </w:r>
          </w:p>
        </w:tc>
      </w:tr>
    </w:tbl>
    <w:p w14:paraId="6568CD74" w14:textId="77777777" w:rsidR="009F3ED8" w:rsidRPr="00B131B3" w:rsidRDefault="009F3ED8" w:rsidP="00B131B3">
      <w:r w:rsidRPr="00B131B3">
        <w:fldChar w:fldCharType="begin"/>
      </w:r>
      <w:r w:rsidRPr="009F3ED8">
        <w:instrText xml:space="preserve"> TC "</w:instrText>
      </w:r>
      <w:bookmarkStart w:id="162" w:name="_Toc511664680"/>
      <w:r w:rsidRPr="009F3ED8">
        <w:instrText>II.1.30.</w:instrText>
      </w:r>
      <w:r w:rsidRPr="009F3ED8">
        <w:tab/>
        <w:instrText>Revision of the benefit ratio and of the change in gross public pension expenditure ratio in 2016-2060 in the 2018 Ageing Report as compared to the 2015 Ageing Report (pps. of GDP)</w:instrText>
      </w:r>
      <w:bookmarkEnd w:id="162"/>
      <w:r w:rsidRPr="009F3ED8">
        <w:instrText xml:space="preserve">" \fgraph \l 5 </w:instrText>
      </w:r>
      <w:r w:rsidRPr="00B131B3">
        <w:fldChar w:fldCharType="end"/>
      </w:r>
      <w:r w:rsidRPr="00B131B3">
        <w:t xml:space="preserve">For most countries that provided the breakdown, the new set of assumptions resulted in an upward </w:t>
      </w:r>
      <w:r w:rsidRPr="00B131B3">
        <w:lastRenderedPageBreak/>
        <w:fldChar w:fldCharType="begin"/>
      </w:r>
      <w:r w:rsidRPr="009F3ED8">
        <w:instrText xml:space="preserve"> TC "</w:instrText>
      </w:r>
      <w:bookmarkStart w:id="163" w:name="_Toc511664544"/>
      <w:r w:rsidRPr="009F3ED8">
        <w:instrText>II.1.25.</w:instrText>
      </w:r>
      <w:r w:rsidRPr="009F3ED8">
        <w:tab/>
        <w:instrText>Alternative breakdown of the difference in the gross public pension expenditure change in 2016-2060 between the 2018 and 2015 Ageing Reports (pps. of GDP)</w:instrText>
      </w:r>
      <w:bookmarkEnd w:id="163"/>
      <w:r w:rsidRPr="009F3ED8">
        <w:instrText xml:space="preserve">" \ftable \l 5 </w:instrText>
      </w:r>
      <w:r w:rsidRPr="00B131B3">
        <w:fldChar w:fldCharType="end"/>
      </w:r>
      <w:r w:rsidRPr="00B131B3">
        <w:t>revision of the change in pension expenditure between 2016 and 2060. The impact amounts to 0.4 pps. of GDP for the EU as a whole but goes as high as 3.5 pps. of GDP in the case of Luxembourg, for which the change in assumptions fully explain the strong upward revision. The downward impact of changed assumptions is the largest for Portugal, at -2.2 pps. of GDP. This is explained by the reforms that entered into force in 2014. These had a larger impact than anticipated in the 2015 projections, when the base year was 2013.</w:t>
      </w:r>
    </w:p>
    <w:p w14:paraId="009EC1CC" w14:textId="77777777" w:rsidR="009F3ED8" w:rsidRPr="00B131B3" w:rsidRDefault="009F3ED8" w:rsidP="00B131B3">
      <w:r w:rsidRPr="00B131B3">
        <w:t>Pension reforms adopted since 2015 are a second source of revisions (</w:t>
      </w:r>
      <w:r w:rsidRPr="00B131B3">
        <w:rPr>
          <w:rStyle w:val="Referencafusnote"/>
        </w:rPr>
        <w:footnoteReference w:id="71"/>
      </w:r>
      <w:r w:rsidRPr="00B131B3">
        <w:t>). Their impact is generally smaller, though, at -0.2 pps. of GDP on average in the EU. The exceptions are the Czech Republic (+1.9 pps. of GDP), Lithuania (-3.7 pps.), Greece (</w:t>
      </w:r>
      <w:r w:rsidRPr="00B131B3">
        <w:noBreakHyphen/>
        <w:t>3.6 pps.) and Finland (-0.7 pps.). For the Czech Republic this foremost reflects the decision to cap the retirement age at 65. In the case of Lithuania the large reduction of the change in pension spending in 2016-2060 follows the introduction of a sustainability factor and more stringent eligibility requirements for full pension benefits. For Greece the revision follows the comprehensive pension reform adopted in 2016. As to Finland, the impact stems from the 2017 pension reform. Overall, policy-related changes play a smaller role than was the case with respect to revisions in the 2015 Ageing Report as compared to the 2012 Ageing Report.</w:t>
      </w:r>
    </w:p>
    <w:p w14:paraId="657D5CBD" w14:textId="77777777" w:rsidR="009F3ED8" w:rsidRPr="00B131B3" w:rsidRDefault="009F3ED8" w:rsidP="00B131B3">
      <w:r w:rsidRPr="00B131B3">
        <w:t xml:space="preserve">For Portugal and Slovakia an upward revision of 1.3 pps. and 0.9 pps. of GDP respectively is reported as a result of modelling refinements. For other countries, modelling techniques, a broader coverage by the projections and the constant policy assumption did not lead to major revisions. </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9F3ED8" w:rsidRPr="00B131B3" w14:paraId="79857AA3" w14:textId="77777777" w:rsidTr="00B131B3">
        <w:trPr>
          <w:cantSplit/>
          <w:trHeight w:val="20"/>
        </w:trPr>
        <w:tc>
          <w:tcPr>
            <w:tcW w:w="8505" w:type="dxa"/>
            <w:shd w:val="clear" w:color="auto" w:fill="auto"/>
          </w:tcPr>
          <w:p w14:paraId="155BB041" w14:textId="77777777" w:rsidR="009F3ED8" w:rsidRPr="00B131B3" w:rsidRDefault="009F3ED8" w:rsidP="00B131B3">
            <w:pPr>
              <w:pStyle w:val="SlimCell"/>
              <w:keepNext/>
            </w:pPr>
          </w:p>
        </w:tc>
      </w:tr>
      <w:tr w:rsidR="009F3ED8" w:rsidRPr="00B131B3" w14:paraId="7F2FCFB8" w14:textId="77777777" w:rsidTr="00B131B3">
        <w:trPr>
          <w:cantSplit/>
        </w:trPr>
        <w:tc>
          <w:tcPr>
            <w:tcW w:w="8505" w:type="dxa"/>
            <w:shd w:val="clear" w:color="auto" w:fill="auto"/>
          </w:tcPr>
          <w:p w14:paraId="10BEB4EE" w14:textId="77777777" w:rsidR="009F3ED8" w:rsidRPr="00B131B3" w:rsidRDefault="009F3ED8" w:rsidP="00B131B3">
            <w:pPr>
              <w:pStyle w:val="TableTitle"/>
              <w:rPr>
                <w:b/>
              </w:rPr>
            </w:pPr>
            <w:r w:rsidRPr="00B131B3">
              <w:t>Table II.1.25:</w:t>
            </w:r>
            <w:r w:rsidRPr="00B131B3">
              <w:rPr>
                <w:b/>
              </w:rPr>
              <w:tab/>
              <w:t>Alternative breakdown of the difference in the gross public pension expenditure change in 2016-2060 between the 2018 and 2015 Ageing Reports (pps. of GDP)</w:t>
            </w:r>
          </w:p>
        </w:tc>
      </w:tr>
      <w:tr w:rsidR="009F3ED8" w:rsidRPr="00B131B3" w14:paraId="192E1E59" w14:textId="77777777" w:rsidTr="00B131B3">
        <w:trPr>
          <w:cantSplit/>
        </w:trPr>
        <w:tc>
          <w:tcPr>
            <w:tcW w:w="8505" w:type="dxa"/>
            <w:shd w:val="clear" w:color="auto" w:fill="auto"/>
          </w:tcPr>
          <w:p w14:paraId="6840CE10" w14:textId="77777777" w:rsidR="009F3ED8" w:rsidRPr="00B131B3" w:rsidRDefault="009F3ED8" w:rsidP="00B131B3">
            <w:pPr>
              <w:pStyle w:val="TableShape"/>
              <w:rPr>
                <w:sz w:val="2"/>
              </w:rPr>
            </w:pPr>
            <w:r w:rsidRPr="00B131B3">
              <w:rPr>
                <w:noProof/>
                <w:sz w:val="2"/>
                <w:lang w:val="hr-HR" w:eastAsia="hr-HR"/>
              </w:rPr>
              <w:drawing>
                <wp:inline distT="0" distB="0" distL="0" distR="0" wp14:anchorId="3B4C9019" wp14:editId="0340EBEC">
                  <wp:extent cx="5400929" cy="3157848"/>
                  <wp:effectExtent l="0" t="0" r="0" b="5080"/>
                  <wp:docPr id="34" name="Picture 34" descr="&lt;nbr&gt;&lt;GETTEXTFROMWORD&gt;&lt;/nbr&gt;&#10;&lt;title&gt;&lt;GETTEXTFROMWORD&gt;&lt;/title&gt;&#10;&lt;id&gt;666f2d86-cfbb-47cf-9efc-9952aa40c992&lt;/id&gt;&#10;&lt;srcType&gt;EXCEL&lt;/srcType&gt;&#10;&lt;srcPath&gt;U:\Budgetary projections 2018\Reports\2018 AR\Tables_and_graphs\Part II Chapter 1\&lt;/srcPath&gt;&#10;&lt;srcName&gt;Tables_graphs_projections.xlsx&lt;/srcName&gt;&#10;&lt;type&gt;table&lt;/type&gt;&#10; &lt;srcSheet&gt;Final table 33&lt;/srcSheet&gt;&#10; &lt;srcRange&gt;R3C2:R35C9&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400929" cy="3157848"/>
                          </a:xfrm>
                          <a:prstGeom prst="rect">
                            <a:avLst/>
                          </a:prstGeom>
                          <a:noFill/>
                          <a:ln>
                            <a:noFill/>
                          </a:ln>
                        </pic:spPr>
                      </pic:pic>
                    </a:graphicData>
                  </a:graphic>
                </wp:inline>
              </w:drawing>
            </w:r>
          </w:p>
        </w:tc>
      </w:tr>
      <w:tr w:rsidR="009F3ED8" w:rsidRPr="00B131B3" w14:paraId="00377763" w14:textId="77777777" w:rsidTr="00B131B3">
        <w:trPr>
          <w:cantSplit/>
        </w:trPr>
        <w:tc>
          <w:tcPr>
            <w:tcW w:w="8505" w:type="dxa"/>
            <w:shd w:val="clear" w:color="auto" w:fill="auto"/>
          </w:tcPr>
          <w:p w14:paraId="194EEA57" w14:textId="77777777" w:rsidR="009F3ED8" w:rsidRDefault="009F3ED8" w:rsidP="00B131B3">
            <w:pPr>
              <w:pStyle w:val="TableFootnote"/>
            </w:pPr>
            <w:r>
              <w:t>(1) For Belgium, Bulgaria and Malta, the 2015 Ageing Report projections refer to updated figures following pension reforms adopted since 2015. These updated projections were peer-reviewed within the EPC's Ageing Working Group.</w:t>
            </w:r>
            <w:r>
              <w:br/>
              <w:t>(2) HU, AT, SI &amp; UK: no breakdown available.</w:t>
            </w:r>
            <w:r>
              <w:br/>
              <w:t>(3) IE: breakdown only concerns Public Social Security Schemes.</w:t>
            </w:r>
          </w:p>
          <w:p w14:paraId="0380D351"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71C4F5C2" w14:textId="77777777" w:rsidTr="00B131B3">
        <w:trPr>
          <w:cantSplit/>
          <w:trHeight w:val="20"/>
        </w:trPr>
        <w:tc>
          <w:tcPr>
            <w:tcW w:w="8505" w:type="dxa"/>
            <w:shd w:val="clear" w:color="auto" w:fill="auto"/>
          </w:tcPr>
          <w:p w14:paraId="6AEBC3D7" w14:textId="77777777" w:rsidR="009F3ED8" w:rsidRPr="00B131B3" w:rsidRDefault="009F3ED8" w:rsidP="00B131B3">
            <w:pPr>
              <w:pStyle w:val="SlimCell"/>
            </w:pPr>
          </w:p>
        </w:tc>
      </w:tr>
    </w:tbl>
    <w:p w14:paraId="2C14F5DC" w14:textId="77777777" w:rsidR="009F3ED8" w:rsidRPr="00B131B3" w:rsidRDefault="009F3ED8" w:rsidP="00B131B3"/>
    <w:p w14:paraId="3B28BF6E" w14:textId="77777777" w:rsidR="009F3ED8" w:rsidRPr="00B131B3" w:rsidRDefault="009F3ED8" w:rsidP="00B131B3"/>
    <w:p w14:paraId="2544B5E1" w14:textId="77777777" w:rsidR="009F3ED8" w:rsidRPr="00B131B3" w:rsidRDefault="009F3ED8" w:rsidP="00B131B3"/>
    <w:p w14:paraId="58024730" w14:textId="77777777" w:rsidR="009F3ED8" w:rsidRPr="00B131B3" w:rsidRDefault="009F3ED8" w:rsidP="00B131B3">
      <w:pPr>
        <w:pStyle w:val="NumberedHeading1"/>
        <w:tabs>
          <w:tab w:val="left" w:pos="567"/>
        </w:tabs>
      </w:pPr>
      <w:bookmarkStart w:id="164" w:name="_Toc511664433"/>
      <w:r w:rsidRPr="00B131B3">
        <w:lastRenderedPageBreak/>
        <w:t>1.10.</w:t>
      </w:r>
      <w:r w:rsidRPr="00B131B3">
        <w:tab/>
        <w:t>Scope for improvement of member states pension projections</w:t>
      </w:r>
      <w:bookmarkEnd w:id="164"/>
    </w:p>
    <w:tbl>
      <w:tblPr>
        <w:tblW w:w="0" w:type="auto"/>
        <w:tblLayout w:type="fixed"/>
        <w:tblCellMar>
          <w:left w:w="0" w:type="dxa"/>
          <w:right w:w="0" w:type="dxa"/>
        </w:tblCellMar>
        <w:tblLook w:val="0000" w:firstRow="0" w:lastRow="0" w:firstColumn="0" w:lastColumn="0" w:noHBand="0" w:noVBand="0"/>
      </w:tblPr>
      <w:tblGrid>
        <w:gridCol w:w="4110"/>
      </w:tblGrid>
      <w:tr w:rsidR="009F3ED8" w:rsidRPr="00B131B3" w14:paraId="2D3BC7B3" w14:textId="77777777" w:rsidTr="00B131B3">
        <w:trPr>
          <w:cantSplit/>
          <w:trHeight w:val="20"/>
        </w:trPr>
        <w:tc>
          <w:tcPr>
            <w:tcW w:w="4110" w:type="dxa"/>
            <w:shd w:val="clear" w:color="auto" w:fill="auto"/>
          </w:tcPr>
          <w:p w14:paraId="6A71DD18" w14:textId="77777777" w:rsidR="009F3ED8" w:rsidRPr="00B131B3" w:rsidRDefault="009F3ED8" w:rsidP="00B131B3">
            <w:pPr>
              <w:pStyle w:val="SlimCell"/>
              <w:keepNext/>
            </w:pPr>
          </w:p>
        </w:tc>
      </w:tr>
      <w:tr w:rsidR="009F3ED8" w:rsidRPr="00B131B3" w14:paraId="76736570" w14:textId="77777777" w:rsidTr="00B131B3">
        <w:trPr>
          <w:cantSplit/>
        </w:trPr>
        <w:tc>
          <w:tcPr>
            <w:tcW w:w="4110" w:type="dxa"/>
            <w:shd w:val="clear" w:color="auto" w:fill="auto"/>
          </w:tcPr>
          <w:p w14:paraId="6968D9AB" w14:textId="77777777" w:rsidR="009F3ED8" w:rsidRPr="00B131B3" w:rsidRDefault="009F3ED8" w:rsidP="00B131B3">
            <w:pPr>
              <w:pStyle w:val="TableTitle"/>
              <w:rPr>
                <w:b/>
              </w:rPr>
            </w:pPr>
            <w:r w:rsidRPr="00B131B3">
              <w:t>Table II.1.26:</w:t>
            </w:r>
            <w:r w:rsidRPr="00B131B3">
              <w:rPr>
                <w:b/>
              </w:rPr>
              <w:tab/>
              <w:t>Scope for improvement in the Member States' projections</w:t>
            </w:r>
          </w:p>
        </w:tc>
      </w:tr>
      <w:tr w:rsidR="009F3ED8" w:rsidRPr="00B131B3" w14:paraId="69B7415E" w14:textId="77777777" w:rsidTr="00B131B3">
        <w:trPr>
          <w:cantSplit/>
        </w:trPr>
        <w:tc>
          <w:tcPr>
            <w:tcW w:w="4110" w:type="dxa"/>
            <w:shd w:val="clear" w:color="auto" w:fill="auto"/>
          </w:tcPr>
          <w:p w14:paraId="44075E3E" w14:textId="77777777" w:rsidR="009F3ED8" w:rsidRPr="00B131B3" w:rsidRDefault="009F3ED8" w:rsidP="00B131B3">
            <w:pPr>
              <w:pStyle w:val="TableShape"/>
              <w:rPr>
                <w:sz w:val="2"/>
              </w:rPr>
            </w:pPr>
            <w:r w:rsidRPr="00B131B3">
              <w:fldChar w:fldCharType="begin"/>
            </w:r>
            <w:r w:rsidRPr="009F3ED8">
              <w:instrText xml:space="preserve"> TC "</w:instrText>
            </w:r>
            <w:bookmarkStart w:id="165" w:name="_Toc511664545"/>
            <w:r w:rsidRPr="009F3ED8">
              <w:instrText>II.1.26.</w:instrText>
            </w:r>
            <w:r w:rsidRPr="009F3ED8">
              <w:tab/>
              <w:instrText>Scope for improvement in the Member States' projections</w:instrText>
            </w:r>
            <w:bookmarkEnd w:id="165"/>
            <w:r w:rsidRPr="009F3ED8">
              <w:instrText xml:space="preserve">" \ftable \l 5 </w:instrText>
            </w:r>
            <w:r w:rsidRPr="00B131B3">
              <w:fldChar w:fldCharType="end"/>
            </w:r>
            <w:r w:rsidRPr="00B131B3">
              <w:rPr>
                <w:noProof/>
                <w:sz w:val="2"/>
                <w:lang w:val="hr-HR" w:eastAsia="hr-HR"/>
              </w:rPr>
              <w:drawing>
                <wp:inline distT="0" distB="0" distL="0" distR="0" wp14:anchorId="6CA7723B" wp14:editId="6ED635CC">
                  <wp:extent cx="2597595" cy="349968"/>
                  <wp:effectExtent l="0" t="0" r="0" b="0"/>
                  <wp:docPr id="33" name="Picture 33" descr="&lt;nbr&gt;&lt;GETTEXTFROMWORD&gt;&lt;/nbr&gt;&#10;&lt;title&gt;&lt;GETTEXTFROMWORD&gt;&lt;/title&gt;&#10;&lt;id&gt;33af4ca3-48c7-49f4-bfb3-ab4511417516&lt;/id&gt;&#10;&lt;srcType&gt;EXCEL&lt;/srcType&gt;&#10;&lt;srcPath&gt;U:\Budgetary projections 2018\Reports\2018 AR\Tables_and_graphs\Part II Chapter 1\&lt;/srcPath&gt;&#10;&lt;srcName&gt;Tables_graphs_projections.xlsx&lt;/srcName&gt;&#10;&lt;type&gt;table&lt;/type&gt;&#10; &lt;srcSheet&gt;1.10 Annex&lt;/srcSheet&gt;&#10; &lt;srcRange&gt;R2C2:R2C10&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2T17:05: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597595" cy="349968"/>
                          </a:xfrm>
                          <a:prstGeom prst="rect">
                            <a:avLst/>
                          </a:prstGeom>
                          <a:noFill/>
                          <a:ln>
                            <a:noFill/>
                          </a:ln>
                        </pic:spPr>
                      </pic:pic>
                    </a:graphicData>
                  </a:graphic>
                </wp:inline>
              </w:drawing>
            </w:r>
          </w:p>
        </w:tc>
      </w:tr>
      <w:tr w:rsidR="009F3ED8" w:rsidRPr="00B131B3" w14:paraId="4405F604" w14:textId="77777777" w:rsidTr="00B131B3">
        <w:trPr>
          <w:cantSplit/>
        </w:trPr>
        <w:tc>
          <w:tcPr>
            <w:tcW w:w="4110" w:type="dxa"/>
            <w:shd w:val="clear" w:color="auto" w:fill="auto"/>
          </w:tcPr>
          <w:p w14:paraId="3653B2FA" w14:textId="77777777" w:rsidR="009F3ED8" w:rsidRPr="00B131B3" w:rsidRDefault="009F3ED8" w:rsidP="00B131B3">
            <w:pPr>
              <w:pStyle w:val="TableSource"/>
            </w:pPr>
            <w:r w:rsidRPr="00B131B3">
              <w:rPr>
                <w:b/>
                <w:i/>
              </w:rPr>
              <w:t>Source:</w:t>
            </w:r>
            <w:r w:rsidRPr="00B131B3">
              <w:t xml:space="preserve"> Commission services, EPC.</w:t>
            </w:r>
          </w:p>
        </w:tc>
      </w:tr>
      <w:tr w:rsidR="009F3ED8" w:rsidRPr="00B131B3" w14:paraId="449E7B58" w14:textId="77777777" w:rsidTr="00B131B3">
        <w:trPr>
          <w:cantSplit/>
          <w:trHeight w:val="20"/>
        </w:trPr>
        <w:tc>
          <w:tcPr>
            <w:tcW w:w="4110" w:type="dxa"/>
            <w:shd w:val="clear" w:color="auto" w:fill="auto"/>
            <w:tcMar>
              <w:bottom w:w="240" w:type="dxa"/>
            </w:tcMar>
          </w:tcPr>
          <w:p w14:paraId="33BBBF16" w14:textId="77777777" w:rsidR="009F3ED8" w:rsidRPr="00B131B3" w:rsidRDefault="009F3ED8" w:rsidP="00B131B3">
            <w:pPr>
              <w:pStyle w:val="SlimCell"/>
            </w:pPr>
          </w:p>
        </w:tc>
      </w:tr>
      <w:bookmarkEnd w:id="95"/>
    </w:tbl>
    <w:p w14:paraId="0EEEBC55" w14:textId="77777777" w:rsidR="009F3ED8" w:rsidRPr="009F3ED8" w:rsidRDefault="009F3ED8" w:rsidP="00843F5C">
      <w:pPr>
        <w:sectPr w:rsidR="009F3ED8" w:rsidRPr="009F3ED8" w:rsidSect="009F3ED8">
          <w:headerReference w:type="even" r:id="rId189"/>
          <w:headerReference w:type="default" r:id="rId190"/>
          <w:footerReference w:type="even" r:id="rId191"/>
          <w:footerReference w:type="default" r:id="rId192"/>
          <w:headerReference w:type="first" r:id="rId193"/>
          <w:footerReference w:type="first" r:id="rId194"/>
          <w:endnotePr>
            <w:numFmt w:val="decimal"/>
            <w:numRestart w:val="eachSect"/>
          </w:endnotePr>
          <w:pgSz w:w="11907" w:h="16839"/>
          <w:pgMar w:top="2693" w:right="1701" w:bottom="1417" w:left="1701" w:header="709" w:footer="1191" w:gutter="0"/>
          <w:cols w:num="2" w:space="283"/>
          <w:titlePg/>
          <w:docGrid w:linePitch="360"/>
        </w:sectPr>
      </w:pPr>
    </w:p>
    <w:bookmarkStart w:id="166" w:name="GUIDC11F7EA904C5428CAABC41DBA7A6F4CD"/>
    <w:p w14:paraId="77BBC8CA" w14:textId="77777777" w:rsidR="00590A61" w:rsidRPr="009F3ED8" w:rsidRDefault="00590A61" w:rsidP="00460C69">
      <w:pPr>
        <w:pStyle w:val="EPKitTCFrame"/>
      </w:pPr>
      <w:r w:rsidRPr="009F3ED8">
        <w:lastRenderedPageBreak/>
        <w:fldChar w:fldCharType="begin"/>
      </w:r>
      <w:r w:rsidRPr="009F3ED8">
        <w:rPr>
          <w:vanish w:val="0"/>
        </w:rPr>
        <w:instrText xml:space="preserve"> TC "</w:instrText>
      </w:r>
      <w:bookmarkStart w:id="167" w:name="_Toc511664434"/>
      <w:r w:rsidRPr="009F3ED8">
        <w:rPr>
          <w:vanish w:val="0"/>
        </w:rPr>
        <w:instrText>2.</w:instrText>
      </w:r>
      <w:r w:rsidRPr="009F3ED8">
        <w:rPr>
          <w:vanish w:val="0"/>
        </w:rPr>
        <w:tab/>
        <w:instrText>Health care expenditure</w:instrText>
      </w:r>
      <w:bookmarkEnd w:id="167"/>
      <w:r w:rsidRPr="009F3ED8">
        <w:rPr>
          <w:vanish w:val="0"/>
        </w:rPr>
        <w:instrText xml:space="preserve">" \f \l 2 </w:instrText>
      </w:r>
      <w:r w:rsidRPr="009F3ED8">
        <w:fldChar w:fldCharType="end"/>
      </w:r>
    </w:p>
    <w:p w14:paraId="7A12EB42" w14:textId="77777777" w:rsidR="00590A61" w:rsidRPr="00AB3524" w:rsidRDefault="00590A61" w:rsidP="00460C69">
      <w:pPr>
        <w:pStyle w:val="NumberedHeading1"/>
        <w:tabs>
          <w:tab w:val="left" w:pos="567"/>
        </w:tabs>
      </w:pPr>
      <w:bookmarkStart w:id="168" w:name="_Toc511664435"/>
      <w:r w:rsidRPr="00AB3524">
        <w:t>2.1.</w:t>
      </w:r>
      <w:r w:rsidRPr="00AB3524">
        <w:tab/>
        <w:t>Introduction</w:t>
      </w:r>
      <w:bookmarkEnd w:id="168"/>
    </w:p>
    <w:p w14:paraId="42D8492C" w14:textId="77777777" w:rsidR="00590A61" w:rsidRPr="00AB3524" w:rsidRDefault="00590A61" w:rsidP="00460C69">
      <w:r w:rsidRPr="00AB3524">
        <w:t>The size and growing importance of public expenditure on health care in government expenditure and the need for budgetary consolidation all across Europe makes health care expenditure an important topic in the policy debate on how to ensure the long-term sustainability of public finances. Long-term budgetary projections can be very helpful for allowing policy makers to consider the possible evolution of their public expenditure and the impact of the main underlying drivers of health care costs.</w:t>
      </w:r>
    </w:p>
    <w:p w14:paraId="7E7C031C" w14:textId="77777777" w:rsidR="00590A61" w:rsidRPr="00AB3524" w:rsidRDefault="00590A61" w:rsidP="00460C69">
      <w:r w:rsidRPr="00AB3524">
        <w:t>This chapter presents the projection results regarding public expenditure on health care from 2016 to 2070. Projections were run using Commission services' (DG ECFIN) models on the basis of the methodology and data agreed with the Member States delegates to the AWG-EPC. The chapter, after providing a brief overview of the determinants of health care expenditure, recalls the methodology (so-called scenarios) used to project public expenditure on health care. Finally, projection results by scenario are reported and compared to the previous projection exercise.</w:t>
      </w:r>
    </w:p>
    <w:p w14:paraId="7690391D" w14:textId="77777777" w:rsidR="00590A61" w:rsidRPr="00AB3524" w:rsidRDefault="00590A61" w:rsidP="00460C69">
      <w:pPr>
        <w:pStyle w:val="NumberedHeading1"/>
        <w:tabs>
          <w:tab w:val="left" w:pos="567"/>
        </w:tabs>
      </w:pPr>
      <w:bookmarkStart w:id="169" w:name="_Toc511664436"/>
      <w:r w:rsidRPr="00AB3524">
        <w:t>2.2.</w:t>
      </w:r>
      <w:r w:rsidRPr="00AB3524">
        <w:tab/>
        <w:t>Determinants of health care expenditure</w:t>
      </w:r>
      <w:bookmarkEnd w:id="169"/>
    </w:p>
    <w:p w14:paraId="15EBF5C3" w14:textId="77777777" w:rsidR="00590A61" w:rsidRPr="00AB3524" w:rsidRDefault="00590A61" w:rsidP="00460C69">
      <w:r w:rsidRPr="00AB3524">
        <w:t>Demand for health care provisions is considerable and generally associated with high potential benefits. However, those benefits come at a substantial cost: in the EU28 total expenditure on health care equalled 10.1 % of GDP in 2015. A substantial part of this expenditure – 8.0 % of GDP on average (</w:t>
      </w:r>
      <w:r w:rsidRPr="00AB3524">
        <w:rPr>
          <w:rStyle w:val="Referencafusnote"/>
        </w:rPr>
        <w:footnoteReference w:id="72"/>
      </w:r>
      <w:r w:rsidRPr="00AB3524">
        <w:t xml:space="preserve">) in the EU28 in 2015 – is public spending. Overall, public expenditure on health care has risen in most EU Member States over time. Box </w:t>
      </w:r>
      <w:r w:rsidRPr="00AB3524">
        <w:fldChar w:fldCharType="begin"/>
      </w:r>
      <w:r w:rsidRPr="00AB3524">
        <w:instrText xml:space="preserve"> QUOTE "II.2.1"</w:instrText>
      </w:r>
      <w:r w:rsidRPr="00AB3524">
        <w:fldChar w:fldCharType="begin">
          <w:fldData xml:space="preserve">QwBSAE8AUwBTAFIARQBGAEUAUgBFAE4AQwBFACoAQgBPAFgAKgA3ADUAZgBmADgANwA0AGYALQBh
ADYAOQAxAC0ANABlADIANwAtAGIAZQBjAGEALQAyADIAYQBjADQAMQA4AGUAZQAwAGIANwA=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II.2.1</w:t>
      </w:r>
      <w:r w:rsidRPr="00AB3524">
        <w:fldChar w:fldCharType="end"/>
      </w:r>
      <w:r w:rsidRPr="00AB3524">
        <w:t xml:space="preserve"> presents the evolution of public spending on health care, its share in total expenditure and total government outlays over the last decades. </w:t>
      </w:r>
    </w:p>
    <w:p w14:paraId="184006CB" w14:textId="77777777" w:rsidR="00590A61" w:rsidRPr="00AB3524" w:rsidRDefault="00590A61" w:rsidP="00460C69">
      <w:r w:rsidRPr="00AB3524">
        <w:t xml:space="preserve">Public expenditure on health care is driven by a series of factors that affect both demand and </w:t>
      </w:r>
      <w:r w:rsidRPr="00AB3524">
        <w:lastRenderedPageBreak/>
        <w:t>supply of health care goods and services. Population size and structure, its health status, the individual and national income and provisions regulating access to health care goods and services are seen as key determinants of demand. Supply side determinants include the availability and distance to health care services, technological progress and the framework regulating the provision of those goods and services (institutional settings). The next sections briefly describe the relation between these factors and public spending on health care.</w:t>
      </w:r>
    </w:p>
    <w:p w14:paraId="6B516220" w14:textId="77777777" w:rsidR="00590A61" w:rsidRPr="00AB3524" w:rsidRDefault="00590A61" w:rsidP="00460C69">
      <w:pPr>
        <w:pStyle w:val="NumberedHeading2"/>
        <w:tabs>
          <w:tab w:val="left" w:pos="567"/>
        </w:tabs>
      </w:pPr>
      <w:r w:rsidRPr="00AB3524">
        <w:t>2.2.1.</w:t>
      </w:r>
      <w:r w:rsidRPr="00AB3524">
        <w:tab/>
        <w:t>Demographic structure of the population</w:t>
      </w:r>
    </w:p>
    <w:p w14:paraId="2C2E514C" w14:textId="77777777" w:rsidR="00590A61" w:rsidRPr="00AB3524" w:rsidRDefault="00590A61" w:rsidP="00460C69">
      <w:r w:rsidRPr="00AB3524">
        <w:t>Demand for health care goods and services depends on the number of people in need of care. This depends not only on the size but also on the health status of the population, which is linked to the age and gender structure of the population and notably with the share of elderly people in the overall population. This is because older people often develop multi-morbidity conditions, which require costly medical care.</w:t>
      </w:r>
    </w:p>
    <w:p w14:paraId="07F1AB34" w14:textId="77777777" w:rsidR="00590A61" w:rsidRPr="00AB3524" w:rsidRDefault="00590A61" w:rsidP="00460C69">
      <w:r w:rsidRPr="00AB3524">
        <w:t xml:space="preserve">The relationship between the age of individuals and their use of health care is well displayed by the so-called "age-related expenditure profiles" shown in Graph </w:t>
      </w:r>
      <w:r w:rsidRPr="00AB3524">
        <w:fldChar w:fldCharType="begin"/>
      </w:r>
      <w:r w:rsidRPr="00AB3524">
        <w:instrText xml:space="preserve"> QUOTE "II.2.1"</w:instrText>
      </w:r>
      <w:r w:rsidRPr="00AB3524">
        <w:fldChar w:fldCharType="begin">
          <w:fldData xml:space="preserve">QwBSAE8AUwBTAFIARQBGAEUAUgBFAE4AQwBFACoAQwBMAFUAUwBUAEUAUgAgAE8ARgAgAEcAUgBB
AFAASABTACoAOAA5ADkAZQBlADIANQAwAC0ANwA4ADcAYgAtADQAOAAwADUALQBhADQAMQAxAC0A
YQA0ADIAMQA5AGMAMAA3ADIAMAAxADYA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II.2.1</w:t>
      </w:r>
      <w:r w:rsidRPr="00AB3524">
        <w:fldChar w:fldCharType="end"/>
      </w:r>
      <w:r w:rsidRPr="00AB3524">
        <w:t>. The graph plots average public per capita spending on health care (as % of GDP per capita) against the age of individuals in each country of the EU. Spending generally increases with the age of a person, notably from the ages of 55 and more for men and 60 and more for women, coinciding naturally with higher morbidity at an older age. The demand for health care is also high at very young ages and during maternity years for women. Consequently, population structure, and ageing in particular, is one of the drivers of increasing health care expenditure.</w:t>
      </w:r>
    </w:p>
    <w:tbl>
      <w:tblPr>
        <w:tblpPr w:bottomFromText="240" w:horzAnchor="margin" w:tblpYSpec="top"/>
        <w:tblOverlap w:val="never"/>
        <w:tblW w:w="0" w:type="auto"/>
        <w:tblBorders>
          <w:top w:val="single" w:sz="4" w:space="0" w:color="333399"/>
          <w:left w:val="single" w:sz="4" w:space="0" w:color="333399"/>
          <w:bottom w:val="single" w:sz="4" w:space="0" w:color="333399"/>
          <w:right w:val="single" w:sz="4" w:space="0" w:color="333399"/>
        </w:tblBorders>
        <w:shd w:val="clear" w:color="auto" w:fill="F7FCFF"/>
        <w:tblLayout w:type="fixed"/>
        <w:tblCellMar>
          <w:left w:w="0" w:type="dxa"/>
          <w:right w:w="0" w:type="dxa"/>
        </w:tblCellMar>
        <w:tblLook w:val="0000" w:firstRow="0" w:lastRow="0" w:firstColumn="0" w:lastColumn="0" w:noHBand="0" w:noVBand="0"/>
      </w:tblPr>
      <w:tblGrid>
        <w:gridCol w:w="8505"/>
      </w:tblGrid>
      <w:tr w:rsidR="00590A61" w:rsidRPr="00AB3524" w14:paraId="36F76B13" w14:textId="77777777" w:rsidTr="00460C69">
        <w:trPr>
          <w:cantSplit/>
          <w:trHeight w:val="20"/>
        </w:trPr>
        <w:tc>
          <w:tcPr>
            <w:tcW w:w="8505" w:type="dxa"/>
            <w:shd w:val="clear" w:color="auto" w:fill="F7FCFF"/>
          </w:tcPr>
          <w:p w14:paraId="5D418E28" w14:textId="77777777" w:rsidR="00590A61" w:rsidRPr="00AB3524" w:rsidRDefault="00590A61" w:rsidP="00460C69">
            <w:pPr>
              <w:pStyle w:val="SlimCell"/>
              <w:keepNext/>
            </w:pPr>
            <w:r w:rsidRPr="00AB3524">
              <w:lastRenderedPageBreak/>
              <w:fldChar w:fldCharType="begin"/>
            </w:r>
            <w:r w:rsidRPr="009F3ED8">
              <w:instrText xml:space="preserve"> TC "</w:instrText>
            </w:r>
            <w:bookmarkStart w:id="170" w:name="_Toc511664715"/>
            <w:r w:rsidRPr="009F3ED8">
              <w:instrText>II.2.1.</w:instrText>
            </w:r>
            <w:r w:rsidRPr="009F3ED8">
              <w:tab/>
              <w:instrText>Public health care expenditure through the last decades</w:instrText>
            </w:r>
            <w:bookmarkEnd w:id="170"/>
            <w:r w:rsidRPr="009F3ED8">
              <w:instrText xml:space="preserve">" \fbox \l 5 </w:instrText>
            </w:r>
            <w:r w:rsidRPr="00AB3524">
              <w:fldChar w:fldCharType="end"/>
            </w:r>
          </w:p>
        </w:tc>
      </w:tr>
      <w:tr w:rsidR="00590A61" w:rsidRPr="00AB3524" w14:paraId="6A5D2546" w14:textId="77777777" w:rsidTr="00460C69">
        <w:trPr>
          <w:cantSplit/>
          <w:trHeight w:val="20"/>
        </w:trPr>
        <w:tc>
          <w:tcPr>
            <w:tcW w:w="8505" w:type="dxa"/>
            <w:shd w:val="clear" w:color="auto" w:fill="F7FCFF"/>
          </w:tcPr>
          <w:p w14:paraId="4CD389E0" w14:textId="77777777" w:rsidR="00590A61" w:rsidRPr="00AB3524" w:rsidRDefault="00590A61" w:rsidP="00460C69">
            <w:pPr>
              <w:pStyle w:val="SlimCell"/>
              <w:keepNext/>
            </w:pPr>
          </w:p>
        </w:tc>
      </w:tr>
      <w:tr w:rsidR="00590A61" w:rsidRPr="00AB3524" w14:paraId="4D789F05" w14:textId="77777777" w:rsidTr="00460C69">
        <w:trPr>
          <w:cantSplit/>
        </w:trPr>
        <w:tc>
          <w:tcPr>
            <w:tcW w:w="8505" w:type="dxa"/>
            <w:shd w:val="clear" w:color="auto" w:fill="F7FCFF"/>
          </w:tcPr>
          <w:p w14:paraId="126BD289" w14:textId="77777777" w:rsidR="00590A61" w:rsidRPr="00AB3524" w:rsidRDefault="00590A61" w:rsidP="00460C69">
            <w:pPr>
              <w:pStyle w:val="BoxShape"/>
              <w:rPr>
                <w:sz w:val="2"/>
              </w:rPr>
            </w:pPr>
            <w:r>
              <w:rPr>
                <w:noProof/>
                <w:sz w:val="2"/>
                <w:lang w:val="hr-HR" w:eastAsia="hr-HR"/>
              </w:rPr>
              <w:drawing>
                <wp:inline distT="0" distB="0" distL="0" distR="0" wp14:anchorId="2ADAC753" wp14:editId="261D8A81">
                  <wp:extent cx="5040929" cy="7524874"/>
                  <wp:effectExtent l="0" t="0" r="7620" b="0"/>
                  <wp:docPr id="807" name="Picture 807" descr="&lt;nbr&gt;II.2.1&lt;/nbr&gt;&#10;&lt;title&gt;Public health care expenditure through the last decades&lt;/title&gt;&#10;&lt;id&gt;75ff874f-a691-4e27-beca-22ac418ee0b7&lt;/id&gt;&#10;&lt;srcType&gt;WORD&lt;/srcType&gt;&#10;&lt;srcPath&gt;U:\Budgetary projections 2018\Reports\2018 AR\Tables_and_graphs\Part II Chapter 2\&lt;/srcPath&gt;&#10;&lt;srcName&gt;Box 1 with table.docx&lt;/srcName&gt;&#10;&lt;type&gt;box&lt;/type&gt;&#10;&lt;pos&gt;top&lt;/pos&gt;&#10;&lt;numbering&gt;external&lt;/numbering&gt;&#10;&lt;manNumb&gt;no&lt;/manNumb&gt;&#10;&lt;multi&gt;no&lt;/multi&gt;&#10;&lt;statAnn&gt;no&lt;/statAnn&gt;&#10;&lt;float&gt;no&lt;/float&gt;&#10;&lt;bottomShapePageNumber&gt;-1&lt;/bottomShapePageNumber&gt;&#10;&lt;version&gt;2&lt;/version&gt;&#10;&lt;scrFileTime&gt;2018-04-13T11:19:51&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040929" cy="7524874"/>
                          </a:xfrm>
                          <a:prstGeom prst="rect">
                            <a:avLst/>
                          </a:prstGeom>
                          <a:noFill/>
                          <a:ln>
                            <a:noFill/>
                          </a:ln>
                        </pic:spPr>
                      </pic:pic>
                    </a:graphicData>
                  </a:graphic>
                </wp:inline>
              </w:drawing>
            </w:r>
          </w:p>
        </w:tc>
      </w:tr>
      <w:tr w:rsidR="00590A61" w:rsidRPr="00AB3524" w14:paraId="7773F8B9" w14:textId="77777777" w:rsidTr="00460C69">
        <w:trPr>
          <w:cantSplit/>
          <w:trHeight w:val="20"/>
        </w:trPr>
        <w:tc>
          <w:tcPr>
            <w:tcW w:w="8505" w:type="dxa"/>
            <w:shd w:val="clear" w:color="auto" w:fill="F7FCFF"/>
          </w:tcPr>
          <w:p w14:paraId="27796713" w14:textId="77777777" w:rsidR="00590A61" w:rsidRPr="00AB3524" w:rsidRDefault="00590A61" w:rsidP="00460C69">
            <w:pPr>
              <w:pStyle w:val="SlimCell"/>
              <w:keepNext/>
            </w:pPr>
          </w:p>
        </w:tc>
      </w:tr>
      <w:tr w:rsidR="00590A61" w:rsidRPr="00AB3524" w14:paraId="74D6D710" w14:textId="77777777" w:rsidTr="00460C69">
        <w:trPr>
          <w:cantSplit/>
          <w:trHeight w:val="20"/>
        </w:trPr>
        <w:tc>
          <w:tcPr>
            <w:tcW w:w="8505" w:type="dxa"/>
            <w:shd w:val="clear" w:color="auto" w:fill="F7FCFF"/>
          </w:tcPr>
          <w:p w14:paraId="3719D395" w14:textId="77777777" w:rsidR="00590A61" w:rsidRPr="00AB3524" w:rsidRDefault="00590A61" w:rsidP="00460C69">
            <w:pPr>
              <w:pStyle w:val="SlimCell"/>
            </w:pPr>
          </w:p>
        </w:tc>
      </w:tr>
    </w:tbl>
    <w:p w14:paraId="71057C24" w14:textId="77777777" w:rsidR="00590A61" w:rsidRPr="00AB3524" w:rsidRDefault="00590A61" w:rsidP="00460C69">
      <w:pPr>
        <w:pStyle w:val="MultipageDelimiter"/>
      </w:pP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590A61" w:rsidRPr="00AB3524" w14:paraId="7987A9EF" w14:textId="77777777" w:rsidTr="00460C69">
        <w:trPr>
          <w:cantSplit/>
        </w:trPr>
        <w:tc>
          <w:tcPr>
            <w:tcW w:w="8505" w:type="dxa"/>
            <w:shd w:val="clear" w:color="auto" w:fill="auto"/>
          </w:tcPr>
          <w:p w14:paraId="7A7870AE" w14:textId="77777777" w:rsidR="00590A61" w:rsidRPr="00AB3524" w:rsidRDefault="00590A61" w:rsidP="00460C69">
            <w:pPr>
              <w:pStyle w:val="GraphTitle"/>
              <w:rPr>
                <w:b/>
              </w:rPr>
            </w:pPr>
            <w:r w:rsidRPr="00AB3524">
              <w:lastRenderedPageBreak/>
              <w:fldChar w:fldCharType="begin"/>
            </w:r>
            <w:r w:rsidRPr="009F3ED8">
              <w:instrText xml:space="preserve"> TC "</w:instrText>
            </w:r>
            <w:bookmarkStart w:id="171" w:name="_Toc511664681"/>
            <w:r w:rsidRPr="009F3ED8">
              <w:instrText>II.2.1.</w:instrText>
            </w:r>
            <w:r w:rsidRPr="009F3ED8">
              <w:tab/>
              <w:instrText>Age-related expenditure profiles of health care provision (spending per capita as % of GDP per capita) in 2016</w:instrText>
            </w:r>
            <w:bookmarkEnd w:id="171"/>
            <w:r w:rsidRPr="009F3ED8">
              <w:instrText xml:space="preserve">" \fgraph \l 5 </w:instrText>
            </w:r>
            <w:r w:rsidRPr="00AB3524">
              <w:fldChar w:fldCharType="end"/>
            </w:r>
            <w:r w:rsidRPr="00AB3524">
              <w:t>Graph II.2.1:</w:t>
            </w:r>
            <w:r w:rsidRPr="00AB3524">
              <w:rPr>
                <w:b/>
              </w:rPr>
              <w:tab/>
              <w:t>Age-related expenditure profiles of health care provision (spending per capita as % of GDP per capita) in 2016</w:t>
            </w:r>
          </w:p>
        </w:tc>
      </w:tr>
      <w:tr w:rsidR="00590A61" w:rsidRPr="00AB3524" w14:paraId="65467A38" w14:textId="77777777" w:rsidTr="00460C69">
        <w:trPr>
          <w:cantSplit/>
        </w:trPr>
        <w:tc>
          <w:tcPr>
            <w:tcW w:w="8505" w:type="dxa"/>
            <w:shd w:val="clear" w:color="auto" w:fill="auto"/>
          </w:tcPr>
          <w:p w14:paraId="648F3739" w14:textId="77777777" w:rsidR="00590A61" w:rsidRPr="00AB3524" w:rsidRDefault="00590A61" w:rsidP="00460C69">
            <w:pPr>
              <w:pStyle w:val="GraphShape"/>
              <w:rPr>
                <w:sz w:val="2"/>
              </w:rPr>
            </w:pPr>
            <w:r w:rsidRPr="00AB3524">
              <w:rPr>
                <w:noProof/>
                <w:sz w:val="2"/>
                <w:lang w:val="hr-HR" w:eastAsia="hr-HR"/>
              </w:rPr>
              <w:drawing>
                <wp:inline distT="0" distB="0" distL="0" distR="0" wp14:anchorId="5657380D" wp14:editId="6B0E259C">
                  <wp:extent cx="5400929" cy="6183396"/>
                  <wp:effectExtent l="0" t="0" r="0" b="8255"/>
                  <wp:docPr id="37" name="Picture 37" descr="&lt;nbr&gt;&lt;GETTEXTFROMWORD&gt;&lt;/nbr&gt;&#10;&lt;title&gt;&lt;GETTEXTFROMWORD&gt;&lt;/title&gt;&#10;&lt;id&gt;899ee250-787b-4805-a411-a4219c072016&lt;/id&gt;&#10;&lt;srcType&gt;EXCEL&lt;/srcType&gt;&#10;&lt;srcPath&gt;U:\Budgetary projections 2018\Reports\2018 AR\Tables_and_graphs\Part II Chapter 2\&lt;/srcPath&gt;&#10;&lt;srcName&gt;tables &amp; graphs - Part II - Chapter 2 - HC.xlsx&lt;/srcName&gt;&#10;&lt;type&gt;clusterofgraphs&lt;/type&gt;&#10; &lt;srcSheet&gt;Graph cost profiles&lt;/srcSheet&gt;&#10; &lt;individualNumbers&gt;no&lt;/individualNumbers&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400929" cy="6183396"/>
                          </a:xfrm>
                          <a:prstGeom prst="rect">
                            <a:avLst/>
                          </a:prstGeom>
                          <a:noFill/>
                          <a:ln>
                            <a:noFill/>
                          </a:ln>
                        </pic:spPr>
                      </pic:pic>
                    </a:graphicData>
                  </a:graphic>
                </wp:inline>
              </w:drawing>
            </w:r>
          </w:p>
        </w:tc>
      </w:tr>
      <w:tr w:rsidR="00590A61" w:rsidRPr="00AB3524" w14:paraId="31B60185" w14:textId="77777777" w:rsidTr="00460C69">
        <w:trPr>
          <w:cantSplit/>
        </w:trPr>
        <w:tc>
          <w:tcPr>
            <w:tcW w:w="8505" w:type="dxa"/>
            <w:shd w:val="clear" w:color="auto" w:fill="auto"/>
          </w:tcPr>
          <w:p w14:paraId="5BCBA17D" w14:textId="77777777" w:rsidR="00590A61" w:rsidRDefault="00590A61" w:rsidP="00460C69">
            <w:pPr>
              <w:pStyle w:val="GraphFootnote"/>
              <w:keepNext/>
            </w:pPr>
            <w:r>
              <w:t>Notes: Greece, Ireland and Romania did not provide age-cost profiles and so the profile was imputed as the average cost profile of the EU15 (for Ireland and Greece) and NMS (for Romania).</w:t>
            </w:r>
          </w:p>
          <w:p w14:paraId="2DFF2EE0" w14:textId="77777777" w:rsidR="00590A61" w:rsidRPr="00AB3524" w:rsidRDefault="00590A61" w:rsidP="00460C69">
            <w:pPr>
              <w:pStyle w:val="GraphSource"/>
              <w:keepNext/>
            </w:pPr>
            <w:r w:rsidRPr="00AB3524">
              <w:rPr>
                <w:b/>
                <w:i/>
              </w:rPr>
              <w:t>Source:</w:t>
            </w:r>
            <w:r w:rsidRPr="00AB3524">
              <w:t xml:space="preserve"> Commission services, EPC.</w:t>
            </w:r>
          </w:p>
        </w:tc>
      </w:tr>
    </w:tbl>
    <w:p w14:paraId="2E65235C" w14:textId="77777777" w:rsidR="00590A61" w:rsidRPr="00AB3524" w:rsidRDefault="00590A61" w:rsidP="00460C69"/>
    <w:p w14:paraId="790A444E" w14:textId="77777777" w:rsidR="00590A61" w:rsidRPr="00AB3524" w:rsidRDefault="00590A61" w:rsidP="00460C69"/>
    <w:p w14:paraId="19EB53E8" w14:textId="77777777" w:rsidR="00590A61" w:rsidRPr="00AB3524" w:rsidRDefault="00590A61" w:rsidP="00460C69"/>
    <w:p w14:paraId="73FEB096" w14:textId="77777777" w:rsidR="00590A61" w:rsidRPr="00AB3524" w:rsidRDefault="00590A61" w:rsidP="00460C69"/>
    <w:p w14:paraId="0CC96B5F" w14:textId="77777777" w:rsidR="00590A61" w:rsidRPr="00AB3524" w:rsidRDefault="00590A61" w:rsidP="00460C69"/>
    <w:p w14:paraId="2628DF2D" w14:textId="77777777" w:rsidR="00590A61" w:rsidRPr="00AB3524" w:rsidRDefault="00590A61" w:rsidP="00460C69"/>
    <w:p w14:paraId="090675A7" w14:textId="77777777" w:rsidR="00590A61" w:rsidRPr="00AB3524" w:rsidRDefault="00590A61" w:rsidP="00460C69">
      <w:r w:rsidRPr="00AB3524">
        <w:br w:type="column"/>
      </w:r>
      <w:r w:rsidRPr="00AB3524">
        <w:lastRenderedPageBreak/>
        <w:t>Population ageing may pose a risk for the sustainability of health care financing in two ways. Firstly, increased longevity, without an improvement in health status, leads to increased demand for services over a longer period of the lifetime, increasing total lifetime health care expenditure and overall health care spending (Breyer et al. 2010, Zweifel et al. 2005).</w:t>
      </w:r>
    </w:p>
    <w:p w14:paraId="57DC32E7" w14:textId="77777777" w:rsidR="00590A61" w:rsidRPr="00AB3524" w:rsidRDefault="00590A61" w:rsidP="00460C69">
      <w:r w:rsidRPr="00AB3524">
        <w:t>It is often argued that new medical technologies have been successful in saving lives from a growing number of fatal diseases, but have been less successful in keeping people in good health. Secondly, in many EU Member States, public health care is largely financed by social security contributions of the working population. Ageing leads to an increase in the old age dependency ratio i.e. fewer contributors to the recipients of services.</w:t>
      </w:r>
    </w:p>
    <w:p w14:paraId="35999A57" w14:textId="77777777" w:rsidR="00590A61" w:rsidRPr="00AB3524" w:rsidRDefault="00590A61" w:rsidP="00460C69">
      <w:r w:rsidRPr="00AB3524">
        <w:t>The old age dependency ratio is projected to increase from 29.6 % in 2016 to 51.2 % in 2070 (Eurostat 2015-based population projections). Consequently, in the future far fewer people will contribute to finance public health care, while a growing share of older people may require additional health care goods and services.</w:t>
      </w:r>
    </w:p>
    <w:p w14:paraId="60C2CDF3" w14:textId="77777777" w:rsidR="00590A61" w:rsidRPr="00AB3524" w:rsidRDefault="00590A61" w:rsidP="00460C69">
      <w:r w:rsidRPr="00AB3524">
        <w:t>Longer working lives accompanied by a healthier working population can mitigate the impact of ageing. In addition, many researchers have shown that ageing has contributed much less than widely thought to the observed growth in expenditure and in many Member States an actual reduction in per capita spending at very old age (85+) can be observed. This is because alongside real needs, social, economic and cultural considerations determine the allocation of resources to the sector and use of resources across different age groups. Therefore, ageing should be analysed in conjunction with other determinants of expenditure, such as health status, income, non-demographic factors, legal and institutional settings and resources, as explained next.</w:t>
      </w:r>
    </w:p>
    <w:p w14:paraId="2C63D505" w14:textId="77777777" w:rsidR="00590A61" w:rsidRPr="00AB3524" w:rsidRDefault="00590A61" w:rsidP="00460C69">
      <w:pPr>
        <w:pStyle w:val="NumberedHeading2"/>
        <w:tabs>
          <w:tab w:val="left" w:pos="567"/>
        </w:tabs>
      </w:pPr>
      <w:r w:rsidRPr="00AB3524">
        <w:t>2.2.2.</w:t>
      </w:r>
      <w:r w:rsidRPr="00AB3524">
        <w:tab/>
        <w:t>Health status</w:t>
      </w:r>
    </w:p>
    <w:p w14:paraId="0CEFF052" w14:textId="77777777" w:rsidR="00590A61" w:rsidRPr="00AB3524" w:rsidRDefault="00590A61" w:rsidP="00460C69">
      <w:r w:rsidRPr="00AB3524">
        <w:t xml:space="preserve">As a result of falling mortality rates at all ages, including for older people, life expectancy is increasing. However, in some cases mortality has decreased at the expense of increased morbidity, meaning that more years are spent with chronic illnesses. If increasing longevity goes in line with </w:t>
      </w:r>
      <w:r w:rsidRPr="00AB3524">
        <w:lastRenderedPageBreak/>
        <w:t>an increasing number of healthy life years, then ageing may not necessarily translate into rising health care costs. Better health goes along with lower health care needs and may drive down health services use and health expenditure (Rechel et al. 2009). Therefore, it is crucial to understand if longevity is accompanied by more or less good health.</w:t>
      </w:r>
    </w:p>
    <w:p w14:paraId="6BE3228C" w14:textId="77777777" w:rsidR="00590A61" w:rsidRPr="00AB3524" w:rsidRDefault="00590A61" w:rsidP="00460C69">
      <w:r w:rsidRPr="00AB3524">
        <w:t>Projecting the future evolution in the health status of the population is challenging due to the difficulties associated with predicting the changes in morbidity and measuring ill-health. While the evolution in mortality rates and life expectancy can be estimated on the basis of administrative information (censuses, surveys, etc.), epidemiological data is subject to much higher uncertainty. Three different hypotheses have been put forward to predict a possible future interaction between evolution in life expectancy and changes in the prevalence of disability and ill-health:</w:t>
      </w:r>
    </w:p>
    <w:p w14:paraId="03B14DDF" w14:textId="77777777" w:rsidR="00590A61" w:rsidRPr="00AB3524" w:rsidRDefault="00590A61" w:rsidP="00590A61">
      <w:pPr>
        <w:pStyle w:val="Grafikeoznake"/>
        <w:numPr>
          <w:ilvl w:val="0"/>
          <w:numId w:val="1"/>
        </w:numPr>
      </w:pPr>
      <w:r w:rsidRPr="00AB3524">
        <w:t>The "expansion of morbidity" hypothesis (Gruenberg, 1977; Verbrugge, 1984; Olshansky et al. 1991) claims that the decline in mortality is largely due to a decreasing fatality rate of diseases, rather than due to a reduction in their prevalence/incidence. Consequently, falling mortality is accompanied by an increase in morbidity and disability.</w:t>
      </w:r>
    </w:p>
    <w:p w14:paraId="440524FA" w14:textId="77777777" w:rsidR="00590A61" w:rsidRPr="00AB3524" w:rsidRDefault="00590A61" w:rsidP="00590A61">
      <w:pPr>
        <w:pStyle w:val="Grafikeoznake"/>
        <w:numPr>
          <w:ilvl w:val="0"/>
          <w:numId w:val="1"/>
        </w:numPr>
      </w:pPr>
      <w:r w:rsidRPr="00AB3524">
        <w:t>The "compression of morbidity" hypothesis (Fries, 1980, 1989) suggests that disability and ill-health is compressed towards the later period of life at a faster pace than mortality. Therefore, people are expected to live not only longer, but also in better health.</w:t>
      </w:r>
    </w:p>
    <w:p w14:paraId="146850CE" w14:textId="77777777" w:rsidR="00590A61" w:rsidRPr="00AB3524" w:rsidRDefault="00590A61" w:rsidP="00590A61">
      <w:pPr>
        <w:pStyle w:val="Grafikeoznake"/>
        <w:numPr>
          <w:ilvl w:val="0"/>
          <w:numId w:val="1"/>
        </w:numPr>
      </w:pPr>
      <w:r w:rsidRPr="00AB3524">
        <w:t>The "dynamic equilibrium" hypothesis (Manton, 1982) suggests counterbalancing effects of two phenomena: decreasing fatality rates of diseases leading to higher life expectancy on the one hand, and increasing prevalence of chronic diseases though with reduced severity and rate of progression, on the other.</w:t>
      </w:r>
    </w:p>
    <w:p w14:paraId="00F0BB58" w14:textId="77777777" w:rsidR="00590A61" w:rsidRPr="00AB3524" w:rsidRDefault="00590A61" w:rsidP="00460C69"/>
    <w:p w14:paraId="2E4FBD8A" w14:textId="77777777" w:rsidR="00590A61" w:rsidRPr="00AB3524" w:rsidRDefault="00590A61" w:rsidP="00460C69"/>
    <w:p w14:paraId="4427352B" w14:textId="77777777" w:rsidR="00590A61" w:rsidRPr="00AB3524" w:rsidRDefault="00590A61" w:rsidP="00460C69"/>
    <w:p w14:paraId="2F2F9664" w14:textId="77777777" w:rsidR="00590A61" w:rsidRPr="00AB3524" w:rsidRDefault="00590A61" w:rsidP="00460C69">
      <w:r w:rsidRPr="00AB3524">
        <w:lastRenderedPageBreak/>
        <w:t>Recent empirical evidence has not come to a clear conclusion regarding these hypotheses (</w:t>
      </w:r>
      <w:r w:rsidRPr="00AB3524">
        <w:rPr>
          <w:rStyle w:val="Referencafusnote"/>
        </w:rPr>
        <w:footnoteReference w:id="73"/>
      </w:r>
      <w:r w:rsidRPr="00AB3524">
        <w:t>). International evidence is mixed (</w:t>
      </w:r>
      <w:r w:rsidRPr="00AB3524">
        <w:rPr>
          <w:rStyle w:val="Referencafusnote"/>
        </w:rPr>
        <w:footnoteReference w:id="74"/>
      </w:r>
      <w:r w:rsidRPr="00AB3524">
        <w:t>) and, while health may continue to improve, some causes of disability may at the same time become more prominent. For example, higher levels of some disabling conditions (dementia, musculoskeletal diseases) go along with decreasing rates of prevalence of others (cardiovascular and chronic respiratory diseases). Consequently, it remains very difficult to predict the levels of morbidity and therefore potential demand for health services, even in the near future.</w:t>
      </w:r>
    </w:p>
    <w:p w14:paraId="4FA93B5E" w14:textId="77777777" w:rsidR="00590A61" w:rsidRPr="00AB3524" w:rsidRDefault="00590A61" w:rsidP="00460C69">
      <w:r w:rsidRPr="00AB3524">
        <w:t xml:space="preserve">It has been argued by other authors that better health throughout a lifetime can induce savings overall because proximity to death is a more important determinant of health expenditure than ageing per se: a large share of lifelong expenditures on health occurs at the last year before death and even in the last few weeks before dying. As can be seen in Graph </w:t>
      </w:r>
      <w:r w:rsidRPr="00AB3524">
        <w:fldChar w:fldCharType="begin"/>
      </w:r>
      <w:r w:rsidRPr="00AB3524">
        <w:instrText xml:space="preserve"> QUOTE "II.2.1"</w:instrText>
      </w:r>
      <w:r w:rsidRPr="00AB3524">
        <w:fldChar w:fldCharType="begin">
          <w:fldData xml:space="preserve">QwBSAE8AUwBTAFIARQBGAEUAUgBFAE4AQwBFACoAQwBMAFUAUwBUAEUAUgAgAE8ARgAgAEcAUgBB
AFAASABTACoAOAA5ADkAZQBlADIANQAwAC0ANwA4ADcAYgAtADQAOAAwADUALQBhADQAMQAxAC0A
YQA0ADIAMQA5AGMAMAA3ADIAMAAxADYA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II.2.1</w:t>
      </w:r>
      <w:r w:rsidRPr="00AB3524">
        <w:fldChar w:fldCharType="end"/>
      </w:r>
      <w:r w:rsidRPr="00AB3524">
        <w:t xml:space="preserve"> the per capita cost of health care decreases at very old ages. </w:t>
      </w:r>
    </w:p>
    <w:p w14:paraId="2A57521A" w14:textId="77777777" w:rsidR="00590A61" w:rsidRPr="00AB3524" w:rsidRDefault="00590A61" w:rsidP="00460C69">
      <w:r w:rsidRPr="00AB3524">
        <w:t>The reduction in per capita spending at the very old age can be explained by three different phenomena: (1) health care rationing for utilitarian (devoting limited resources to the treatment of younger age cohorts) or professional reasons (less knowledge about the treatment of the elderly); (2) voluntary restraining from receiving health care by older people who find the investment in health will not pay back any more; (3) generation effect which reflects differences in perceived needs, mentality and habits between older and younger generations.  However, to achieve savings from living longer - dying at an older age and being healthy for much of a lifetime - the per capita costs of health care at very old ages have to be lower than in childhood, youth or working ages.</w:t>
      </w:r>
    </w:p>
    <w:p w14:paraId="72F577D3" w14:textId="77777777" w:rsidR="00590A61" w:rsidRPr="00AB3524" w:rsidRDefault="00590A61" w:rsidP="00460C69">
      <w:pPr>
        <w:pStyle w:val="NumberedHeading2"/>
        <w:tabs>
          <w:tab w:val="left" w:pos="567"/>
        </w:tabs>
      </w:pPr>
      <w:r w:rsidRPr="00AB3524">
        <w:lastRenderedPageBreak/>
        <w:t>2.2.3.</w:t>
      </w:r>
      <w:r w:rsidRPr="00AB3524">
        <w:tab/>
        <w:t>Individual and national income</w:t>
      </w:r>
    </w:p>
    <w:p w14:paraId="4E02C553" w14:textId="77777777" w:rsidR="00590A61" w:rsidRPr="00AB3524" w:rsidRDefault="00590A61" w:rsidP="00460C69">
      <w:r w:rsidRPr="00AB3524">
        <w:t>An important determinant of health care expenditure is income. A significant relationship between income and health care spending is observable at both individual and national level. At the individual level, spending on health care depends in particular on whether a health care intervention is covered by public or private insurance and to what extent. If an individual is fully covered by health insurance, health care demand is independent of individual income, i.e. the income elasticity on health care spending is zero. However, if a health care intervention is not or only partially covered by insurance, demand will depend on the individual income. All other things equal, increasing health insurance coverage reduces the sensitivity of changes of income on changes on demand.</w:t>
      </w:r>
    </w:p>
    <w:p w14:paraId="5B58DBBD" w14:textId="77777777" w:rsidR="00590A61" w:rsidRPr="00AB3524" w:rsidRDefault="00590A61" w:rsidP="00460C69">
      <w:r w:rsidRPr="00AB3524">
        <w:t>At the national level, spending is driven by different considerations. On the one hand, spending must be covered by revenues at an aggregate level. This is why the correlation between health care spending and income is stronger at the national than at the individual level (in the presence of insurance). On the other hand, policy measures to control spending and political priorities to devote less or more resources to different areas of public spending may reduce the link between public expenditure on health care and national income. Therefore, while it is generally agreed that the growth in per capita income brings about an increase in health spending, the strength of this relationship, i.e. the value of the income elasticity of health services demand, remains uncertain.</w:t>
      </w:r>
    </w:p>
    <w:p w14:paraId="7AF2D2A6" w14:textId="77777777" w:rsidR="00590A61" w:rsidRPr="00AB3524" w:rsidRDefault="00590A61" w:rsidP="00460C69">
      <w:r w:rsidRPr="00AB3524">
        <w:t xml:space="preserve">A number of empirical studies attempted to estimate the correlation between income and health expenditure. Most of the earlier studies led to the conclusion that health care is an individual necessity and a national luxury good. In other words, health spending is highly inelastic at an individual level, but at the national level its elasticity with respect to income exceeds unity. However, the earlier empirical literature is subject to methodological problems and more recent estimates attempt to overcome these problems by estimating the real causal effect of income on demand of health services (Box </w:t>
      </w:r>
      <w:r w:rsidRPr="00AB3524">
        <w:fldChar w:fldCharType="begin"/>
      </w:r>
      <w:r w:rsidRPr="00AB3524">
        <w:instrText xml:space="preserve"> QUOTE "II.2.2"</w:instrText>
      </w:r>
      <w:r w:rsidRPr="00AB3524">
        <w:fldChar w:fldCharType="begin">
          <w:fldData xml:space="preserve">QwBSAE8AUwBTAFIARQBGAEUAUgBFAE4AQwBFACoAQgBPAFgAKgAwADQAZgAwAGMANQA0AGYALQBk
ADQAZAA5AC0ANAA4ADAAMQAtADkAMABjAGQALQA3ADIAOABiADIAYgAwAGYANQBhADAAMgA=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II.2.2</w:t>
      </w:r>
      <w:r w:rsidRPr="00AB3524">
        <w:fldChar w:fldCharType="end"/>
      </w:r>
      <w:r w:rsidRPr="00AB3524">
        <w:t xml:space="preserve">). The general implication, however, remains that as national income or wealth increases, expectations </w:t>
      </w:r>
      <w:r w:rsidRPr="00AB3524">
        <w:lastRenderedPageBreak/>
        <w:fldChar w:fldCharType="begin"/>
      </w:r>
      <w:r w:rsidRPr="009F3ED8">
        <w:instrText xml:space="preserve"> TC "</w:instrText>
      </w:r>
      <w:bookmarkStart w:id="172" w:name="_Toc511664716"/>
      <w:r w:rsidRPr="009F3ED8">
        <w:instrText>II.2.2.</w:instrText>
      </w:r>
      <w:r w:rsidRPr="009F3ED8">
        <w:tab/>
        <w:instrText>Income elasticity of health care demand, a short literature survey</w:instrText>
      </w:r>
      <w:bookmarkEnd w:id="172"/>
      <w:r w:rsidRPr="009F3ED8">
        <w:instrText xml:space="preserve">" \fbox \l 5 </w:instrText>
      </w:r>
      <w:r w:rsidRPr="00AB3524">
        <w:fldChar w:fldCharType="end"/>
      </w:r>
      <w:r w:rsidRPr="00AB3524">
        <w:t>will rise and health spending will rise too, regardless of changes in needs.</w:t>
      </w:r>
    </w:p>
    <w:tbl>
      <w:tblPr>
        <w:tblpPr w:bottomFromText="240" w:horzAnchor="margin" w:tblpYSpec="top"/>
        <w:tblOverlap w:val="never"/>
        <w:tblW w:w="0" w:type="auto"/>
        <w:tblBorders>
          <w:top w:val="single" w:sz="4" w:space="0" w:color="333399"/>
          <w:left w:val="single" w:sz="4" w:space="0" w:color="333399"/>
          <w:bottom w:val="single" w:sz="4" w:space="0" w:color="333399"/>
          <w:right w:val="single" w:sz="4" w:space="0" w:color="333399"/>
        </w:tblBorders>
        <w:shd w:val="clear" w:color="auto" w:fill="F7FCFF"/>
        <w:tblLayout w:type="fixed"/>
        <w:tblCellMar>
          <w:left w:w="0" w:type="dxa"/>
          <w:right w:w="0" w:type="dxa"/>
        </w:tblCellMar>
        <w:tblLook w:val="0000" w:firstRow="0" w:lastRow="0" w:firstColumn="0" w:lastColumn="0" w:noHBand="0" w:noVBand="0"/>
      </w:tblPr>
      <w:tblGrid>
        <w:gridCol w:w="8505"/>
      </w:tblGrid>
      <w:tr w:rsidR="00590A61" w:rsidRPr="00AB3524" w14:paraId="125514AB" w14:textId="77777777" w:rsidTr="00460C69">
        <w:trPr>
          <w:cantSplit/>
          <w:trHeight w:val="20"/>
        </w:trPr>
        <w:tc>
          <w:tcPr>
            <w:tcW w:w="8505" w:type="dxa"/>
            <w:shd w:val="clear" w:color="auto" w:fill="F7FCFF"/>
          </w:tcPr>
          <w:p w14:paraId="50882736" w14:textId="77777777" w:rsidR="00590A61" w:rsidRPr="00AB3524" w:rsidRDefault="00590A61" w:rsidP="00460C69">
            <w:pPr>
              <w:pStyle w:val="SlimCell"/>
              <w:keepNext/>
            </w:pPr>
          </w:p>
        </w:tc>
      </w:tr>
      <w:tr w:rsidR="00590A61" w:rsidRPr="00AB3524" w14:paraId="485A411C" w14:textId="77777777" w:rsidTr="00460C69">
        <w:trPr>
          <w:cantSplit/>
          <w:trHeight w:val="20"/>
        </w:trPr>
        <w:tc>
          <w:tcPr>
            <w:tcW w:w="8505" w:type="dxa"/>
            <w:shd w:val="clear" w:color="auto" w:fill="F7FCFF"/>
          </w:tcPr>
          <w:p w14:paraId="650693A0" w14:textId="77777777" w:rsidR="00590A61" w:rsidRPr="00AB3524" w:rsidRDefault="00590A61" w:rsidP="00460C69">
            <w:pPr>
              <w:pStyle w:val="SlimCell"/>
              <w:keepNext/>
            </w:pPr>
          </w:p>
        </w:tc>
      </w:tr>
      <w:tr w:rsidR="00590A61" w:rsidRPr="00AB3524" w14:paraId="660C1ED7" w14:textId="77777777" w:rsidTr="00460C69">
        <w:trPr>
          <w:cantSplit/>
        </w:trPr>
        <w:tc>
          <w:tcPr>
            <w:tcW w:w="8505" w:type="dxa"/>
            <w:shd w:val="clear" w:color="auto" w:fill="F7FCFF"/>
          </w:tcPr>
          <w:p w14:paraId="49809CCC" w14:textId="77777777" w:rsidR="00590A61" w:rsidRPr="00AB3524" w:rsidRDefault="00590A61" w:rsidP="00460C69">
            <w:pPr>
              <w:pStyle w:val="BoxShape"/>
              <w:rPr>
                <w:sz w:val="2"/>
              </w:rPr>
            </w:pPr>
            <w:r>
              <w:rPr>
                <w:noProof/>
                <w:sz w:val="2"/>
                <w:lang w:val="hr-HR" w:eastAsia="hr-HR"/>
              </w:rPr>
              <w:drawing>
                <wp:inline distT="0" distB="0" distL="0" distR="0" wp14:anchorId="18C5B82D" wp14:editId="74375C67">
                  <wp:extent cx="5040929" cy="2666859"/>
                  <wp:effectExtent l="0" t="0" r="7620" b="635"/>
                  <wp:docPr id="808" name="Picture 808" descr="&lt;nbr&gt;II.2.2&lt;/nbr&gt;&#10;&lt;title&gt;Income elasticity of health care demand, a short literature survey&lt;/title&gt;&#10;&lt;id&gt;04f0c54f-d4d9-4801-90cd-728b2b0f5a02&lt;/id&gt;&#10;&lt;srcType&gt;WORD&lt;/srcType&gt;&#10;&lt;srcPath&gt;U:\Budgetary projections 2018\Reports\2018 AR\Tables_and_graphs\Part II Chapter 2\&lt;/srcPath&gt;&#10;&lt;srcName&gt;Box 2.docx&lt;/srcName&gt;&#10;&lt;type&gt;box&lt;/type&gt;&#10;&lt;pos&gt;top&lt;/pos&gt;&#10;&lt;numbering&gt;external&lt;/numbering&gt;&#10;&lt;manNumb&gt;no&lt;/manNumb&gt;&#10;&lt;multi&gt;no&lt;/multi&gt;&#10;&lt;statAnn&gt;no&lt;/statAnn&gt;&#10;&lt;float&gt;no&lt;/float&gt;&#10;&lt;bottomShapePageNumber&gt;-1&lt;/bottomShapePageNumber&gt;&#10;&lt;version&gt;2&lt;/version&gt;&#10;&lt;scrFileTime&gt;2018-02-15T15:59:54&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040929" cy="2666859"/>
                          </a:xfrm>
                          <a:prstGeom prst="rect">
                            <a:avLst/>
                          </a:prstGeom>
                          <a:noFill/>
                          <a:ln>
                            <a:noFill/>
                          </a:ln>
                        </pic:spPr>
                      </pic:pic>
                    </a:graphicData>
                  </a:graphic>
                </wp:inline>
              </w:drawing>
            </w:r>
          </w:p>
        </w:tc>
      </w:tr>
      <w:tr w:rsidR="00590A61" w:rsidRPr="00AB3524" w14:paraId="219CCF9C" w14:textId="77777777" w:rsidTr="00460C69">
        <w:trPr>
          <w:cantSplit/>
          <w:trHeight w:val="20"/>
        </w:trPr>
        <w:tc>
          <w:tcPr>
            <w:tcW w:w="8505" w:type="dxa"/>
            <w:shd w:val="clear" w:color="auto" w:fill="F7FCFF"/>
          </w:tcPr>
          <w:p w14:paraId="7A080B0C" w14:textId="77777777" w:rsidR="00590A61" w:rsidRPr="00AB3524" w:rsidRDefault="00590A61" w:rsidP="00460C69">
            <w:pPr>
              <w:pStyle w:val="SlimCell"/>
              <w:keepNext/>
            </w:pPr>
          </w:p>
        </w:tc>
      </w:tr>
      <w:tr w:rsidR="00590A61" w:rsidRPr="00AB3524" w14:paraId="6F86E6E6" w14:textId="77777777" w:rsidTr="00460C69">
        <w:trPr>
          <w:cantSplit/>
          <w:trHeight w:val="20"/>
        </w:trPr>
        <w:tc>
          <w:tcPr>
            <w:tcW w:w="8505" w:type="dxa"/>
            <w:shd w:val="clear" w:color="auto" w:fill="F7FCFF"/>
          </w:tcPr>
          <w:p w14:paraId="17D55E14" w14:textId="77777777" w:rsidR="00590A61" w:rsidRPr="00AB3524" w:rsidRDefault="00590A61" w:rsidP="00460C69">
            <w:pPr>
              <w:pStyle w:val="SlimCell"/>
            </w:pPr>
          </w:p>
        </w:tc>
      </w:tr>
    </w:tbl>
    <w:p w14:paraId="25550A41" w14:textId="77777777" w:rsidR="00590A61" w:rsidRPr="00AB3524" w:rsidRDefault="00590A61" w:rsidP="00460C69">
      <w:pPr>
        <w:pStyle w:val="NumberedHeading2"/>
        <w:tabs>
          <w:tab w:val="left" w:pos="567"/>
        </w:tabs>
      </w:pPr>
      <w:r w:rsidRPr="00AB3524">
        <w:t>2.2.4.</w:t>
      </w:r>
      <w:r w:rsidRPr="00AB3524">
        <w:tab/>
        <w:t>Health technology</w:t>
      </w:r>
    </w:p>
    <w:p w14:paraId="4A772D77" w14:textId="77777777" w:rsidR="00590A61" w:rsidRPr="00AB3524" w:rsidRDefault="00590A61" w:rsidP="00460C69">
      <w:r w:rsidRPr="00AB3524">
        <w:t xml:space="preserve">Health care expenditure has been growing much faster than what is suggested by changes in demographic structure, morbidity and income (see above discussion on income elasticity). Empirical research suggests that health technology has been a major driver of health-care expenditures. Different authors attribute from 27 % up to 75 % of health expenditure growth in the industrialised countries to technological change (Box </w:t>
      </w:r>
      <w:r w:rsidRPr="00AB3524">
        <w:fldChar w:fldCharType="begin"/>
      </w:r>
      <w:r w:rsidRPr="00AB3524">
        <w:instrText xml:space="preserve"> QUOTE "II.2.3"</w:instrText>
      </w:r>
      <w:r w:rsidRPr="00AB3524">
        <w:fldChar w:fldCharType="begin">
          <w:fldData xml:space="preserve">QwBSAE8AUwBTAFIARQBGAEUAUgBFAE4AQwBFACoAQgBPAFgAKgBjADkANQBiADUAMAA1ADQALQA1
ADcAZgBiAC0ANABiADUAYQAtAGIANQBkADcALQA4ADMANQA5AGYANAAwADAAYwA4AGUAYwA=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II.2.3</w:t>
      </w:r>
      <w:r w:rsidRPr="00AB3524">
        <w:fldChar w:fldCharType="end"/>
      </w:r>
      <w:r w:rsidRPr="00AB3524">
        <w:t>).</w:t>
      </w:r>
    </w:p>
    <w:p w14:paraId="5917FD81" w14:textId="77777777" w:rsidR="00590A61" w:rsidRPr="00AB3524" w:rsidRDefault="00590A61" w:rsidP="00460C69">
      <w:r w:rsidRPr="00AB3524">
        <w:t>Whether a particular technological development increases or decreases costs depends on its impact on unit cost, its level of use and whether the treatment complements or replaces the existing methods. If technological development leads to a more cost-efficient treatment of previously treated medical conditions, the new technology is likely to replace the old one reducing the unit cost of treatment. This effect is called the substitution effect: replacing less by more efficient treatments. If this is also accompanied by no changes in the number of individuals treated, the overall cost is reduced. However, if treatment with the new technology becomes more frequent, expenditure may increase.</w:t>
      </w:r>
    </w:p>
    <w:p w14:paraId="08651E73" w14:textId="77777777" w:rsidR="00590A61" w:rsidRPr="00AB3524" w:rsidRDefault="00590A61" w:rsidP="00460C69">
      <w:r w:rsidRPr="00AB3524">
        <w:t>If medical innovations allow for treating conditions which were not treated previously, then expenditures may rise. This is called the expansion or extension mechanism: extending health care procedures to previously untreated medical conditions for scientific reasons (the methods of treatment were simply unknown) or economic reasons (previous methods of treatment were known, but not affordable). In other words, the supply of new products matches with previously unmet demand. As such, the health sector is similar to other expanding sectors of the economy, e.g. such as those producing ICT-related products.</w:t>
      </w:r>
    </w:p>
    <w:p w14:paraId="2A4DDA6D" w14:textId="77777777" w:rsidR="00590A61" w:rsidRPr="00AB3524" w:rsidRDefault="00590A61" w:rsidP="00460C69">
      <w:r w:rsidRPr="00AB3524">
        <w:t>The currently prevalent view is that technological change is an important driver of health care expenditures. This is despite the measurement problems of technological change on expenditures and health restoring or life-saving effects. It is to be kept in mind that new inventions have been used in areas judged necessary from the societal point of view such as in palliative care, where ethical consideration are of considerable importance.</w:t>
      </w:r>
    </w:p>
    <w:p w14:paraId="07C1475E" w14:textId="77777777" w:rsidR="00590A61" w:rsidRPr="00AB3524" w:rsidRDefault="00590A61" w:rsidP="00460C69"/>
    <w:p w14:paraId="1CDB845E" w14:textId="77777777" w:rsidR="00590A61" w:rsidRPr="00AB3524" w:rsidRDefault="00590A61" w:rsidP="00460C69"/>
    <w:p w14:paraId="2C71CBDD" w14:textId="77777777" w:rsidR="00590A61" w:rsidRPr="00AB3524" w:rsidRDefault="00590A61" w:rsidP="00460C69"/>
    <w:p w14:paraId="24A69C3A" w14:textId="77777777" w:rsidR="00590A61" w:rsidRPr="00AB3524" w:rsidRDefault="00590A61" w:rsidP="00460C69"/>
    <w:p w14:paraId="26C426BA" w14:textId="77777777" w:rsidR="00590A61" w:rsidRPr="00AB3524" w:rsidRDefault="00590A61" w:rsidP="00460C69">
      <w:pPr>
        <w:pStyle w:val="NumberedHeading2"/>
        <w:tabs>
          <w:tab w:val="left" w:pos="567"/>
        </w:tabs>
      </w:pPr>
      <w:r w:rsidRPr="00AB3524">
        <w:lastRenderedPageBreak/>
        <w:fldChar w:fldCharType="begin"/>
      </w:r>
      <w:r w:rsidRPr="009F3ED8">
        <w:instrText xml:space="preserve"> TC "</w:instrText>
      </w:r>
      <w:bookmarkStart w:id="173" w:name="_Toc511664717"/>
      <w:r w:rsidRPr="009F3ED8">
        <w:instrText>II.2.3.</w:instrText>
      </w:r>
      <w:r w:rsidRPr="009F3ED8">
        <w:tab/>
        <w:instrText>Excess cost growth in health care expenditures, a short literature survey</w:instrText>
      </w:r>
      <w:bookmarkEnd w:id="173"/>
      <w:r w:rsidRPr="009F3ED8">
        <w:instrText xml:space="preserve">" \fbox \l 5 </w:instrText>
      </w:r>
      <w:r w:rsidRPr="00AB3524">
        <w:fldChar w:fldCharType="end"/>
      </w:r>
      <w:r w:rsidRPr="00AB3524">
        <w:t>2.2.5.</w:t>
      </w:r>
      <w:r w:rsidRPr="00AB3524">
        <w:tab/>
        <w:t>Legal and institutional setting</w:t>
      </w:r>
    </w:p>
    <w:p w14:paraId="4E0E7640" w14:textId="77777777" w:rsidR="00590A61" w:rsidRPr="00AB3524" w:rsidRDefault="00590A61" w:rsidP="00460C69">
      <w:r w:rsidRPr="00AB3524">
        <w:t>On the top of the above factors, public expenditure on health care is strongly influenced by the legal setting and institutional arrangements according to which health care is provided and financed. These factors play an important role in delineating provision and use of health care services and therefore health care costs. Institutional settings may or not limit the introduction, coverage and use of services and new technology through the set of incentives patients and providers face. Legal provisions, such as strict spending constraints defined by public authorities may curb the provision and use of health care services.</w:t>
      </w:r>
    </w:p>
    <w:tbl>
      <w:tblPr>
        <w:tblpPr w:bottomFromText="240" w:horzAnchor="margin" w:tblpYSpec="top"/>
        <w:tblOverlap w:val="never"/>
        <w:tblW w:w="0" w:type="auto"/>
        <w:tblBorders>
          <w:top w:val="single" w:sz="4" w:space="0" w:color="333399"/>
          <w:left w:val="single" w:sz="4" w:space="0" w:color="333399"/>
          <w:bottom w:val="single" w:sz="4" w:space="0" w:color="333399"/>
          <w:right w:val="single" w:sz="4" w:space="0" w:color="333399"/>
        </w:tblBorders>
        <w:shd w:val="clear" w:color="auto" w:fill="F7FCFF"/>
        <w:tblLayout w:type="fixed"/>
        <w:tblCellMar>
          <w:left w:w="0" w:type="dxa"/>
          <w:right w:w="0" w:type="dxa"/>
        </w:tblCellMar>
        <w:tblLook w:val="0000" w:firstRow="0" w:lastRow="0" w:firstColumn="0" w:lastColumn="0" w:noHBand="0" w:noVBand="0"/>
      </w:tblPr>
      <w:tblGrid>
        <w:gridCol w:w="8505"/>
      </w:tblGrid>
      <w:tr w:rsidR="00590A61" w:rsidRPr="00AB3524" w14:paraId="488FAA5A" w14:textId="77777777" w:rsidTr="00460C69">
        <w:trPr>
          <w:cantSplit/>
          <w:trHeight w:val="20"/>
        </w:trPr>
        <w:tc>
          <w:tcPr>
            <w:tcW w:w="8505" w:type="dxa"/>
            <w:shd w:val="clear" w:color="auto" w:fill="F7FCFF"/>
          </w:tcPr>
          <w:p w14:paraId="1BDB566F" w14:textId="77777777" w:rsidR="00590A61" w:rsidRPr="00AB3524" w:rsidRDefault="00590A61" w:rsidP="00460C69">
            <w:pPr>
              <w:pStyle w:val="SlimCell"/>
              <w:keepNext/>
            </w:pPr>
          </w:p>
        </w:tc>
      </w:tr>
      <w:tr w:rsidR="00590A61" w:rsidRPr="00AB3524" w14:paraId="3E6B72EC" w14:textId="77777777" w:rsidTr="00460C69">
        <w:trPr>
          <w:cantSplit/>
          <w:trHeight w:val="20"/>
        </w:trPr>
        <w:tc>
          <w:tcPr>
            <w:tcW w:w="8505" w:type="dxa"/>
            <w:shd w:val="clear" w:color="auto" w:fill="F7FCFF"/>
          </w:tcPr>
          <w:p w14:paraId="4A872A38" w14:textId="77777777" w:rsidR="00590A61" w:rsidRPr="00AB3524" w:rsidRDefault="00590A61" w:rsidP="00460C69">
            <w:pPr>
              <w:pStyle w:val="SlimCell"/>
              <w:keepNext/>
            </w:pPr>
          </w:p>
        </w:tc>
      </w:tr>
      <w:tr w:rsidR="00590A61" w:rsidRPr="00AB3524" w14:paraId="0540AE22" w14:textId="77777777" w:rsidTr="00460C69">
        <w:trPr>
          <w:cantSplit/>
        </w:trPr>
        <w:tc>
          <w:tcPr>
            <w:tcW w:w="8505" w:type="dxa"/>
            <w:shd w:val="clear" w:color="auto" w:fill="F7FCFF"/>
          </w:tcPr>
          <w:p w14:paraId="3B2493A3" w14:textId="77777777" w:rsidR="00590A61" w:rsidRPr="00AB3524" w:rsidRDefault="00590A61" w:rsidP="00460C69">
            <w:pPr>
              <w:pStyle w:val="BoxShape"/>
              <w:rPr>
                <w:sz w:val="2"/>
              </w:rPr>
            </w:pPr>
            <w:r>
              <w:rPr>
                <w:noProof/>
                <w:sz w:val="2"/>
                <w:lang w:val="hr-HR" w:eastAsia="hr-HR"/>
              </w:rPr>
              <w:drawing>
                <wp:inline distT="0" distB="0" distL="0" distR="0" wp14:anchorId="0AE0D541" wp14:editId="6E61DF93">
                  <wp:extent cx="5040929" cy="3364853"/>
                  <wp:effectExtent l="0" t="0" r="7620" b="7620"/>
                  <wp:docPr id="809" name="Picture 809" descr="&lt;nbr&gt;II.2.3&lt;/nbr&gt;&#10;&lt;title&gt;Excess cost growth in health care expenditures, a short literature survey&lt;/title&gt;&#10;&lt;id&gt;c95b5054-57fb-4b5a-b5d7-8359f400c8ec&lt;/id&gt;&#10;&lt;srcType&gt;WORD&lt;/srcType&gt;&#10;&lt;srcPath&gt;U:\Budgetary projections 2018\Reports\2018 AR\Tables_and_graphs\Part II Chapter 2\&lt;/srcPath&gt;&#10;&lt;srcName&gt;Box 3.docx&lt;/srcName&gt;&#10;&lt;type&gt;box&lt;/type&gt;&#10;&lt;pos&gt;top&lt;/pos&gt;&#10;&lt;numbering&gt;external&lt;/numbering&gt;&#10;&lt;manNumb&gt;no&lt;/manNumb&gt;&#10;&lt;multi&gt;no&lt;/multi&gt;&#10;&lt;statAnn&gt;no&lt;/statAnn&gt;&#10;&lt;float&gt;no&lt;/float&gt;&#10;&lt;bottomShapePageNumber&gt;-1&lt;/bottomShapePageNumber&gt;&#10;&lt;version&gt;2&lt;/version&gt;&#10;&lt;scrFileTime&gt;2018-02-05T15:22:08&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040929" cy="3364853"/>
                          </a:xfrm>
                          <a:prstGeom prst="rect">
                            <a:avLst/>
                          </a:prstGeom>
                          <a:noFill/>
                          <a:ln>
                            <a:noFill/>
                          </a:ln>
                        </pic:spPr>
                      </pic:pic>
                    </a:graphicData>
                  </a:graphic>
                </wp:inline>
              </w:drawing>
            </w:r>
          </w:p>
        </w:tc>
      </w:tr>
      <w:tr w:rsidR="00590A61" w:rsidRPr="00AB3524" w14:paraId="46D5F5C2" w14:textId="77777777" w:rsidTr="00460C69">
        <w:trPr>
          <w:cantSplit/>
          <w:trHeight w:val="20"/>
        </w:trPr>
        <w:tc>
          <w:tcPr>
            <w:tcW w:w="8505" w:type="dxa"/>
            <w:shd w:val="clear" w:color="auto" w:fill="F7FCFF"/>
          </w:tcPr>
          <w:p w14:paraId="1D6500A2" w14:textId="77777777" w:rsidR="00590A61" w:rsidRPr="00AB3524" w:rsidRDefault="00590A61" w:rsidP="00460C69">
            <w:pPr>
              <w:pStyle w:val="SlimCell"/>
              <w:keepNext/>
            </w:pPr>
          </w:p>
        </w:tc>
      </w:tr>
      <w:tr w:rsidR="00590A61" w:rsidRPr="00AB3524" w14:paraId="0F8AE180" w14:textId="77777777" w:rsidTr="00460C69">
        <w:trPr>
          <w:cantSplit/>
          <w:trHeight w:val="20"/>
        </w:trPr>
        <w:tc>
          <w:tcPr>
            <w:tcW w:w="8505" w:type="dxa"/>
            <w:shd w:val="clear" w:color="auto" w:fill="F7FCFF"/>
          </w:tcPr>
          <w:p w14:paraId="1941E214" w14:textId="77777777" w:rsidR="00590A61" w:rsidRPr="00AB3524" w:rsidRDefault="00590A61" w:rsidP="00460C69">
            <w:pPr>
              <w:pStyle w:val="SlimCell"/>
            </w:pPr>
          </w:p>
        </w:tc>
      </w:tr>
    </w:tbl>
    <w:p w14:paraId="5DF9A2DF" w14:textId="77777777" w:rsidR="00590A61" w:rsidRPr="00AB3524" w:rsidRDefault="00590A61" w:rsidP="00460C69">
      <w:r w:rsidRPr="00AB3524">
        <w:t>A number of such variables have been tested in the literature for assessing their impact on health expenditure. These include the role of general practitioners (GPs) as an independent entity and gatekeeper, the type of remuneration of physicians or the type of system financing.  Despite such studies it is not feasible to draw unequivocal conclusions.</w:t>
      </w:r>
    </w:p>
    <w:p w14:paraId="4CEA27C4" w14:textId="77777777" w:rsidR="00590A61" w:rsidRPr="00AB3524" w:rsidRDefault="00590A61" w:rsidP="00460C69">
      <w:pPr>
        <w:pStyle w:val="NumberedHeading2"/>
        <w:tabs>
          <w:tab w:val="left" w:pos="567"/>
        </w:tabs>
      </w:pPr>
      <w:r w:rsidRPr="00AB3524">
        <w:t>2.2.6.</w:t>
      </w:r>
      <w:r w:rsidRPr="00AB3524">
        <w:tab/>
        <w:t>Human and physical capital</w:t>
      </w:r>
    </w:p>
    <w:p w14:paraId="4E04737A" w14:textId="77777777" w:rsidR="00590A61" w:rsidRPr="00AB3524" w:rsidRDefault="00590A61" w:rsidP="00460C69">
      <w:r w:rsidRPr="00AB3524">
        <w:t>The health care sector is highly labour-intensive, more so than many other sectors of society. Health professionals are vital to the provision of health services and goods. As a result, changes associated with the health workforce have an impact on provision and therefore expenditure. For example, the ageing of the workforce could have an impact on expenditure through reducing staff numbers and increasing wages for example. On the other hand, an over-supply of physicians may induce an over-supply of health care services.</w:t>
      </w:r>
    </w:p>
    <w:p w14:paraId="1BCEF108" w14:textId="77777777" w:rsidR="00590A61" w:rsidRPr="00AB3524" w:rsidRDefault="00590A61" w:rsidP="00460C69">
      <w:r w:rsidRPr="00AB3524">
        <w:t>In addition, human and physical capital resources devoted to the health care sector are determined by policy decisions (e.g. quantitative limits and qualitative requirements on the access to medical schools or professional certificates, decisions on the location of facilities, eHealth and digitalisation, legal regulations on the density of health care staff per capita, etc.). A number of studies have attempted to find statistical correlation between the size of medical staff and health expenditure, but the results are not conclusive.</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590A61" w:rsidRPr="00AB3524" w14:paraId="6AE55195" w14:textId="77777777" w:rsidTr="00460C69">
        <w:trPr>
          <w:cantSplit/>
        </w:trPr>
        <w:tc>
          <w:tcPr>
            <w:tcW w:w="8505" w:type="dxa"/>
            <w:shd w:val="clear" w:color="auto" w:fill="auto"/>
          </w:tcPr>
          <w:p w14:paraId="6D016DFC" w14:textId="77777777" w:rsidR="00590A61" w:rsidRPr="00AB3524" w:rsidRDefault="00590A61" w:rsidP="00460C69">
            <w:pPr>
              <w:pStyle w:val="GraphTitle"/>
              <w:rPr>
                <w:b/>
              </w:rPr>
            </w:pPr>
            <w:r w:rsidRPr="00AB3524">
              <w:lastRenderedPageBreak/>
              <w:fldChar w:fldCharType="begin"/>
            </w:r>
            <w:r w:rsidRPr="009F3ED8">
              <w:instrText xml:space="preserve"> TC "</w:instrText>
            </w:r>
            <w:bookmarkStart w:id="174" w:name="_Toc511664682"/>
            <w:r w:rsidRPr="009F3ED8">
              <w:instrText>II.2.2.</w:instrText>
            </w:r>
            <w:r w:rsidRPr="009F3ED8">
              <w:tab/>
              <w:instrText>Schematic presentation of the projection methodology</w:instrText>
            </w:r>
            <w:bookmarkEnd w:id="174"/>
            <w:r w:rsidRPr="009F3ED8">
              <w:instrText xml:space="preserve">" \fgraph \l 5 </w:instrText>
            </w:r>
            <w:r w:rsidRPr="00AB3524">
              <w:fldChar w:fldCharType="end"/>
            </w:r>
            <w:r w:rsidRPr="00AB3524">
              <w:t>Graph II.2.2:</w:t>
            </w:r>
            <w:r w:rsidRPr="00AB3524">
              <w:rPr>
                <w:b/>
              </w:rPr>
              <w:tab/>
              <w:t>Schematic presentation of the projection methodology</w:t>
            </w:r>
          </w:p>
        </w:tc>
      </w:tr>
      <w:tr w:rsidR="00590A61" w:rsidRPr="00AB3524" w14:paraId="5DAE3DBB" w14:textId="77777777" w:rsidTr="00460C69">
        <w:trPr>
          <w:cantSplit/>
        </w:trPr>
        <w:tc>
          <w:tcPr>
            <w:tcW w:w="8505" w:type="dxa"/>
            <w:shd w:val="clear" w:color="auto" w:fill="auto"/>
          </w:tcPr>
          <w:p w14:paraId="7A77B6D7" w14:textId="77777777" w:rsidR="00590A61" w:rsidRPr="00AB3524" w:rsidRDefault="00590A61" w:rsidP="00460C69">
            <w:pPr>
              <w:pStyle w:val="GraphShape"/>
              <w:rPr>
                <w:sz w:val="2"/>
              </w:rPr>
            </w:pPr>
            <w:r w:rsidRPr="00AB3524">
              <w:rPr>
                <w:noProof/>
                <w:sz w:val="2"/>
                <w:lang w:val="hr-HR" w:eastAsia="hr-HR"/>
              </w:rPr>
              <w:drawing>
                <wp:inline distT="0" distB="0" distL="0" distR="0" wp14:anchorId="3BCAF6C0" wp14:editId="7468F066">
                  <wp:extent cx="5400929" cy="2054957"/>
                  <wp:effectExtent l="0" t="0" r="0" b="2540"/>
                  <wp:docPr id="810" name="Picture 810" descr="&lt;nbr&gt;&lt;GETTEXTFROMWORD&gt;&lt;/nbr&gt;&#10;&lt;title&gt;&lt;GETTEXTFROMWORD&gt;&lt;/title&gt;&#10;&lt;id&gt;976ae8f4-dc4e-45cd-ad92-5fc3cbd6f3ac&lt;/id&gt;&#10;&lt;srcType&gt;IMAGE&lt;/srcType&gt;&#10;&lt;srcPath&gt;U:\Budgetary projections 2018\Reports\2018 AR\Tables_and_graphs\Part II Chapter 2\&lt;/srcPath&gt;&#10;&lt;srcName&gt;Schematic presentation of the HC projection methodology.GIF&lt;/srcName&gt;&#10;&lt;type&gt;graph&lt;/type&gt;&#10;&lt;pos&gt;top&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20T16:15:49&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400929" cy="2054957"/>
                          </a:xfrm>
                          <a:prstGeom prst="rect">
                            <a:avLst/>
                          </a:prstGeom>
                          <a:noFill/>
                          <a:ln>
                            <a:noFill/>
                          </a:ln>
                        </pic:spPr>
                      </pic:pic>
                    </a:graphicData>
                  </a:graphic>
                </wp:inline>
              </w:drawing>
            </w:r>
          </w:p>
        </w:tc>
      </w:tr>
      <w:tr w:rsidR="00590A61" w:rsidRPr="00AB3524" w14:paraId="3F2AD7A2" w14:textId="77777777" w:rsidTr="00460C69">
        <w:trPr>
          <w:cantSplit/>
        </w:trPr>
        <w:tc>
          <w:tcPr>
            <w:tcW w:w="8505" w:type="dxa"/>
            <w:shd w:val="clear" w:color="auto" w:fill="auto"/>
          </w:tcPr>
          <w:p w14:paraId="008310DE" w14:textId="77777777" w:rsidR="00590A61" w:rsidRPr="00AB3524" w:rsidRDefault="00590A61" w:rsidP="00460C69">
            <w:pPr>
              <w:pStyle w:val="GraphSource"/>
              <w:keepNext/>
            </w:pPr>
            <w:r w:rsidRPr="00AB3524">
              <w:rPr>
                <w:b/>
                <w:i/>
              </w:rPr>
              <w:t>Source:</w:t>
            </w:r>
            <w:r w:rsidRPr="00AB3524">
              <w:t xml:space="preserve"> Commission services, EPC.</w:t>
            </w:r>
          </w:p>
        </w:tc>
      </w:tr>
    </w:tbl>
    <w:p w14:paraId="699F4A86" w14:textId="77777777" w:rsidR="00590A61" w:rsidRPr="00AB3524" w:rsidRDefault="00590A61" w:rsidP="00460C69">
      <w:pPr>
        <w:pStyle w:val="NumberedHeading1"/>
        <w:tabs>
          <w:tab w:val="left" w:pos="567"/>
        </w:tabs>
      </w:pPr>
      <w:bookmarkStart w:id="175" w:name="_Toc511664437"/>
      <w:r w:rsidRPr="00AB3524">
        <w:t>2.3.</w:t>
      </w:r>
      <w:r w:rsidRPr="00AB3524">
        <w:tab/>
        <w:t>Short overview of the projection methodology</w:t>
      </w:r>
      <w:bookmarkEnd w:id="175"/>
    </w:p>
    <w:p w14:paraId="1EFAF8D5" w14:textId="77777777" w:rsidR="00590A61" w:rsidRPr="00AB3524" w:rsidRDefault="00590A61" w:rsidP="00460C69">
      <w:pPr>
        <w:pStyle w:val="NumberedHeading2"/>
        <w:tabs>
          <w:tab w:val="left" w:pos="567"/>
        </w:tabs>
      </w:pPr>
      <w:r w:rsidRPr="00AB3524">
        <w:t>2.3.1.</w:t>
      </w:r>
      <w:r w:rsidRPr="00AB3524">
        <w:tab/>
        <w:t>Model</w:t>
      </w:r>
    </w:p>
    <w:p w14:paraId="1D28CA6A" w14:textId="77777777" w:rsidR="00590A61" w:rsidRPr="00AB3524" w:rsidRDefault="00590A61" w:rsidP="00460C69">
      <w:r w:rsidRPr="00AB3524">
        <w:t>On the basis of the description just presented, a series of so-called scenarios test the potential impact of the different determinants of public spending on health care. The impact of each determinant is calculated separately on the basis of hypothetical assumptions (a "what if" situation). This can indicate how each determinant may contribute to the evolution of public health care over the next 50 years. This analysis may help inform future policy decisions, which aim at improving the fiscal sustainability of health care spending.</w:t>
      </w:r>
    </w:p>
    <w:p w14:paraId="40E9FF7A" w14:textId="77777777" w:rsidR="00590A61" w:rsidRPr="00AB3524" w:rsidRDefault="00590A61" w:rsidP="00460C69">
      <w:r w:rsidRPr="00AB3524">
        <w:t>The complexity of health care markets makes expenditure projections a challenging task (</w:t>
      </w:r>
      <w:r w:rsidRPr="00AB3524">
        <w:rPr>
          <w:rStyle w:val="Referencafusnote"/>
        </w:rPr>
        <w:footnoteReference w:id="75"/>
      </w:r>
      <w:r w:rsidRPr="00AB3524">
        <w:t>).The projections presented in this report are bound with uncertainty (</w:t>
      </w:r>
      <w:r w:rsidRPr="00AB3524">
        <w:rPr>
          <w:rStyle w:val="Referencafusnote"/>
        </w:rPr>
        <w:footnoteReference w:id="76"/>
      </w:r>
      <w:r w:rsidRPr="00AB3524">
        <w:t>).</w:t>
      </w:r>
    </w:p>
    <w:p w14:paraId="6BFAC349" w14:textId="77777777" w:rsidR="00590A61" w:rsidRPr="00AB3524" w:rsidRDefault="00590A61" w:rsidP="00460C69">
      <w:r w:rsidRPr="00AB3524">
        <w:t>It is important to stress that future levels of public health care spending are modelled to a large extent exogenously. Future health policy reforms and behavioural changes by individuals are not taken into account. In many scenarios, the adjustments observed relate solely to health care provision adjusting automatically to the needs that result from changes in population structure, health status and changes in income. As such, most scenarios should be considered as "no-policy change" scenarios.</w:t>
      </w:r>
    </w:p>
    <w:p w14:paraId="0E22AACE" w14:textId="77777777" w:rsidR="00590A61" w:rsidRPr="00AB3524" w:rsidRDefault="00590A61" w:rsidP="00460C69">
      <w:r w:rsidRPr="00AB3524">
        <w:t xml:space="preserve">The basic setup of the model used to project future expenditure on health care is a traditional simulation model whereby the overall population is disaggregated into a number of groups having a common set of features, such as age and sex. As the number of individuals in each group changes over time, so do the aggregate values of the endogenous variables. The schematic methodology to project health care expenditure is presented in Graph </w:t>
      </w:r>
      <w:r w:rsidRPr="00AB3524">
        <w:fldChar w:fldCharType="begin"/>
      </w:r>
      <w:r w:rsidRPr="00AB3524">
        <w:instrText xml:space="preserve"> QUOTE "II.2.2"</w:instrText>
      </w:r>
      <w:r w:rsidRPr="00AB3524">
        <w:fldChar w:fldCharType="begin">
          <w:fldData xml:space="preserve">QwBSAE8AUwBTAFIARQBGAEUAUgBFAE4AQwBFACoARwBSAEEAUABIACoAOQA3ADYAYQBlADgAZgA0
AC0AZABjADQAZQAtADQANQBjAGQALQBhAGQAOQAyAC0ANQBmAGMAMwBjAGIAZAA2AGYAMwBhAGMA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II.2.2</w:t>
      </w:r>
      <w:r w:rsidRPr="00AB3524">
        <w:fldChar w:fldCharType="end"/>
      </w:r>
      <w:r w:rsidRPr="00AB3524">
        <w:t xml:space="preserve">. The common elements of all projection scenarios are the labour force and macroeconomic assumptions agreed by the Commission services (DG ECFIN) and the EPC-AWG, and the 2015-based population projections provided by Eurostat. </w:t>
      </w:r>
    </w:p>
    <w:tbl>
      <w:tblPr>
        <w:tblpPr w:horzAnchor="margin" w:tblpYSpec="top"/>
        <w:tblOverlap w:val="never"/>
        <w:tblW w:w="0" w:type="auto"/>
        <w:tblBorders>
          <w:top w:val="single" w:sz="4" w:space="0" w:color="333399"/>
          <w:left w:val="single" w:sz="4" w:space="0" w:color="333399"/>
          <w:bottom w:val="single" w:sz="4" w:space="0" w:color="333399"/>
          <w:right w:val="single" w:sz="4" w:space="0" w:color="333399"/>
        </w:tblBorders>
        <w:shd w:val="clear" w:color="auto" w:fill="F7FCFF"/>
        <w:tblLayout w:type="fixed"/>
        <w:tblCellMar>
          <w:left w:w="0" w:type="dxa"/>
          <w:right w:w="0" w:type="dxa"/>
        </w:tblCellMar>
        <w:tblLook w:val="0000" w:firstRow="0" w:lastRow="0" w:firstColumn="0" w:lastColumn="0" w:noHBand="0" w:noVBand="0"/>
      </w:tblPr>
      <w:tblGrid>
        <w:gridCol w:w="8505"/>
      </w:tblGrid>
      <w:tr w:rsidR="00590A61" w:rsidRPr="00AB3524" w14:paraId="76752833" w14:textId="77777777" w:rsidTr="00460C69">
        <w:trPr>
          <w:cantSplit/>
          <w:trHeight w:val="20"/>
        </w:trPr>
        <w:tc>
          <w:tcPr>
            <w:tcW w:w="8505" w:type="dxa"/>
            <w:shd w:val="clear" w:color="auto" w:fill="F7FCFF"/>
          </w:tcPr>
          <w:p w14:paraId="62FF47DF" w14:textId="77777777" w:rsidR="00590A61" w:rsidRPr="00AB3524" w:rsidRDefault="00590A61" w:rsidP="00460C69">
            <w:pPr>
              <w:pStyle w:val="SlimCell"/>
              <w:keepNext/>
            </w:pPr>
            <w:r w:rsidRPr="00AB3524">
              <w:lastRenderedPageBreak/>
              <w:fldChar w:fldCharType="begin"/>
            </w:r>
            <w:r w:rsidRPr="009F3ED8">
              <w:instrText xml:space="preserve"> TC "</w:instrText>
            </w:r>
            <w:bookmarkStart w:id="176" w:name="_Toc511664718"/>
            <w:r w:rsidRPr="009F3ED8">
              <w:instrText>II.2.4.</w:instrText>
            </w:r>
            <w:r w:rsidRPr="009F3ED8">
              <w:tab/>
              <w:instrText>Internationally comparable data on total public health care expenditure</w:instrText>
            </w:r>
            <w:bookmarkEnd w:id="176"/>
            <w:r w:rsidRPr="009F3ED8">
              <w:instrText xml:space="preserve">" \fbox \l 5 </w:instrText>
            </w:r>
            <w:r w:rsidRPr="00AB3524">
              <w:fldChar w:fldCharType="end"/>
            </w:r>
          </w:p>
        </w:tc>
      </w:tr>
      <w:tr w:rsidR="00590A61" w:rsidRPr="00AB3524" w14:paraId="597C5F94" w14:textId="77777777" w:rsidTr="00460C69">
        <w:trPr>
          <w:cantSplit/>
          <w:trHeight w:val="20"/>
        </w:trPr>
        <w:tc>
          <w:tcPr>
            <w:tcW w:w="8505" w:type="dxa"/>
            <w:shd w:val="clear" w:color="auto" w:fill="F7FCFF"/>
          </w:tcPr>
          <w:p w14:paraId="079425D7" w14:textId="77777777" w:rsidR="00590A61" w:rsidRPr="00AB3524" w:rsidRDefault="00590A61" w:rsidP="00460C69">
            <w:pPr>
              <w:pStyle w:val="SlimCell"/>
              <w:keepNext/>
            </w:pPr>
          </w:p>
        </w:tc>
      </w:tr>
      <w:tr w:rsidR="00590A61" w:rsidRPr="00AB3524" w14:paraId="1FFECA7E" w14:textId="77777777" w:rsidTr="00460C69">
        <w:trPr>
          <w:cantSplit/>
        </w:trPr>
        <w:tc>
          <w:tcPr>
            <w:tcW w:w="8505" w:type="dxa"/>
            <w:shd w:val="clear" w:color="auto" w:fill="F7FCFF"/>
          </w:tcPr>
          <w:p w14:paraId="136B8CA1" w14:textId="77777777" w:rsidR="00590A61" w:rsidRPr="00AB3524" w:rsidRDefault="00590A61" w:rsidP="00460C69">
            <w:pPr>
              <w:pStyle w:val="BoxShape"/>
              <w:rPr>
                <w:sz w:val="2"/>
              </w:rPr>
            </w:pPr>
            <w:r>
              <w:rPr>
                <w:noProof/>
                <w:sz w:val="2"/>
                <w:lang w:val="hr-HR" w:eastAsia="hr-HR"/>
              </w:rPr>
              <w:drawing>
                <wp:inline distT="0" distB="0" distL="0" distR="0" wp14:anchorId="78DB7249" wp14:editId="15BC56D4">
                  <wp:extent cx="4950481" cy="7515226"/>
                  <wp:effectExtent l="0" t="0" r="2540" b="0"/>
                  <wp:docPr id="811" name="Picture 811" descr="&lt;nbr&gt;II.2.4&lt;/nbr&gt;&#10;&lt;title&gt;Internationally comparable data on total public health care expenditure&lt;/title&gt;&#10;&lt;id&gt;b1fea5bd-9fdf-4a98-a213-d1a838284e90&lt;/id&gt;&#10;&lt;srcType&gt;WORD&lt;/srcType&gt;&#10;&lt;srcPath&gt;U:\Budgetary projections 2018\Reports\2018 AR\Tables_and_graphs\Part II Chapter 2\&lt;/srcPath&gt;&#10;&lt;srcName&gt;Box 4.docx&lt;/srcName&gt;&#10;&lt;type&gt;box&lt;/type&gt;&#10;&lt;pos&gt;top&lt;/pos&gt;&#10;&lt;numbering&gt;external&lt;/numbering&gt;&#10;&lt;manNumb&gt;no&lt;/manNumb&gt;&#10;&lt;multi&gt;yes&lt;/multi&gt;&#10; &lt;partThis&gt;1&lt;/partThis&gt;&#10; &lt;partTot&gt;3&lt;/partTot&gt;&#10;&lt;statAnn&gt;no&lt;/statAnn&gt;&#10;&lt;float&gt;no&lt;/float&gt;&#10;&lt;bottomShapePageNumber&gt;-1&lt;/bottomShapePageNumber&gt;&#10;&lt;version&gt;2&lt;/version&gt;&#10;&lt;scrFileTime&gt;2018-03-28T18:10:14&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950481" cy="7515226"/>
                          </a:xfrm>
                          <a:prstGeom prst="rect">
                            <a:avLst/>
                          </a:prstGeom>
                          <a:noFill/>
                          <a:ln>
                            <a:noFill/>
                          </a:ln>
                        </pic:spPr>
                      </pic:pic>
                    </a:graphicData>
                  </a:graphic>
                </wp:inline>
              </w:drawing>
            </w:r>
          </w:p>
        </w:tc>
      </w:tr>
      <w:tr w:rsidR="00590A61" w:rsidRPr="00AB3524" w14:paraId="165D7E1B" w14:textId="77777777" w:rsidTr="00460C69">
        <w:trPr>
          <w:cantSplit/>
          <w:trHeight w:val="20"/>
        </w:trPr>
        <w:tc>
          <w:tcPr>
            <w:tcW w:w="8505" w:type="dxa"/>
            <w:shd w:val="clear" w:color="auto" w:fill="F7FCFF"/>
          </w:tcPr>
          <w:p w14:paraId="0CAAFAA0" w14:textId="77777777" w:rsidR="00590A61" w:rsidRPr="00AB3524" w:rsidRDefault="00590A61" w:rsidP="00460C69">
            <w:pPr>
              <w:pStyle w:val="SlimCell"/>
              <w:keepNext/>
            </w:pPr>
          </w:p>
        </w:tc>
      </w:tr>
      <w:tr w:rsidR="00590A61" w:rsidRPr="00AB3524" w14:paraId="04D828FB" w14:textId="77777777" w:rsidTr="00460C69">
        <w:trPr>
          <w:cantSplit/>
        </w:trPr>
        <w:tc>
          <w:tcPr>
            <w:tcW w:w="8505" w:type="dxa"/>
            <w:shd w:val="clear" w:color="auto" w:fill="F7FCFF"/>
            <w:vAlign w:val="bottom"/>
          </w:tcPr>
          <w:p w14:paraId="1BBB8B35" w14:textId="77777777" w:rsidR="00590A61" w:rsidRPr="00AB3524" w:rsidRDefault="00590A61" w:rsidP="00460C69">
            <w:pPr>
              <w:pStyle w:val="BoxContinueBottom"/>
            </w:pPr>
            <w:r>
              <w:t>(Continued on the next page)</w:t>
            </w:r>
          </w:p>
        </w:tc>
      </w:tr>
    </w:tbl>
    <w:p w14:paraId="73A8C58D" w14:textId="77777777" w:rsidR="00590A61" w:rsidRPr="00AB3524" w:rsidRDefault="00590A61" w:rsidP="00460C69">
      <w:pPr>
        <w:pStyle w:val="MultipageDelimiter"/>
      </w:pPr>
    </w:p>
    <w:tbl>
      <w:tblPr>
        <w:tblpPr w:horzAnchor="margin" w:tblpYSpec="top"/>
        <w:tblOverlap w:val="never"/>
        <w:tblW w:w="0" w:type="auto"/>
        <w:tblBorders>
          <w:top w:val="single" w:sz="4" w:space="0" w:color="333399"/>
          <w:left w:val="single" w:sz="4" w:space="0" w:color="333399"/>
          <w:bottom w:val="single" w:sz="4" w:space="0" w:color="333399"/>
          <w:right w:val="single" w:sz="4" w:space="0" w:color="333399"/>
        </w:tblBorders>
        <w:shd w:val="clear" w:color="auto" w:fill="F7FCFF"/>
        <w:tblLayout w:type="fixed"/>
        <w:tblCellMar>
          <w:left w:w="0" w:type="dxa"/>
          <w:right w:w="0" w:type="dxa"/>
        </w:tblCellMar>
        <w:tblLook w:val="0000" w:firstRow="0" w:lastRow="0" w:firstColumn="0" w:lastColumn="0" w:noHBand="0" w:noVBand="0"/>
      </w:tblPr>
      <w:tblGrid>
        <w:gridCol w:w="8505"/>
      </w:tblGrid>
      <w:tr w:rsidR="00590A61" w:rsidRPr="00AB3524" w14:paraId="684EF485" w14:textId="77777777" w:rsidTr="00460C69">
        <w:trPr>
          <w:cantSplit/>
        </w:trPr>
        <w:tc>
          <w:tcPr>
            <w:tcW w:w="8505" w:type="dxa"/>
            <w:shd w:val="clear" w:color="auto" w:fill="F7FCFF"/>
          </w:tcPr>
          <w:p w14:paraId="2CAF9E0C" w14:textId="77777777" w:rsidR="00590A61" w:rsidRPr="00AB3524" w:rsidRDefault="00590A61" w:rsidP="00460C69">
            <w:pPr>
              <w:pStyle w:val="BoxContinueTop"/>
            </w:pPr>
            <w:r>
              <w:lastRenderedPageBreak/>
              <w:t>Box (continued)</w:t>
            </w:r>
          </w:p>
        </w:tc>
      </w:tr>
      <w:tr w:rsidR="00590A61" w:rsidRPr="00AB3524" w14:paraId="12091278" w14:textId="77777777" w:rsidTr="00460C69">
        <w:trPr>
          <w:cantSplit/>
          <w:trHeight w:val="20"/>
        </w:trPr>
        <w:tc>
          <w:tcPr>
            <w:tcW w:w="8505" w:type="dxa"/>
            <w:shd w:val="clear" w:color="auto" w:fill="F7FCFF"/>
          </w:tcPr>
          <w:p w14:paraId="38077B11" w14:textId="77777777" w:rsidR="00590A61" w:rsidRPr="00AB3524" w:rsidRDefault="00590A61" w:rsidP="00460C69">
            <w:pPr>
              <w:pStyle w:val="SlimCell"/>
              <w:keepNext/>
            </w:pPr>
          </w:p>
        </w:tc>
      </w:tr>
      <w:tr w:rsidR="00590A61" w:rsidRPr="00AB3524" w14:paraId="501BF0BB" w14:textId="77777777" w:rsidTr="00460C69">
        <w:trPr>
          <w:cantSplit/>
        </w:trPr>
        <w:tc>
          <w:tcPr>
            <w:tcW w:w="8505" w:type="dxa"/>
            <w:shd w:val="clear" w:color="auto" w:fill="F7FCFF"/>
          </w:tcPr>
          <w:p w14:paraId="01165087" w14:textId="77777777" w:rsidR="00590A61" w:rsidRPr="00AB3524" w:rsidRDefault="00590A61" w:rsidP="00460C69">
            <w:pPr>
              <w:pStyle w:val="BoxShape"/>
              <w:rPr>
                <w:sz w:val="2"/>
              </w:rPr>
            </w:pPr>
            <w:r>
              <w:rPr>
                <w:noProof/>
                <w:sz w:val="2"/>
                <w:lang w:val="hr-HR" w:eastAsia="hr-HR"/>
              </w:rPr>
              <w:drawing>
                <wp:inline distT="0" distB="0" distL="0" distR="0" wp14:anchorId="755BC3AD" wp14:editId="5C6EBAAF">
                  <wp:extent cx="4888620" cy="7409180"/>
                  <wp:effectExtent l="0" t="0" r="7620" b="1270"/>
                  <wp:docPr id="3" name="Picture 3" descr="&lt;nbr&gt;II.2.4&lt;/nbr&gt;&#10;&lt;title&gt;Internationally comparable data on total public health care expenditure&lt;/title&gt;&#10;&lt;id&gt;b1fea5bd-9fdf-4a98-a213-d1a838284e90&lt;/id&gt;&#10;&lt;srcType&gt;WORD&lt;/srcType&gt;&#10;&lt;srcPath&gt;U:\Budgetary projections 2018\Reports\2018 AR\Tables_and_graphs\Part II Chapter 2\&lt;/srcPath&gt;&#10;&lt;srcName&gt;Box 4.docx&lt;/srcName&gt;&#10;&lt;type&gt;box&lt;/type&gt;&#10;&lt;pos&gt;top&lt;/pos&gt;&#10;&lt;numbering&gt;external&lt;/numbering&gt;&#10;&lt;manNumb&gt;no&lt;/manNumb&gt;&#10;&lt;multi&gt;yes&lt;/multi&gt;&#10; &lt;partThis&gt;2&lt;/partThis&gt;&#10; &lt;partTot&gt;3&lt;/partTot&gt;&#10;&lt;statAnn&gt;no&lt;/statAnn&gt;&#10;&lt;float&gt;no&lt;/float&gt;&#10;&lt;bottomShapePageNumber&gt;-1&lt;/bottomShapePageNumber&gt;&#10;&lt;version&gt;2&lt;/version&gt;&#10;&lt;scrFileTime&gt;2018-03-28T18:10:14&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888620" cy="7409180"/>
                          </a:xfrm>
                          <a:prstGeom prst="rect">
                            <a:avLst/>
                          </a:prstGeom>
                          <a:noFill/>
                          <a:ln>
                            <a:noFill/>
                          </a:ln>
                        </pic:spPr>
                      </pic:pic>
                    </a:graphicData>
                  </a:graphic>
                </wp:inline>
              </w:drawing>
            </w:r>
          </w:p>
        </w:tc>
      </w:tr>
      <w:tr w:rsidR="00590A61" w:rsidRPr="00AB3524" w14:paraId="225683E2" w14:textId="77777777" w:rsidTr="00460C69">
        <w:trPr>
          <w:cantSplit/>
          <w:trHeight w:val="20"/>
        </w:trPr>
        <w:tc>
          <w:tcPr>
            <w:tcW w:w="8505" w:type="dxa"/>
            <w:shd w:val="clear" w:color="auto" w:fill="F7FCFF"/>
          </w:tcPr>
          <w:p w14:paraId="5AEF1DC9" w14:textId="77777777" w:rsidR="00590A61" w:rsidRPr="00AB3524" w:rsidRDefault="00590A61" w:rsidP="00460C69">
            <w:pPr>
              <w:pStyle w:val="SlimCell"/>
              <w:keepNext/>
            </w:pPr>
          </w:p>
        </w:tc>
      </w:tr>
      <w:tr w:rsidR="00590A61" w:rsidRPr="00AB3524" w14:paraId="7A3119A7" w14:textId="77777777" w:rsidTr="00460C69">
        <w:trPr>
          <w:cantSplit/>
        </w:trPr>
        <w:tc>
          <w:tcPr>
            <w:tcW w:w="8505" w:type="dxa"/>
            <w:shd w:val="clear" w:color="auto" w:fill="F7FCFF"/>
            <w:vAlign w:val="bottom"/>
          </w:tcPr>
          <w:p w14:paraId="6C0E4319" w14:textId="77777777" w:rsidR="00590A61" w:rsidRPr="00AB3524" w:rsidRDefault="00590A61" w:rsidP="00460C69">
            <w:pPr>
              <w:pStyle w:val="BoxContinueBottom"/>
            </w:pPr>
            <w:r>
              <w:t>(Continued on the next page)</w:t>
            </w:r>
          </w:p>
        </w:tc>
      </w:tr>
    </w:tbl>
    <w:p w14:paraId="48B21A5F" w14:textId="77777777" w:rsidR="00590A61" w:rsidRPr="00AB3524" w:rsidRDefault="00590A61" w:rsidP="00460C69">
      <w:pPr>
        <w:pStyle w:val="MultipageDelimiter"/>
      </w:pPr>
    </w:p>
    <w:tbl>
      <w:tblPr>
        <w:tblpPr w:bottomFromText="240" w:horzAnchor="margin" w:tblpYSpec="top"/>
        <w:tblOverlap w:val="never"/>
        <w:tblW w:w="0" w:type="auto"/>
        <w:tblBorders>
          <w:top w:val="single" w:sz="4" w:space="0" w:color="333399"/>
          <w:left w:val="single" w:sz="4" w:space="0" w:color="333399"/>
          <w:bottom w:val="single" w:sz="4" w:space="0" w:color="333399"/>
          <w:right w:val="single" w:sz="4" w:space="0" w:color="333399"/>
        </w:tblBorders>
        <w:shd w:val="clear" w:color="auto" w:fill="F7FCFF"/>
        <w:tblLayout w:type="fixed"/>
        <w:tblCellMar>
          <w:left w:w="0" w:type="dxa"/>
          <w:right w:w="0" w:type="dxa"/>
        </w:tblCellMar>
        <w:tblLook w:val="0000" w:firstRow="0" w:lastRow="0" w:firstColumn="0" w:lastColumn="0" w:noHBand="0" w:noVBand="0"/>
      </w:tblPr>
      <w:tblGrid>
        <w:gridCol w:w="8505"/>
      </w:tblGrid>
      <w:tr w:rsidR="00590A61" w:rsidRPr="00AB3524" w14:paraId="7123AC05" w14:textId="77777777" w:rsidTr="00460C69">
        <w:trPr>
          <w:cantSplit/>
        </w:trPr>
        <w:tc>
          <w:tcPr>
            <w:tcW w:w="8505" w:type="dxa"/>
            <w:shd w:val="clear" w:color="auto" w:fill="F7FCFF"/>
          </w:tcPr>
          <w:p w14:paraId="73AA8E58" w14:textId="77777777" w:rsidR="00590A61" w:rsidRPr="00AB3524" w:rsidRDefault="00590A61" w:rsidP="00460C69">
            <w:pPr>
              <w:pStyle w:val="BoxContinueTop"/>
            </w:pPr>
            <w:r>
              <w:lastRenderedPageBreak/>
              <w:t>Box (continued)</w:t>
            </w:r>
          </w:p>
        </w:tc>
      </w:tr>
      <w:tr w:rsidR="00590A61" w:rsidRPr="00AB3524" w14:paraId="75150565" w14:textId="77777777" w:rsidTr="00460C69">
        <w:trPr>
          <w:cantSplit/>
          <w:trHeight w:val="20"/>
        </w:trPr>
        <w:tc>
          <w:tcPr>
            <w:tcW w:w="8505" w:type="dxa"/>
            <w:shd w:val="clear" w:color="auto" w:fill="F7FCFF"/>
          </w:tcPr>
          <w:p w14:paraId="008B24F2" w14:textId="77777777" w:rsidR="00590A61" w:rsidRPr="00AB3524" w:rsidRDefault="00590A61" w:rsidP="00460C69">
            <w:pPr>
              <w:pStyle w:val="SlimCell"/>
              <w:keepNext/>
            </w:pPr>
          </w:p>
        </w:tc>
      </w:tr>
      <w:tr w:rsidR="00590A61" w:rsidRPr="00AB3524" w14:paraId="4A5E46AD" w14:textId="77777777" w:rsidTr="00460C69">
        <w:trPr>
          <w:cantSplit/>
        </w:trPr>
        <w:tc>
          <w:tcPr>
            <w:tcW w:w="8505" w:type="dxa"/>
            <w:shd w:val="clear" w:color="auto" w:fill="F7FCFF"/>
          </w:tcPr>
          <w:p w14:paraId="427CD759" w14:textId="77777777" w:rsidR="00590A61" w:rsidRPr="00AB3524" w:rsidRDefault="00590A61" w:rsidP="00460C69">
            <w:pPr>
              <w:pStyle w:val="BoxShape"/>
              <w:rPr>
                <w:sz w:val="2"/>
              </w:rPr>
            </w:pPr>
            <w:r>
              <w:rPr>
                <w:noProof/>
                <w:sz w:val="2"/>
                <w:lang w:val="hr-HR" w:eastAsia="hr-HR"/>
              </w:rPr>
              <w:drawing>
                <wp:inline distT="0" distB="0" distL="0" distR="0" wp14:anchorId="1EFCA8B6" wp14:editId="5DE11F7D">
                  <wp:extent cx="5040929" cy="4177169"/>
                  <wp:effectExtent l="0" t="0" r="7620" b="0"/>
                  <wp:docPr id="812" name="Picture 812" descr="&lt;nbr&gt;II.2.4&lt;/nbr&gt;&#10;&lt;title&gt;Internationally comparable data on total public health care expenditure&lt;/title&gt;&#10;&lt;id&gt;b1fea5bd-9fdf-4a98-a213-d1a838284e90&lt;/id&gt;&#10;&lt;srcType&gt;WORD&lt;/srcType&gt;&#10;&lt;srcPath&gt;U:\Budgetary projections 2018\Reports\2018 AR\Tables_and_graphs\Part II Chapter 2\&lt;/srcPath&gt;&#10;&lt;srcName&gt;Box 4.docx&lt;/srcName&gt;&#10;&lt;type&gt;box&lt;/type&gt;&#10;&lt;pos&gt;top&lt;/pos&gt;&#10;&lt;numbering&gt;external&lt;/numbering&gt;&#10;&lt;manNumb&gt;no&lt;/manNumb&gt;&#10;&lt;multi&gt;yes&lt;/multi&gt;&#10; &lt;partThis&gt;3&lt;/partThis&gt;&#10; &lt;partTot&gt;3&lt;/partTot&gt;&#10;&lt;statAnn&gt;no&lt;/statAnn&gt;&#10;&lt;float&gt;no&lt;/float&gt;&#10;&lt;bottomShapePageNumber&gt;-1&lt;/bottomShapePageNumber&gt;&#10;&lt;version&gt;2&lt;/version&gt;&#10;&lt;scrFileTime&gt;2018-03-28T18:10:14&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040929" cy="4177169"/>
                          </a:xfrm>
                          <a:prstGeom prst="rect">
                            <a:avLst/>
                          </a:prstGeom>
                          <a:noFill/>
                          <a:ln>
                            <a:noFill/>
                          </a:ln>
                        </pic:spPr>
                      </pic:pic>
                    </a:graphicData>
                  </a:graphic>
                </wp:inline>
              </w:drawing>
            </w:r>
          </w:p>
        </w:tc>
      </w:tr>
      <w:tr w:rsidR="00590A61" w:rsidRPr="00AB3524" w14:paraId="70B03CFA" w14:textId="77777777" w:rsidTr="00460C69">
        <w:trPr>
          <w:cantSplit/>
          <w:trHeight w:val="20"/>
        </w:trPr>
        <w:tc>
          <w:tcPr>
            <w:tcW w:w="8505" w:type="dxa"/>
            <w:shd w:val="clear" w:color="auto" w:fill="F7FCFF"/>
          </w:tcPr>
          <w:p w14:paraId="1DCA306B" w14:textId="77777777" w:rsidR="00590A61" w:rsidRPr="00AB3524" w:rsidRDefault="00590A61" w:rsidP="00460C69">
            <w:pPr>
              <w:pStyle w:val="SlimCell"/>
              <w:keepNext/>
            </w:pPr>
          </w:p>
        </w:tc>
      </w:tr>
      <w:tr w:rsidR="00590A61" w:rsidRPr="00AB3524" w14:paraId="555BE77B" w14:textId="77777777" w:rsidTr="00460C69">
        <w:trPr>
          <w:cantSplit/>
          <w:trHeight w:val="20"/>
        </w:trPr>
        <w:tc>
          <w:tcPr>
            <w:tcW w:w="8505" w:type="dxa"/>
            <w:shd w:val="clear" w:color="auto" w:fill="F7FCFF"/>
            <w:vAlign w:val="bottom"/>
          </w:tcPr>
          <w:p w14:paraId="3420474B" w14:textId="77777777" w:rsidR="00590A61" w:rsidRPr="00AB3524" w:rsidRDefault="00590A61" w:rsidP="00460C69">
            <w:pPr>
              <w:pStyle w:val="SlimCell"/>
            </w:pPr>
          </w:p>
        </w:tc>
      </w:tr>
    </w:tbl>
    <w:p w14:paraId="41CC2E5A" w14:textId="77777777" w:rsidR="00590A61" w:rsidRPr="00AB3524" w:rsidRDefault="00590A61" w:rsidP="00460C69">
      <w:r w:rsidRPr="00AB3524">
        <w:t>The age and gender-specific per capita public expenditure (on health care) profiles are provided by Member States. They are combined with the demographic projections provided by Eurostat in order to calculate nominal spending on health care. In a further step, the age-gender cost profiles applied to the population structure are adjusted to add up to the total public expenditure on health care (</w:t>
      </w:r>
      <w:r w:rsidRPr="00AB3524">
        <w:rPr>
          <w:rStyle w:val="Referencafusnote"/>
        </w:rPr>
        <w:footnoteReference w:id="77"/>
      </w:r>
      <w:r w:rsidRPr="00AB3524">
        <w:t>) in the specific year of reference (Box II.2.4).</w:t>
      </w:r>
    </w:p>
    <w:p w14:paraId="511B1646" w14:textId="77777777" w:rsidR="00590A61" w:rsidRPr="00AB3524" w:rsidRDefault="00590A61" w:rsidP="00460C69">
      <w:r w:rsidRPr="00AB3524">
        <w:t>The adjustments reflecting the effects of different factors on health care spending are applied by correspondingly changing one of three main inputs: (1) the demographic/population projections, (2) the age-related expenditure profiles (capturing unit costs) and (3) assumptions regarding the development of unit costs over time, as driven by the macroeconomic variables, assumptions on the evolution of the population's health status or assumptions on the elasticity of demand.</w:t>
      </w:r>
    </w:p>
    <w:p w14:paraId="173264A2" w14:textId="77777777" w:rsidR="00590A61" w:rsidRPr="00AB3524" w:rsidRDefault="00590A61" w:rsidP="00460C69"/>
    <w:p w14:paraId="034B4F3B" w14:textId="77777777" w:rsidR="00590A61" w:rsidRPr="00AB3524" w:rsidRDefault="00590A61" w:rsidP="00460C69"/>
    <w:p w14:paraId="7B2B3CA2" w14:textId="77777777" w:rsidR="00590A61" w:rsidRPr="00AB3524" w:rsidRDefault="00590A61" w:rsidP="00460C69"/>
    <w:p w14:paraId="44C20784" w14:textId="77777777" w:rsidR="00590A61" w:rsidRPr="00AB3524" w:rsidRDefault="00590A61" w:rsidP="00460C69"/>
    <w:p w14:paraId="62A73CAD" w14:textId="77777777" w:rsidR="00590A61" w:rsidRPr="00AB3524" w:rsidRDefault="00590A61" w:rsidP="00460C69">
      <w:pPr>
        <w:pStyle w:val="NumberedHeading2"/>
        <w:tabs>
          <w:tab w:val="left" w:pos="567"/>
        </w:tabs>
      </w:pPr>
      <w:r w:rsidRPr="00AB3524">
        <w:lastRenderedPageBreak/>
        <w:t>2.3.2.</w:t>
      </w:r>
      <w:r w:rsidRPr="00AB3524">
        <w:tab/>
        <w:t>Scenarios</w:t>
      </w:r>
    </w:p>
    <w:p w14:paraId="44CF9E00" w14:textId="77777777" w:rsidR="00590A61" w:rsidRPr="00AB3524" w:rsidRDefault="00590A61" w:rsidP="00460C69">
      <w:r w:rsidRPr="00AB3524">
        <w:t xml:space="preserve">Different scenarios simulate changes in the demographic structure, life expectancy and health status of the population, the importance of health care costs in the last years of life (death-related costs), an income elasticity of demand for health care higher than one in some of the scenarios but always converging to 1 at the end of the projection period, different patterns of unit cost evolution and the cost-convergence of age profiles across the EU28 Member States. The ideas behind the different scenarios are presented in Table </w:t>
      </w:r>
      <w:r w:rsidRPr="00AB3524">
        <w:fldChar w:fldCharType="begin"/>
      </w:r>
      <w:r w:rsidRPr="00AB3524">
        <w:instrText xml:space="preserve"> QUOTE "II.2.1"</w:instrText>
      </w:r>
      <w:r w:rsidRPr="00AB3524">
        <w:fldChar w:fldCharType="begin">
          <w:fldData xml:space="preserve">QwBSAE8AUwBTAFIARQBGAEUAUgBFAE4AQwBFACoAVABBAEIATABFACoANgBmADMAYQA1ADMANQBm
AC0AMwBlAGQANAAtADQANQBlAGIALQBiAGYAYQA4AC0AZgA5ADgANgA4AGQAMwBiADkAMAAxADgA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II.2.1</w:t>
      </w:r>
      <w:r w:rsidRPr="00AB3524">
        <w:fldChar w:fldCharType="end"/>
      </w:r>
      <w:r w:rsidRPr="00AB3524">
        <w:t xml:space="preserve"> (</w:t>
      </w:r>
      <w:r w:rsidRPr="00AB3524">
        <w:rPr>
          <w:rStyle w:val="Referencafusnote"/>
        </w:rPr>
        <w:footnoteReference w:id="78"/>
      </w:r>
      <w:r w:rsidRPr="00AB3524">
        <w:t>).</w:t>
      </w:r>
    </w:p>
    <w:p w14:paraId="6BED4814" w14:textId="77777777" w:rsidR="00590A61" w:rsidRPr="00AB3524" w:rsidRDefault="00590A61" w:rsidP="00460C69">
      <w:r w:rsidRPr="00AB3524">
        <w:t>Compared to the 2015 Ageing Report, there are no methodological changes in the scenarios, except for the input categories of the "sector-specific indexation scenario" as explained in point eight hereafter. All scenarios are described in more detail in the following:</w:t>
      </w:r>
    </w:p>
    <w:p w14:paraId="08F31E8E" w14:textId="77777777" w:rsidR="00590A61" w:rsidRPr="00AB3524" w:rsidRDefault="00590A61" w:rsidP="00460C69">
      <w:r w:rsidRPr="00AB3524">
        <w:t xml:space="preserve">I. The </w:t>
      </w:r>
      <w:r w:rsidRPr="00AB3524">
        <w:rPr>
          <w:b/>
          <w:i/>
        </w:rPr>
        <w:t>"demographic scenario"</w:t>
      </w:r>
      <w:r w:rsidRPr="00AB3524">
        <w:t xml:space="preserve"> attempts to isolate the ‘pure’ effect of an ageing population on health care spending. It assumes that age-specific morbidity rates do not change over time. This implies that age-related public health care spending per capita, considered as the proxy for morbidity rate (</w:t>
      </w:r>
      <w:r w:rsidRPr="00AB3524">
        <w:rPr>
          <w:rStyle w:val="Referencafusnote"/>
        </w:rPr>
        <w:footnoteReference w:id="79"/>
      </w:r>
      <w:r w:rsidRPr="00AB3524">
        <w:t>), remains constant in real terms over the projection period.</w:t>
      </w:r>
    </w:p>
    <w:p w14:paraId="71E7E7A7" w14:textId="77777777" w:rsidR="00590A61" w:rsidRPr="00AB3524" w:rsidRDefault="00590A61" w:rsidP="00460C69">
      <w:r w:rsidRPr="00AB3524">
        <w:t xml:space="preserve">As the health status is fixed but accompanied by a gradual increase in life expectancy (Eurostat 2015-based population projections), all gains in life expectancy are assumed to be spent in bad health. As such, this scenario reflects the </w:t>
      </w:r>
      <w:r w:rsidRPr="00AB3524">
        <w:rPr>
          <w:i/>
        </w:rPr>
        <w:t>expansion of morbidity</w:t>
      </w:r>
      <w:r w:rsidRPr="00AB3524">
        <w:t xml:space="preserve"> hypothesis explained above. It is further assumed that the costs, and therefore expenditure per capita, evolve in line with GDP per capita. This implies that without a change in the age structure of the population and in life expectancy, the share of health care spending in GDP would remain constant over the projection period. </w:t>
      </w:r>
    </w:p>
    <w:p w14:paraId="68AEE91A" w14:textId="77777777" w:rsidR="00590A61" w:rsidRPr="00AB3524" w:rsidRDefault="00590A61" w:rsidP="00460C69">
      <w:r w:rsidRPr="00AB3524">
        <w:lastRenderedPageBreak/>
        <w:t xml:space="preserve">II. The </w:t>
      </w:r>
      <w:r w:rsidRPr="00AB3524">
        <w:rPr>
          <w:i/>
        </w:rPr>
        <w:t>"</w:t>
      </w:r>
      <w:r w:rsidRPr="00AB3524">
        <w:rPr>
          <w:b/>
          <w:i/>
        </w:rPr>
        <w:t>high life expectancy scenario</w:t>
      </w:r>
      <w:r w:rsidRPr="00AB3524">
        <w:rPr>
          <w:i/>
        </w:rPr>
        <w:t>"</w:t>
      </w:r>
      <w:r w:rsidRPr="00AB3524">
        <w:t xml:space="preserve"> is a variant to the "demographic scenario". It tries to measure the impact of an alternative assumption on mortality rates. It assumes, as in the sensitivity tests used for pension projections, that life expectancy at birth in 2070 is higher, by two years, than the projected life expectancy used in the "demographic scenario". In comparison to the "demographic scenario", alternative demographic and macroeconomic data are used as a different demographic structure impacts on several variables including GDP (</w:t>
      </w:r>
      <w:r w:rsidRPr="00AB3524">
        <w:rPr>
          <w:rStyle w:val="Referencafusnote"/>
        </w:rPr>
        <w:footnoteReference w:id="80"/>
      </w:r>
      <w:r w:rsidRPr="00AB3524">
        <w:t>).</w:t>
      </w:r>
    </w:p>
    <w:p w14:paraId="193178F8" w14:textId="77777777" w:rsidR="00590A61" w:rsidRPr="00AB3524" w:rsidRDefault="00590A61" w:rsidP="00460C69">
      <w:r w:rsidRPr="00AB3524">
        <w:t xml:space="preserve">III. The </w:t>
      </w:r>
      <w:r w:rsidRPr="00AB3524">
        <w:rPr>
          <w:b/>
          <w:i/>
        </w:rPr>
        <w:t>"healthy ageing scenario"</w:t>
      </w:r>
      <w:r w:rsidRPr="00AB3524">
        <w:t xml:space="preserve"> (referred to in previous Ageing Reports as the </w:t>
      </w:r>
      <w:r w:rsidRPr="00AB3524">
        <w:rPr>
          <w:b/>
          <w:i/>
        </w:rPr>
        <w:t>"constant health scenario"</w:t>
      </w:r>
      <w:r w:rsidRPr="00AB3524">
        <w:t xml:space="preserve">) is based on the </w:t>
      </w:r>
      <w:r w:rsidRPr="00AB3524">
        <w:rPr>
          <w:i/>
        </w:rPr>
        <w:t>compression of morbidity</w:t>
      </w:r>
      <w:r w:rsidRPr="00AB3524">
        <w:t xml:space="preserve"> hypothesis and captures the potential impact of improvements in the health status, should this occur in parallel with projected declines in mortality rates. It assumes that the number of years spent in bad health remains constant over the whole projection period, i.e. all future gains in life expectancy are spent in good health. To generate a fall in morbidity rate in line with the decline in the mortality rate, this scenario is modelled by assuming that per capita age profiles observed in the base year are shifted outwards, in direct proportion to the projected gains in age and gender-specific life expectancy (</w:t>
      </w:r>
      <w:r w:rsidRPr="00AB3524">
        <w:rPr>
          <w:rStyle w:val="Referencafusnote"/>
        </w:rPr>
        <w:footnoteReference w:id="81"/>
      </w:r>
      <w:r w:rsidRPr="00AB3524">
        <w:t>).</w:t>
      </w:r>
    </w:p>
    <w:p w14:paraId="19FA7280" w14:textId="77777777" w:rsidR="00590A61" w:rsidRPr="00AB3524" w:rsidRDefault="00590A61" w:rsidP="00460C69">
      <w:r w:rsidRPr="00AB3524">
        <w:t xml:space="preserve">IV. The </w:t>
      </w:r>
      <w:r w:rsidRPr="00AB3524">
        <w:rPr>
          <w:b/>
          <w:i/>
        </w:rPr>
        <w:t>"death-related costs scenario"</w:t>
      </w:r>
      <w:r w:rsidRPr="00AB3524">
        <w:t xml:space="preserve"> employs an alternative method to project health care spending, taking into account a probable postponement in health care spending resulting from the evolution of mortality rates. There is empirical evidence that a large share of total spending on health care during a person’s life is concentrated in its final years (Palangkaraya and Yong, 2009) (</w:t>
      </w:r>
      <w:r w:rsidRPr="00AB3524">
        <w:rPr>
          <w:rStyle w:val="Referencafusnote"/>
        </w:rPr>
        <w:footnoteReference w:id="82"/>
      </w:r>
      <w:r w:rsidRPr="00AB3524">
        <w:t>).</w:t>
      </w:r>
    </w:p>
    <w:p w14:paraId="38075904" w14:textId="77777777" w:rsidR="00590A61" w:rsidRPr="00AB3524" w:rsidRDefault="00590A61" w:rsidP="00460C69"/>
    <w:tbl>
      <w:tblPr>
        <w:tblpPr w:horzAnchor="margin" w:tblpYSpec="top"/>
        <w:tblOverlap w:val="never"/>
        <w:tblW w:w="0" w:type="auto"/>
        <w:tblLayout w:type="fixed"/>
        <w:tblCellMar>
          <w:left w:w="0" w:type="dxa"/>
          <w:right w:w="0" w:type="dxa"/>
        </w:tblCellMar>
        <w:tblLook w:val="0000" w:firstRow="0" w:lastRow="0" w:firstColumn="0" w:lastColumn="0" w:noHBand="0" w:noVBand="0"/>
      </w:tblPr>
      <w:tblGrid>
        <w:gridCol w:w="20"/>
        <w:gridCol w:w="273"/>
        <w:gridCol w:w="5859"/>
        <w:gridCol w:w="273"/>
        <w:gridCol w:w="2094"/>
      </w:tblGrid>
      <w:tr w:rsidR="00590A61" w:rsidRPr="00AB3524" w14:paraId="6B412E88" w14:textId="77777777" w:rsidTr="00460C69">
        <w:trPr>
          <w:cantSplit/>
          <w:trHeight w:val="12632"/>
        </w:trPr>
        <w:tc>
          <w:tcPr>
            <w:tcW w:w="6" w:type="dxa"/>
            <w:shd w:val="clear" w:color="auto" w:fill="auto"/>
            <w:textDirection w:val="btLr"/>
          </w:tcPr>
          <w:p w14:paraId="0CEEB0FE" w14:textId="77777777" w:rsidR="00590A61" w:rsidRPr="00AB3524" w:rsidRDefault="00590A61" w:rsidP="00460C69">
            <w:pPr>
              <w:pStyle w:val="SlimCell"/>
            </w:pPr>
            <w:r w:rsidRPr="00AB3524">
              <w:lastRenderedPageBreak/>
              <w:fldChar w:fldCharType="begin"/>
            </w:r>
            <w:r w:rsidRPr="009F3ED8">
              <w:instrText xml:space="preserve"> TC "</w:instrText>
            </w:r>
            <w:bookmarkStart w:id="177" w:name="_Toc511664546"/>
            <w:r w:rsidRPr="009F3ED8">
              <w:instrText>II.2.1.</w:instrText>
            </w:r>
            <w:r w:rsidRPr="009F3ED8">
              <w:tab/>
              <w:instrText>Overview of the scenarios used to project health care spending</w:instrText>
            </w:r>
            <w:bookmarkEnd w:id="177"/>
            <w:r w:rsidRPr="009F3ED8">
              <w:instrText xml:space="preserve">" \ftable \l 5 </w:instrText>
            </w:r>
            <w:r w:rsidRPr="00AB3524">
              <w:fldChar w:fldCharType="end"/>
            </w:r>
          </w:p>
        </w:tc>
        <w:tc>
          <w:tcPr>
            <w:tcW w:w="273" w:type="dxa"/>
            <w:shd w:val="clear" w:color="auto" w:fill="auto"/>
            <w:textDirection w:val="btLr"/>
          </w:tcPr>
          <w:p w14:paraId="3C08BF24" w14:textId="77777777" w:rsidR="00590A61" w:rsidRPr="00AB3524" w:rsidRDefault="00590A61" w:rsidP="00460C69">
            <w:pPr>
              <w:pStyle w:val="TableTitle"/>
              <w:rPr>
                <w:b/>
              </w:rPr>
            </w:pPr>
            <w:r w:rsidRPr="00AB3524">
              <w:t>Table II.2.1:</w:t>
            </w:r>
            <w:r w:rsidRPr="00AB3524">
              <w:rPr>
                <w:b/>
              </w:rPr>
              <w:tab/>
              <w:t>Overview of the scenarios used to project health care spending</w:t>
            </w:r>
          </w:p>
        </w:tc>
        <w:tc>
          <w:tcPr>
            <w:tcW w:w="5859" w:type="dxa"/>
            <w:shd w:val="clear" w:color="auto" w:fill="auto"/>
            <w:textDirection w:val="btLr"/>
          </w:tcPr>
          <w:p w14:paraId="36998AC4" w14:textId="77777777" w:rsidR="00590A61" w:rsidRPr="00AB3524" w:rsidRDefault="00590A61" w:rsidP="00460C69">
            <w:pPr>
              <w:pStyle w:val="TableShape"/>
              <w:jc w:val="right"/>
              <w:rPr>
                <w:sz w:val="2"/>
              </w:rPr>
            </w:pPr>
            <w:r w:rsidRPr="00AB3524">
              <w:rPr>
                <w:noProof/>
                <w:sz w:val="2"/>
                <w:lang w:val="hr-HR" w:eastAsia="hr-HR"/>
              </w:rPr>
              <w:drawing>
                <wp:inline distT="0" distB="0" distL="0" distR="0" wp14:anchorId="2081E24B" wp14:editId="31D30F98">
                  <wp:extent cx="7985515" cy="3714873"/>
                  <wp:effectExtent l="1588" t="0" r="0" b="0"/>
                  <wp:docPr id="813" name="Picture 813" descr="&lt;nbr&gt;&lt;GETTEXTFROMWORD&gt;&lt;/nbr&gt;&#10;&lt;title&gt;&lt;GETTEXTFROMWORD&gt;&lt;/title&gt;&#10;&lt;id&gt;6f3a535f-3ed4-45eb-bfa8-f9868d3b9018&lt;/id&gt;&#10;&lt;srcType&gt;EXCEL&lt;/srcType&gt;&#10;&lt;srcPath&gt;U:\Budgetary projections 2018\Reports\2018 AR\Tables_and_graphs\Part II Chapter 2\&lt;/srcPath&gt;&#10;&lt;srcName&gt;tables &amp; graphs - Part II - Chapter 2 - HC.xlsx&lt;/srcName&gt;&#10;&lt;type&gt;table&lt;/type&gt;&#10; &lt;srcSheet&gt;Table Scenarios&lt;/srcSheet&gt;&#10; &lt;srcRange&gt;R2C2:R10C15&lt;/srcRange&gt;&#10;&lt;pos&gt;landscap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rot="16200000">
                            <a:off x="0" y="0"/>
                            <a:ext cx="7985515" cy="3714873"/>
                          </a:xfrm>
                          <a:prstGeom prst="rect">
                            <a:avLst/>
                          </a:prstGeom>
                          <a:noFill/>
                          <a:ln>
                            <a:noFill/>
                          </a:ln>
                        </pic:spPr>
                      </pic:pic>
                    </a:graphicData>
                  </a:graphic>
                </wp:inline>
              </w:drawing>
            </w:r>
          </w:p>
        </w:tc>
        <w:tc>
          <w:tcPr>
            <w:tcW w:w="273" w:type="dxa"/>
            <w:shd w:val="clear" w:color="auto" w:fill="auto"/>
            <w:textDirection w:val="btLr"/>
          </w:tcPr>
          <w:p w14:paraId="3B6D4E01" w14:textId="77777777" w:rsidR="00590A61" w:rsidRPr="00AB3524" w:rsidRDefault="00590A61" w:rsidP="00460C69">
            <w:pPr>
              <w:pStyle w:val="TableSource"/>
            </w:pPr>
            <w:r w:rsidRPr="00AB3524">
              <w:rPr>
                <w:b/>
                <w:i/>
              </w:rPr>
              <w:t>Source:</w:t>
            </w:r>
            <w:r w:rsidRPr="00AB3524">
              <w:t xml:space="preserve"> Commission services, EPC.</w:t>
            </w:r>
          </w:p>
        </w:tc>
        <w:tc>
          <w:tcPr>
            <w:tcW w:w="2094" w:type="dxa"/>
            <w:shd w:val="clear" w:color="auto" w:fill="auto"/>
            <w:textDirection w:val="btLr"/>
          </w:tcPr>
          <w:p w14:paraId="6B565D2B" w14:textId="77777777" w:rsidR="00590A61" w:rsidRPr="00AB3524" w:rsidRDefault="00590A61" w:rsidP="00460C69">
            <w:pPr>
              <w:pStyle w:val="SlimCell"/>
            </w:pPr>
          </w:p>
        </w:tc>
      </w:tr>
    </w:tbl>
    <w:p w14:paraId="3EA3179C" w14:textId="77777777" w:rsidR="00590A61" w:rsidRPr="00AB3524" w:rsidRDefault="00590A61" w:rsidP="00460C69">
      <w:r w:rsidRPr="00AB3524">
        <w:lastRenderedPageBreak/>
        <w:t>Therefore, as mortality rates at relatively younger age decline and a smaller share of each age cohort is in its terminal phase of life, the health care expenditure calculated using constant expenditure profiles may be overestimated. To run this scenario, profiles of death-related costs by age have been supplied by some Member States, where unit costs are differentiated between decedents and survivors (</w:t>
      </w:r>
      <w:r w:rsidRPr="00AB3524">
        <w:rPr>
          <w:rStyle w:val="Referencafusnote"/>
        </w:rPr>
        <w:footnoteReference w:id="83"/>
      </w:r>
      <w:r w:rsidRPr="00AB3524">
        <w:t>). The cost profiles change over the projection period, taking into account that the ratio of the health costs of decedents and those of survivors is linked to life expectancy rather than to age per se.</w:t>
      </w:r>
    </w:p>
    <w:p w14:paraId="11CD8D6C" w14:textId="77777777" w:rsidR="00590A61" w:rsidRPr="00AB3524" w:rsidRDefault="00590A61" w:rsidP="00460C69">
      <w:r w:rsidRPr="00AB3524">
        <w:t xml:space="preserve">V. The </w:t>
      </w:r>
      <w:r w:rsidRPr="00AB3524">
        <w:rPr>
          <w:b/>
          <w:i/>
        </w:rPr>
        <w:t>"income elasticity scenario"</w:t>
      </w:r>
      <w:r w:rsidRPr="00AB3524">
        <w:t xml:space="preserve"> shows the effect of income elasticity of demand exceeding unity on the evolution of public spending on health care. The impact of income growth on health care expenditure may incorporate the effects of a number of factors: higher living standards, growing expectations and social pressure to catch-up with the quality and coverage of health care provided to the populations in the neighbouring countries and possibly the development of medical knowledge and technologies. In practical terms, the scenario is identical to the "demographic scenario" except that the income elasticity of demand is equal to 1.1 in the base year and converges linearly to 1 by the end of projection horizon in 2070.</w:t>
      </w:r>
    </w:p>
    <w:p w14:paraId="15B7223B" w14:textId="77777777" w:rsidR="00590A61" w:rsidRPr="00AB3524" w:rsidRDefault="00590A61" w:rsidP="00460C69">
      <w:r w:rsidRPr="00AB3524">
        <w:t>VI. The "</w:t>
      </w:r>
      <w:r w:rsidRPr="00AB3524">
        <w:rPr>
          <w:b/>
          <w:i/>
        </w:rPr>
        <w:t>EU28 cost convergence scenario</w:t>
      </w:r>
      <w:r w:rsidRPr="00AB3524">
        <w:t xml:space="preserve">" is meant to capture the possible effect of a convergence in real living standards (which emerges from the macroeconomic assumptions) on health care spending. The "cost convergence scenario" considers the convergence of all EU28 countries that are below the EU28 average, by comparing the age-gender specific per capita public expenditure relative to GDP per capita (i.e. age-gender specific per capita  public expenditure as a share of GDP per capita) to the age-gender specific EU28 relative average. This means that the country-specific age-gender per capita public expenditure profiles as a share of GDP per capita which are below the corresponding EU28 profiles in the base year (i.e. 2016) are assumed to increase </w:t>
      </w:r>
      <w:r w:rsidRPr="00AB3524">
        <w:lastRenderedPageBreak/>
        <w:t>to the EU28 relative average profile up to 2070. The convergence speeds for all the countries below the EU28 age-gender relative averages differ, as they take into account the differences in the initial situation, i.e. the extent of the initial gap between country-specific and EU28 relative average profile.</w:t>
      </w:r>
    </w:p>
    <w:p w14:paraId="2DA8FB8A" w14:textId="77777777" w:rsidR="00590A61" w:rsidRPr="00AB3524" w:rsidRDefault="00590A61" w:rsidP="00460C69">
      <w:r w:rsidRPr="00AB3524">
        <w:t xml:space="preserve">VII. The </w:t>
      </w:r>
      <w:r w:rsidRPr="00AB3524">
        <w:rPr>
          <w:b/>
          <w:i/>
        </w:rPr>
        <w:t>"labour intensity scenario"</w:t>
      </w:r>
      <w:r w:rsidRPr="00AB3524">
        <w:t xml:space="preserve"> is an attempt to estimate the evolution in health care expenditure under the assumption that unit costs are driven by changes in labour productivity, rather than growth in the national income, as health care is a highly labour-intensive sector. This assumption implies as well that, contrary to the "demographic scenario", the cost of public provision of health care is supply- rather than demand-driven. This scenario is similar to the "demographic scenario" except that costs are assumed to evolve in line with the evolution of GDP per worker instead of GDP per capita. As wages are projected to grow in line with productivity (generally faster than GDP per capita), this scenario provides an insight into the effects of unit costs in the health care sector being driven mostly by increases in wages and salaries.</w:t>
      </w:r>
    </w:p>
    <w:p w14:paraId="46C6A943" w14:textId="77777777" w:rsidR="00590A61" w:rsidRPr="00AB3524" w:rsidRDefault="00590A61" w:rsidP="00460C69">
      <w:r w:rsidRPr="00AB3524">
        <w:t xml:space="preserve">VIII. </w:t>
      </w:r>
      <w:bookmarkStart w:id="178" w:name="_Toc292201257"/>
      <w:r w:rsidRPr="00AB3524">
        <w:t xml:space="preserve">The </w:t>
      </w:r>
      <w:r w:rsidRPr="00AB3524">
        <w:rPr>
          <w:b/>
          <w:i/>
        </w:rPr>
        <w:t>"sector-specific composite indexation scenario</w:t>
      </w:r>
      <w:bookmarkStart w:id="179" w:name="_Toc292201258"/>
      <w:bookmarkEnd w:id="178"/>
      <w:r w:rsidRPr="00AB3524">
        <w:rPr>
          <w:b/>
          <w:i/>
        </w:rPr>
        <w:t>"</w:t>
      </w:r>
      <w:r w:rsidRPr="00AB3524">
        <w:t xml:space="preserve"> aims at capturing the relative importance and different past trends of most relevant health care expenditure items: hospital care, outpatient care, pharmaceuticals and therapeutic appliances, preventive health care services, governance and administration cost, and capital investment (</w:t>
      </w:r>
      <w:r w:rsidRPr="00AB3524">
        <w:rPr>
          <w:rStyle w:val="Referencafusnote"/>
        </w:rPr>
        <w:footnoteReference w:id="84"/>
      </w:r>
      <w:r w:rsidRPr="00AB3524">
        <w:t xml:space="preserve">). </w:t>
      </w:r>
    </w:p>
    <w:p w14:paraId="4E5837CC" w14:textId="77777777" w:rsidR="00590A61" w:rsidRPr="00AB3524" w:rsidRDefault="00590A61" w:rsidP="00460C69">
      <w:r w:rsidRPr="00AB3524">
        <w:t>Given the special character of the health care sector (high level of government regulation, investment in new technologies, high labour intensity), considering health care sector-specific rather than economy-wide determinants of unit costs is particularly informative. In this scenario, the growth rate of each item is estimated separately, based on past trends, thus creating a sort of composite indexation for "unit cost development" (</w:t>
      </w:r>
      <w:r w:rsidRPr="00AB3524">
        <w:rPr>
          <w:rStyle w:val="Referencafusnote"/>
        </w:rPr>
        <w:footnoteReference w:id="85"/>
      </w:r>
      <w:r w:rsidRPr="00AB3524">
        <w:t>)</w:t>
      </w:r>
      <w:bookmarkEnd w:id="179"/>
      <w:r w:rsidRPr="00AB3524">
        <w:t xml:space="preserve">. As such, their relative </w:t>
      </w:r>
      <w:r w:rsidRPr="00AB3524">
        <w:lastRenderedPageBreak/>
        <w:t>contribution to future changes in health care spending can be traced over time.</w:t>
      </w:r>
    </w:p>
    <w:p w14:paraId="29615963" w14:textId="77777777" w:rsidR="00590A61" w:rsidRPr="00AB3524" w:rsidRDefault="00590A61" w:rsidP="00460C69">
      <w:r w:rsidRPr="00AB3524">
        <w:t xml:space="preserve">IX. The </w:t>
      </w:r>
      <w:r w:rsidRPr="00AB3524">
        <w:rPr>
          <w:i/>
        </w:rPr>
        <w:t>"</w:t>
      </w:r>
      <w:bookmarkStart w:id="180" w:name="OLE_LINK1"/>
      <w:r w:rsidRPr="00AB3524">
        <w:rPr>
          <w:b/>
          <w:i/>
        </w:rPr>
        <w:t>non-demographic determinants scenario</w:t>
      </w:r>
      <w:bookmarkEnd w:id="180"/>
      <w:r w:rsidRPr="00AB3524">
        <w:rPr>
          <w:i/>
        </w:rPr>
        <w:t>"</w:t>
      </w:r>
      <w:r w:rsidRPr="00AB3524">
        <w:t xml:space="preserve"> is an attempt to estimate the impact of non-demographic drivers on health care expenditure, i.e. income, technology, institutional settings. It is also referred to as </w:t>
      </w:r>
      <w:r w:rsidRPr="00AB3524">
        <w:rPr>
          <w:i/>
        </w:rPr>
        <w:t>excess cost growth</w:t>
      </w:r>
      <w:r w:rsidRPr="00AB3524">
        <w:t xml:space="preserve"> (Smith, et al. 2009). Ignoring the effect of non-demographic determinants (</w:t>
      </w:r>
      <w:r w:rsidRPr="00AB3524">
        <w:rPr>
          <w:rStyle w:val="Referencafusnote"/>
        </w:rPr>
        <w:footnoteReference w:id="86"/>
      </w:r>
      <w:r w:rsidRPr="00AB3524">
        <w:t>) on health care expenditure would imply making the assumption that past trends of health care expenditure related to these drivers will disappear in the future. This scenario is similar to the "income elasticity scenario" with the two exceptions being that the elasticity of demand is set equal to 1.4 in the base year (rather than 1.1 in the case of the "income elasticity scenario") and that its convergence to 1 by the end of projection horizon in 2070 follows a non-linear path.</w:t>
      </w:r>
    </w:p>
    <w:p w14:paraId="16AF015C" w14:textId="77777777" w:rsidR="00590A61" w:rsidRPr="00AB3524" w:rsidRDefault="00590A61" w:rsidP="00460C69">
      <w:r w:rsidRPr="00AB3524">
        <w:t xml:space="preserve">X. The </w:t>
      </w:r>
      <w:r w:rsidRPr="00AB3524">
        <w:rPr>
          <w:b/>
        </w:rPr>
        <w:t>“</w:t>
      </w:r>
      <w:r w:rsidRPr="00AB3524">
        <w:rPr>
          <w:b/>
          <w:i/>
        </w:rPr>
        <w:t>AWG reference scenario</w:t>
      </w:r>
      <w:r w:rsidRPr="00AB3524">
        <w:rPr>
          <w:b/>
        </w:rPr>
        <w:t>”</w:t>
      </w:r>
      <w:r w:rsidRPr="00AB3524">
        <w:t xml:space="preserve"> is used as the baseline scenario when calculating the overall budgetary impact of ageing. It is the point of reference for comparisons with the 2015 Ageing Report. In this scenario health care expenditures are driven by the assumption that half of the future gains in life expectancy are spent in good health and an income elasticity of health care spending is converging linearly from 1.1 in 2016 to unity in 2070.</w:t>
      </w:r>
    </w:p>
    <w:p w14:paraId="52D3EA75" w14:textId="77777777" w:rsidR="00590A61" w:rsidRPr="00AB3524" w:rsidRDefault="00590A61" w:rsidP="00460C69">
      <w:r w:rsidRPr="00AB3524">
        <w:t>XI. The "</w:t>
      </w:r>
      <w:r w:rsidRPr="00AB3524">
        <w:rPr>
          <w:b/>
          <w:i/>
        </w:rPr>
        <w:t>AWG risk scenario</w:t>
      </w:r>
      <w:r w:rsidRPr="00AB3524">
        <w:t>", as the "AWG reference scenario", keeps the assumption that half of the future gains in life expectancy are spent in good health but attempts to take into account technological changes and institutional mechanisms which have stimulated expenditure growth in recent decades, following an approach similar to the "non-demographic determinants scenario". A proxy for the non-demographic costs with estimated EU average elasticity of 1.4, based on Commission research (</w:t>
      </w:r>
      <w:r w:rsidRPr="00AB3524">
        <w:rPr>
          <w:rStyle w:val="Referencafusnote"/>
        </w:rPr>
        <w:footnoteReference w:id="87"/>
      </w:r>
      <w:r w:rsidRPr="00AB3524">
        <w:t xml:space="preserve">) and endorsed by the Ageing Working Group, is used in 2016, which </w:t>
      </w:r>
      <w:r w:rsidRPr="00AB3524">
        <w:lastRenderedPageBreak/>
        <w:t>then converges linearly to 1 until the end of the projection period.</w:t>
      </w:r>
    </w:p>
    <w:p w14:paraId="26D661A6" w14:textId="77777777" w:rsidR="00590A61" w:rsidRPr="00AB3524" w:rsidRDefault="00590A61" w:rsidP="00460C69">
      <w:r w:rsidRPr="00AB3524">
        <w:t xml:space="preserve">XII. </w:t>
      </w:r>
      <w:r w:rsidRPr="00AB3524">
        <w:rPr>
          <w:b/>
          <w:i/>
        </w:rPr>
        <w:t>"Total factor productivity risk scenario"</w:t>
      </w:r>
      <w:r w:rsidRPr="00AB3524">
        <w:t xml:space="preserve"> explores the risk that Total Factor Productivity (TFP) growth may decline in the future below the assumptions of the "AWG reference scenario". This is plausible in light of the trend decline of TFP growth performance over the last decades. This scenario assumes that TFP converges to a growth rate of 0.8 % by 2045 (vs. 1.0 % for the baseline scenario). In both cases, allowance for higher TFP growth for countries with below average GDP per capita is factored in for a period of time, as in previous projection exercises, to reflect the potential that these countries have for a catching-up with the rest.</w:t>
      </w:r>
    </w:p>
    <w:p w14:paraId="096CDA4D" w14:textId="77777777" w:rsidR="00590A61" w:rsidRPr="00AB3524" w:rsidRDefault="00590A61" w:rsidP="00460C69">
      <w:pPr>
        <w:pStyle w:val="NumberedHeading2"/>
        <w:tabs>
          <w:tab w:val="left" w:pos="567"/>
        </w:tabs>
      </w:pPr>
      <w:r w:rsidRPr="00AB3524">
        <w:t>2.3.3.</w:t>
      </w:r>
      <w:r w:rsidRPr="00AB3524">
        <w:tab/>
        <w:t>Country-specific policy reforms</w:t>
      </w:r>
    </w:p>
    <w:p w14:paraId="2FFF69E8" w14:textId="77777777" w:rsidR="00590A61" w:rsidRPr="00AB3524" w:rsidRDefault="00590A61" w:rsidP="00460C69">
      <w:r w:rsidRPr="00AB3524">
        <w:t>In the past years, many countries have undertaken policy reforms in health care. The fiscal impact of some of those reforms is not easy to estimate. However, ten countries estimated the potential budgetary effects on health care spending triggered by some of their legislated health care reforms. In all cases, the impact of reforms was modelled as a percentage change of health care expenditure relative to the base year of projections, upon agreement with the respective Member States.</w:t>
      </w:r>
    </w:p>
    <w:p w14:paraId="748EAA04" w14:textId="77777777" w:rsidR="00590A61" w:rsidRPr="00AB3524" w:rsidRDefault="00590A61" w:rsidP="00460C69">
      <w:r w:rsidRPr="00AB3524">
        <w:t xml:space="preserve">Where possible, reforms have been distinguished by their impact on the expenditure of the different health system sub-sectors, namely: hospitals, outpatient care, pharmaceuticals and therapeutic appliances, preventive care, governance and administration, and capital formation. </w:t>
      </w:r>
    </w:p>
    <w:p w14:paraId="201D5943" w14:textId="77777777" w:rsidR="00590A61" w:rsidRPr="00AB3524" w:rsidRDefault="00590A61" w:rsidP="00460C69">
      <w:r w:rsidRPr="00AB3524">
        <w:t xml:space="preserve">Countries such as Austria and Belgium have legislated a ceiling on health expenditure and/or its future growth. Wage adjustments are legislated in Luxembourg, Poland, and Slovenia. Reforms to improve the overall accessibility of health care services are legislated in the Czech Republic, Estonia, Latvia, and Slovakia (Table </w:t>
      </w:r>
      <w:r w:rsidRPr="00AB3524">
        <w:fldChar w:fldCharType="begin"/>
      </w:r>
      <w:r w:rsidRPr="00AB3524">
        <w:instrText xml:space="preserve"> QUOTE "II.2.2"</w:instrText>
      </w:r>
      <w:r w:rsidRPr="00AB3524">
        <w:fldChar w:fldCharType="begin">
          <w:fldData xml:space="preserve">QwBSAE8AUwBTAFIARQBGAEUAUgBFAE4AQwBFACoAVABBAEIATABFACoAYgBhAGEAYgA3ADIAMgA1
AC0AMgBjAGMAOAAtADQAYQAzAGYALQA4ADcAYgBjAC0ANgBkADAAZABjADAAMQA0ADkAMAA0ADgA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II.2.2</w:t>
      </w:r>
      <w:r w:rsidRPr="00AB3524">
        <w:fldChar w:fldCharType="end"/>
      </w:r>
      <w:r w:rsidRPr="00AB3524">
        <w:t>).</w:t>
      </w:r>
    </w:p>
    <w:tbl>
      <w:tblPr>
        <w:tblW w:w="0" w:type="auto"/>
        <w:tblLayout w:type="fixed"/>
        <w:tblCellMar>
          <w:left w:w="0" w:type="dxa"/>
          <w:right w:w="0" w:type="dxa"/>
        </w:tblCellMar>
        <w:tblLook w:val="0000" w:firstRow="0" w:lastRow="0" w:firstColumn="0" w:lastColumn="0" w:noHBand="0" w:noVBand="0"/>
      </w:tblPr>
      <w:tblGrid>
        <w:gridCol w:w="4110"/>
      </w:tblGrid>
      <w:tr w:rsidR="00590A61" w:rsidRPr="00AB3524" w14:paraId="1B1A2F27" w14:textId="77777777" w:rsidTr="00460C69">
        <w:trPr>
          <w:cantSplit/>
          <w:trHeight w:val="20"/>
        </w:trPr>
        <w:tc>
          <w:tcPr>
            <w:tcW w:w="4110" w:type="dxa"/>
            <w:shd w:val="clear" w:color="auto" w:fill="auto"/>
          </w:tcPr>
          <w:p w14:paraId="20F611EB" w14:textId="77777777" w:rsidR="00590A61" w:rsidRPr="00AB3524" w:rsidRDefault="00590A61" w:rsidP="00460C69">
            <w:pPr>
              <w:pStyle w:val="SlimCell"/>
              <w:keepNext/>
            </w:pPr>
          </w:p>
        </w:tc>
      </w:tr>
      <w:tr w:rsidR="00590A61" w:rsidRPr="00AB3524" w14:paraId="605E1F3F" w14:textId="77777777" w:rsidTr="00460C69">
        <w:trPr>
          <w:cantSplit/>
        </w:trPr>
        <w:tc>
          <w:tcPr>
            <w:tcW w:w="4110" w:type="dxa"/>
            <w:shd w:val="clear" w:color="auto" w:fill="auto"/>
          </w:tcPr>
          <w:p w14:paraId="568FA948" w14:textId="77777777" w:rsidR="00590A61" w:rsidRPr="00AB3524" w:rsidRDefault="00590A61" w:rsidP="00460C69">
            <w:pPr>
              <w:pStyle w:val="TableTitle"/>
              <w:rPr>
                <w:b/>
              </w:rPr>
            </w:pPr>
            <w:r w:rsidRPr="00AB3524">
              <w:t>Table II.2.2:</w:t>
            </w:r>
            <w:r w:rsidRPr="00AB3524">
              <w:rPr>
                <w:b/>
              </w:rPr>
              <w:tab/>
              <w:t>Health care reforms with direct budget impact taken into account in the projections</w:t>
            </w:r>
          </w:p>
        </w:tc>
      </w:tr>
      <w:tr w:rsidR="00590A61" w:rsidRPr="00AB3524" w14:paraId="0D3FB99E" w14:textId="77777777" w:rsidTr="00460C69">
        <w:trPr>
          <w:cantSplit/>
        </w:trPr>
        <w:tc>
          <w:tcPr>
            <w:tcW w:w="4110" w:type="dxa"/>
            <w:shd w:val="clear" w:color="auto" w:fill="auto"/>
          </w:tcPr>
          <w:p w14:paraId="15E1A9E7" w14:textId="77777777" w:rsidR="00590A61" w:rsidRPr="00AB3524" w:rsidRDefault="00590A61" w:rsidP="00460C69">
            <w:pPr>
              <w:pStyle w:val="TableShape"/>
              <w:rPr>
                <w:sz w:val="2"/>
              </w:rPr>
            </w:pPr>
            <w:r w:rsidRPr="00AB3524">
              <w:fldChar w:fldCharType="begin"/>
            </w:r>
            <w:r w:rsidRPr="009F3ED8">
              <w:instrText xml:space="preserve"> TC "</w:instrText>
            </w:r>
            <w:bookmarkStart w:id="181" w:name="_Toc511664547"/>
            <w:r w:rsidRPr="009F3ED8">
              <w:instrText>II.2.2.</w:instrText>
            </w:r>
            <w:r w:rsidRPr="009F3ED8">
              <w:tab/>
              <w:instrText>Health care reforms with direct budget impact taken into account in the projections</w:instrText>
            </w:r>
            <w:bookmarkEnd w:id="181"/>
            <w:r w:rsidRPr="009F3ED8">
              <w:instrText xml:space="preserve">" \ftable \l 5 </w:instrText>
            </w:r>
            <w:r w:rsidRPr="00AB3524">
              <w:fldChar w:fldCharType="end"/>
            </w:r>
            <w:r w:rsidRPr="00AB3524">
              <w:rPr>
                <w:noProof/>
                <w:sz w:val="2"/>
                <w:lang w:val="hr-HR" w:eastAsia="hr-HR"/>
              </w:rPr>
              <w:drawing>
                <wp:inline distT="0" distB="0" distL="0" distR="0" wp14:anchorId="090A047A" wp14:editId="605A7005">
                  <wp:extent cx="2597595" cy="3536142"/>
                  <wp:effectExtent l="0" t="0" r="0" b="7620"/>
                  <wp:docPr id="814" name="Picture 814" descr="&lt;nbr&gt;&lt;GETTEXTFROMWORD&gt;&lt;/nbr&gt;&#10;&lt;title&gt;&lt;GETTEXTFROMWORD&gt;&lt;/title&gt;&#10;&lt;id&gt;baab7225-2cc8-4a3f-87bc-6d0dc0149048&lt;/id&gt;&#10;&lt;srcType&gt;EXCEL&lt;/srcType&gt;&#10;&lt;srcPath&gt;U:\Budgetary projections 2018\Reports\2018 AR\Tables_and_graphs\Part II Chapter 2\&lt;/srcPath&gt;&#10;&lt;srcName&gt;tables &amp; graphs - Part II - Chapter 2 - HC.xlsx&lt;/srcName&gt;&#10;&lt;type&gt;table&lt;/type&gt;&#10; &lt;srcSheet&gt;Table Reforms&lt;/srcSheet&gt;&#10; &lt;srcRange&gt;R2C2:R12C3&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597595" cy="3536142"/>
                          </a:xfrm>
                          <a:prstGeom prst="rect">
                            <a:avLst/>
                          </a:prstGeom>
                          <a:noFill/>
                          <a:ln>
                            <a:noFill/>
                          </a:ln>
                        </pic:spPr>
                      </pic:pic>
                    </a:graphicData>
                  </a:graphic>
                </wp:inline>
              </w:drawing>
            </w:r>
          </w:p>
        </w:tc>
      </w:tr>
      <w:tr w:rsidR="00590A61" w:rsidRPr="00AB3524" w14:paraId="5AB21C79" w14:textId="77777777" w:rsidTr="00460C69">
        <w:trPr>
          <w:cantSplit/>
        </w:trPr>
        <w:tc>
          <w:tcPr>
            <w:tcW w:w="4110" w:type="dxa"/>
            <w:shd w:val="clear" w:color="auto" w:fill="auto"/>
          </w:tcPr>
          <w:p w14:paraId="60C0ACCD" w14:textId="77777777" w:rsidR="00590A61" w:rsidRPr="00AB3524" w:rsidRDefault="00590A61" w:rsidP="00460C69">
            <w:pPr>
              <w:pStyle w:val="TableSource"/>
            </w:pPr>
            <w:r w:rsidRPr="00AB3524">
              <w:rPr>
                <w:b/>
                <w:i/>
              </w:rPr>
              <w:t>Source:</w:t>
            </w:r>
            <w:r w:rsidRPr="00AB3524">
              <w:t xml:space="preserve"> Commission services, EPC.</w:t>
            </w:r>
          </w:p>
        </w:tc>
      </w:tr>
      <w:tr w:rsidR="00590A61" w:rsidRPr="00AB3524" w14:paraId="27DF0706" w14:textId="77777777" w:rsidTr="00460C69">
        <w:trPr>
          <w:cantSplit/>
          <w:trHeight w:val="20"/>
        </w:trPr>
        <w:tc>
          <w:tcPr>
            <w:tcW w:w="4110" w:type="dxa"/>
            <w:shd w:val="clear" w:color="auto" w:fill="auto"/>
            <w:tcMar>
              <w:bottom w:w="240" w:type="dxa"/>
            </w:tcMar>
          </w:tcPr>
          <w:p w14:paraId="7DFB2C4A" w14:textId="77777777" w:rsidR="00590A61" w:rsidRPr="00AB3524" w:rsidRDefault="00590A61" w:rsidP="00460C69">
            <w:pPr>
              <w:pStyle w:val="SlimCell"/>
            </w:pPr>
          </w:p>
        </w:tc>
      </w:tr>
    </w:tbl>
    <w:p w14:paraId="321D39A3" w14:textId="77777777" w:rsidR="00590A61" w:rsidRPr="00AB3524" w:rsidRDefault="00590A61" w:rsidP="00460C69">
      <w:pPr>
        <w:pStyle w:val="NumberedHeading2"/>
        <w:tabs>
          <w:tab w:val="left" w:pos="567"/>
        </w:tabs>
      </w:pPr>
      <w:r w:rsidRPr="00AB3524">
        <w:t>2.3.4.</w:t>
      </w:r>
      <w:r w:rsidRPr="00AB3524">
        <w:tab/>
        <w:t xml:space="preserve">Accounting for institutional setting specificities </w:t>
      </w:r>
    </w:p>
    <w:p w14:paraId="2638EE7E" w14:textId="77777777" w:rsidR="00590A61" w:rsidRPr="00AB3524" w:rsidRDefault="00590A61" w:rsidP="00460C69">
      <w:r w:rsidRPr="00AB3524">
        <w:t>The projections account for some institutional specificities for Germany. In Germany, in 2016 only 87 % of the population was insured by social health insurance (SHI), with the remainder insured by mandatory substitutional private health insurance (PHI) schemes. To account for the existence of a mandatory substitutional PHI, the population projections used in the model are adjusted downwards to equal the number of people insured in SHI in the base year of projections.</w:t>
      </w:r>
    </w:p>
    <w:p w14:paraId="71222E2A" w14:textId="77777777" w:rsidR="00590A61" w:rsidRPr="00AB3524" w:rsidRDefault="00590A61" w:rsidP="00460C69">
      <w:r w:rsidRPr="00AB3524">
        <w:t xml:space="preserve">In addition, similar to the approach applied in the 2015 Ageing Report, it is assumed that given the younger age structure of PHI and the current legislative set-up, which heavily restricts opting out from PHI to SHI, ageing will be more pronounced in PHI than SHI. This implies a reduced burden of ageing within the SHI scheme in future. Furthermore, it is assumed that the share of the privately insured among the total population will increase faster than the share of the insured under the public insurance scheme, adding to the </w:t>
      </w:r>
      <w:r w:rsidRPr="00AB3524">
        <w:lastRenderedPageBreak/>
        <w:t>estimated reduced ageing effect of the population covered by SHI. Together, these assumptions imply a reduction of the population figures to roughly 87 % in 2016 to account only for those covered by SHI (</w:t>
      </w:r>
      <w:r w:rsidRPr="00AB3524">
        <w:rPr>
          <w:rStyle w:val="Referencafusnote"/>
        </w:rPr>
        <w:footnoteReference w:id="88"/>
      </w:r>
      <w:r w:rsidRPr="00AB3524">
        <w:t>), and a further reduction to 86 % by 2070, with a more relatively pronounced decrease in older age groups.</w:t>
      </w:r>
    </w:p>
    <w:p w14:paraId="4751EBA8" w14:textId="77777777" w:rsidR="00590A61" w:rsidRPr="00AB3524" w:rsidRDefault="00590A61" w:rsidP="00460C69">
      <w:pPr>
        <w:pStyle w:val="NumberedHeading1"/>
        <w:tabs>
          <w:tab w:val="left" w:pos="567"/>
        </w:tabs>
      </w:pPr>
      <w:bookmarkStart w:id="182" w:name="_Toc511664438"/>
      <w:r w:rsidRPr="00AB3524">
        <w:t>2.4.</w:t>
      </w:r>
      <w:r w:rsidRPr="00AB3524">
        <w:tab/>
        <w:t>Projection results</w:t>
      </w:r>
      <w:bookmarkEnd w:id="182"/>
    </w:p>
    <w:p w14:paraId="2CCA632D" w14:textId="77777777" w:rsidR="00590A61" w:rsidRPr="00AB3524" w:rsidRDefault="00590A61" w:rsidP="00460C69">
      <w:r w:rsidRPr="00AB3524">
        <w:t>The complexity of health care markets makes expenditure projections a challenging task. The projections presented in this report follow a "what if" approach and results are bound with uncertainty. Projection results are not meant to be spending forecasts, but a useful analytical tool to raise awareness on the possible future trends in public health care spending, the role played by some of the major drivers and their potential impact on long-term sustainability of public finances. Consequently, the projected health care spending levels should be interpreted accordingly. In the following, the projections of the "demographic scenario" are assessed against eight other scenarios with different features. Furthermore, the results of the "AWG reference scenario", used for multilateral budgetary surveillance in the EU, and two more risk scenarios are briefly discussed. Finally, a series of sensitivity tests results of the "AWG reference scenario" are reviewed.</w:t>
      </w:r>
    </w:p>
    <w:p w14:paraId="6B4B7256" w14:textId="77777777" w:rsidR="00590A61" w:rsidRPr="00AB3524" w:rsidRDefault="00590A61" w:rsidP="00460C69">
      <w:pPr>
        <w:pStyle w:val="NumberedHeading2"/>
        <w:tabs>
          <w:tab w:val="left" w:pos="567"/>
        </w:tabs>
      </w:pPr>
      <w:r w:rsidRPr="00AB3524">
        <w:t>2.4.1.</w:t>
      </w:r>
      <w:r w:rsidRPr="00AB3524">
        <w:tab/>
        <w:t>Changes in demography and health status</w:t>
      </w:r>
    </w:p>
    <w:p w14:paraId="486E47E6" w14:textId="77777777" w:rsidR="00590A61" w:rsidRPr="00AB3524" w:rsidRDefault="00590A61" w:rsidP="00460C69">
      <w:r w:rsidRPr="00AB3524">
        <w:t xml:space="preserve">According to the </w:t>
      </w:r>
      <w:r w:rsidRPr="00AB3524">
        <w:rPr>
          <w:i/>
        </w:rPr>
        <w:t>"</w:t>
      </w:r>
      <w:r w:rsidRPr="00AB3524">
        <w:rPr>
          <w:b/>
          <w:i/>
        </w:rPr>
        <w:t>demographic scenario</w:t>
      </w:r>
      <w:r w:rsidRPr="00AB3524">
        <w:rPr>
          <w:i/>
        </w:rPr>
        <w:t>"</w:t>
      </w:r>
      <w:r w:rsidRPr="00AB3524">
        <w:t xml:space="preserve">, public health care expenditure in the EU28 is projected to increase by 1.1 pps. of GDP i.e. from 6.8 % to 7.9 % of GDP from 2016 to 2070. For half of the countries the expenditure increase lies between 1.0 and 1.7 pps. of GDP over the whole projection period. The impact of ageing on health care spending in each country is shown in Table </w:t>
      </w:r>
      <w:r w:rsidRPr="00AB3524">
        <w:fldChar w:fldCharType="begin"/>
      </w:r>
      <w:r w:rsidRPr="00AB3524">
        <w:instrText xml:space="preserve"> QUOTE "II.2.3"</w:instrText>
      </w:r>
      <w:r w:rsidRPr="00AB3524">
        <w:fldChar w:fldCharType="begin">
          <w:fldData xml:space="preserve">QwBSAE8AUwBTAFIARQBGAEUAUgBFAE4AQwBFACoAVABBAEIATABFACoANABjAGQAMQBmADIAZgA1
AC0AMQA4ADUAMgAtADQAMAAxADMALQBhADkANQA0AC0AZQAzAGQANQBlADMAMwA2ADgANABkADIA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II.2.3</w:t>
      </w:r>
      <w:r w:rsidRPr="00AB3524">
        <w:fldChar w:fldCharType="end"/>
      </w:r>
      <w:r w:rsidRPr="00AB3524">
        <w:t xml:space="preserve"> and Graph </w:t>
      </w:r>
      <w:r w:rsidRPr="00AB3524">
        <w:fldChar w:fldCharType="begin"/>
      </w:r>
      <w:r w:rsidRPr="00AB3524">
        <w:instrText xml:space="preserve"> QUOTE "II.2.3"</w:instrText>
      </w:r>
      <w:r w:rsidRPr="00AB3524">
        <w:fldChar w:fldCharType="begin">
          <w:fldData xml:space="preserve">QwBSAE8AUwBTAFIARQBGAEUAUgBFAE4AQwBFACoARwBSAEEAUABIACoAOAA3ADAAYwBiADIAYgA3
AC0ANwAyADYAMQAtADQAOQBiAGEALQBiADAAOAA5AC0ANQA1ADgAZQBiAGEAYwBmADQAMgAwADkA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II.2.3</w:t>
      </w:r>
      <w:r w:rsidRPr="00AB3524">
        <w:fldChar w:fldCharType="end"/>
      </w:r>
      <w:r w:rsidRPr="00AB3524">
        <w:t xml:space="preserve"> where the solid colour bars show expenditure over the GDP in 2016 and the shaded bars above them the expected increase in percentage points up to 2070.</w:t>
      </w:r>
    </w:p>
    <w:p w14:paraId="49C929BB" w14:textId="77777777" w:rsidR="00590A61" w:rsidRPr="00AB3524" w:rsidRDefault="00590A61" w:rsidP="00460C69">
      <w:r w:rsidRPr="00AB3524">
        <w:br w:type="column"/>
      </w:r>
      <w:r w:rsidRPr="00AB3524">
        <w:lastRenderedPageBreak/>
        <w:fldChar w:fldCharType="begin"/>
      </w:r>
      <w:r w:rsidRPr="009F3ED8">
        <w:instrText xml:space="preserve"> TC "</w:instrText>
      </w:r>
      <w:bookmarkStart w:id="183" w:name="_Toc511664683"/>
      <w:r w:rsidRPr="009F3ED8">
        <w:instrText>II.2.3.</w:instrText>
      </w:r>
      <w:r w:rsidRPr="009F3ED8">
        <w:tab/>
        <w:instrText>Projected increase in public expenditure on health care due to demographic change over 2016-2070, as % of GDP</w:instrText>
      </w:r>
      <w:bookmarkEnd w:id="183"/>
      <w:r w:rsidRPr="009F3ED8">
        <w:instrText xml:space="preserve">" \fgraph \l 5 </w:instrText>
      </w:r>
      <w:r w:rsidRPr="00AB3524">
        <w:fldChar w:fldCharType="end"/>
      </w:r>
    </w:p>
    <w:p w14:paraId="4552C958" w14:textId="77777777" w:rsidR="00590A61" w:rsidRPr="00AB3524" w:rsidRDefault="00590A61" w:rsidP="00460C69"/>
    <w:p w14:paraId="140309B7" w14:textId="77777777" w:rsidR="00590A61" w:rsidRPr="00AB3524" w:rsidRDefault="00590A61" w:rsidP="00460C69"/>
    <w:p w14:paraId="539875AA" w14:textId="77777777" w:rsidR="00590A61" w:rsidRPr="00AB3524" w:rsidRDefault="00590A61" w:rsidP="00460C69"/>
    <w:p w14:paraId="1AE6DFD7" w14:textId="77777777" w:rsidR="00590A61" w:rsidRPr="00AB3524" w:rsidRDefault="00590A61" w:rsidP="00460C69"/>
    <w:p w14:paraId="2625EFDB" w14:textId="77777777" w:rsidR="00590A61" w:rsidRPr="00AB3524" w:rsidRDefault="00590A61" w:rsidP="00460C69"/>
    <w:p w14:paraId="186F799B" w14:textId="77777777" w:rsidR="00590A61" w:rsidRPr="00AB3524" w:rsidRDefault="00590A61" w:rsidP="00460C69"/>
    <w:p w14:paraId="0798E902" w14:textId="77777777" w:rsidR="00590A61" w:rsidRPr="00AB3524" w:rsidRDefault="00590A61" w:rsidP="00460C69"/>
    <w:p w14:paraId="102F9FF6" w14:textId="77777777" w:rsidR="00590A61" w:rsidRPr="00AB3524" w:rsidRDefault="00590A61" w:rsidP="00460C69"/>
    <w:p w14:paraId="0E18569E" w14:textId="77777777" w:rsidR="00590A61" w:rsidRPr="00AB3524" w:rsidRDefault="00590A61" w:rsidP="00460C69"/>
    <w:p w14:paraId="56BFB25B" w14:textId="77777777" w:rsidR="00590A61" w:rsidRPr="00AB3524" w:rsidRDefault="00590A61" w:rsidP="00460C69"/>
    <w:p w14:paraId="132A276D" w14:textId="77777777" w:rsidR="00590A61" w:rsidRPr="00AB3524" w:rsidRDefault="00590A61" w:rsidP="00460C69"/>
    <w:p w14:paraId="53373652" w14:textId="77777777" w:rsidR="00590A61" w:rsidRPr="00AB3524" w:rsidRDefault="00590A61" w:rsidP="00460C69"/>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590A61" w:rsidRPr="00AB3524" w14:paraId="130BDF84" w14:textId="77777777" w:rsidTr="00460C69">
        <w:trPr>
          <w:cantSplit/>
        </w:trPr>
        <w:tc>
          <w:tcPr>
            <w:tcW w:w="8505" w:type="dxa"/>
            <w:shd w:val="clear" w:color="auto" w:fill="auto"/>
          </w:tcPr>
          <w:p w14:paraId="082BCAB3" w14:textId="77777777" w:rsidR="00590A61" w:rsidRPr="00AB3524" w:rsidRDefault="00590A61" w:rsidP="00460C69">
            <w:pPr>
              <w:pStyle w:val="GraphTitle"/>
              <w:rPr>
                <w:b/>
              </w:rPr>
            </w:pPr>
            <w:r w:rsidRPr="00AB3524">
              <w:t>Graph II.2.3:</w:t>
            </w:r>
            <w:r w:rsidRPr="00AB3524">
              <w:rPr>
                <w:b/>
              </w:rPr>
              <w:tab/>
              <w:t>Projected increase in public expenditure on health care due to demographic change over 2016-2070, as % of GDP</w:t>
            </w:r>
          </w:p>
        </w:tc>
      </w:tr>
      <w:tr w:rsidR="00590A61" w:rsidRPr="00AB3524" w14:paraId="6112B447" w14:textId="77777777" w:rsidTr="00460C69">
        <w:trPr>
          <w:cantSplit/>
        </w:trPr>
        <w:tc>
          <w:tcPr>
            <w:tcW w:w="8505" w:type="dxa"/>
            <w:shd w:val="clear" w:color="auto" w:fill="auto"/>
          </w:tcPr>
          <w:p w14:paraId="498A7E0E" w14:textId="77777777" w:rsidR="00590A61" w:rsidRPr="00AB3524" w:rsidRDefault="00590A61" w:rsidP="00460C69">
            <w:pPr>
              <w:pStyle w:val="GraphShape"/>
              <w:rPr>
                <w:sz w:val="2"/>
              </w:rPr>
            </w:pPr>
            <w:r w:rsidRPr="00AB3524">
              <w:rPr>
                <w:noProof/>
                <w:sz w:val="2"/>
                <w:lang w:val="hr-HR" w:eastAsia="hr-HR"/>
              </w:rPr>
              <w:drawing>
                <wp:inline distT="0" distB="0" distL="0" distR="0" wp14:anchorId="08885666" wp14:editId="71672DB7">
                  <wp:extent cx="5400929" cy="3533941"/>
                  <wp:effectExtent l="0" t="0" r="9525" b="9525"/>
                  <wp:docPr id="815" name="Picture 815" descr="&lt;nbr&gt;&lt;GETTEXTFROMWORD&gt;&lt;/nbr&gt;&#10;&lt;title&gt;&lt;GETTEXTFROMWORD&gt;&lt;/title&gt;&#10;&lt;id&gt;870cb2b7-7261-49ba-b089-558ebacf4209&lt;/id&gt;&#10;&lt;srcType&gt;EXCEL&lt;/srcType&gt;&#10;&lt;srcPath&gt;U:\Budgetary projections 2018\Reports\2018 AR\Tables_and_graphs\Part II Chapter 2\&lt;/srcPath&gt;&#10;&lt;srcName&gt;tables &amp; graphs - Part II - Chapter 2 - HC.xlsx&lt;/srcName&gt;&#10;&lt;type&gt;graph&lt;/type&gt;&#10; &lt;srcSheet&gt;Graph 2.3 DEMO results&lt;/srcSheet&gt;&#10; &lt;srcChartTitle&gt;Chart 1&lt;/srcChartTitl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400929" cy="3533941"/>
                          </a:xfrm>
                          <a:prstGeom prst="rect">
                            <a:avLst/>
                          </a:prstGeom>
                          <a:noFill/>
                          <a:ln>
                            <a:noFill/>
                          </a:ln>
                        </pic:spPr>
                      </pic:pic>
                    </a:graphicData>
                  </a:graphic>
                </wp:inline>
              </w:drawing>
            </w:r>
          </w:p>
        </w:tc>
      </w:tr>
      <w:tr w:rsidR="00590A61" w:rsidRPr="00AB3524" w14:paraId="16DF93A9" w14:textId="77777777" w:rsidTr="00460C69">
        <w:trPr>
          <w:cantSplit/>
        </w:trPr>
        <w:tc>
          <w:tcPr>
            <w:tcW w:w="8505" w:type="dxa"/>
            <w:shd w:val="clear" w:color="auto" w:fill="auto"/>
          </w:tcPr>
          <w:p w14:paraId="259AF5CA" w14:textId="77777777" w:rsidR="00590A61" w:rsidRDefault="00590A61" w:rsidP="00460C69">
            <w:pPr>
              <w:pStyle w:val="GraphFootnote"/>
              <w:keepNext/>
            </w:pPr>
            <w:r>
              <w:t>Notes: The EU28, EU15 and NMS averages in all result tables are weighted according to GDP. The level of expenditure in 2016 is the first year of projected expenditure based on latest available data. Health care expenditure exclude long-term nursing care.</w:t>
            </w:r>
          </w:p>
          <w:p w14:paraId="44D412BC" w14:textId="77777777" w:rsidR="00590A61" w:rsidRPr="00AB3524" w:rsidRDefault="00590A61" w:rsidP="00460C69">
            <w:pPr>
              <w:pStyle w:val="GraphSource"/>
              <w:keepNext/>
            </w:pPr>
            <w:r w:rsidRPr="00AB3524">
              <w:rPr>
                <w:b/>
                <w:i/>
              </w:rPr>
              <w:t>Source:</w:t>
            </w:r>
            <w:r w:rsidRPr="00AB3524">
              <w:t xml:space="preserve"> Commission services, EPC.</w:t>
            </w:r>
          </w:p>
        </w:tc>
      </w:tr>
    </w:tbl>
    <w:p w14:paraId="1A307A50" w14:textId="77777777" w:rsidR="00590A61" w:rsidRPr="00AB3524" w:rsidRDefault="00590A61" w:rsidP="00460C69">
      <w:pPr>
        <w:pStyle w:val="MultipageDelimiter"/>
      </w:pPr>
    </w:p>
    <w:tbl>
      <w:tblPr>
        <w:tblW w:w="0" w:type="auto"/>
        <w:tblLayout w:type="fixed"/>
        <w:tblCellMar>
          <w:left w:w="0" w:type="dxa"/>
          <w:right w:w="0" w:type="dxa"/>
        </w:tblCellMar>
        <w:tblLook w:val="0000" w:firstRow="0" w:lastRow="0" w:firstColumn="0" w:lastColumn="0" w:noHBand="0" w:noVBand="0"/>
      </w:tblPr>
      <w:tblGrid>
        <w:gridCol w:w="4110"/>
      </w:tblGrid>
      <w:tr w:rsidR="00590A61" w:rsidRPr="00AB3524" w14:paraId="7D021DCF" w14:textId="77777777" w:rsidTr="00460C69">
        <w:trPr>
          <w:cantSplit/>
          <w:trHeight w:val="20"/>
        </w:trPr>
        <w:tc>
          <w:tcPr>
            <w:tcW w:w="4110" w:type="dxa"/>
            <w:shd w:val="clear" w:color="auto" w:fill="auto"/>
          </w:tcPr>
          <w:p w14:paraId="50D10037" w14:textId="77777777" w:rsidR="00590A61" w:rsidRPr="00AB3524" w:rsidRDefault="00590A61" w:rsidP="00460C69">
            <w:pPr>
              <w:pStyle w:val="SlimCell"/>
              <w:keepNext/>
            </w:pPr>
          </w:p>
        </w:tc>
      </w:tr>
      <w:tr w:rsidR="00590A61" w:rsidRPr="00AB3524" w14:paraId="5DBE6228" w14:textId="77777777" w:rsidTr="00460C69">
        <w:trPr>
          <w:cantSplit/>
        </w:trPr>
        <w:tc>
          <w:tcPr>
            <w:tcW w:w="4110" w:type="dxa"/>
            <w:shd w:val="clear" w:color="auto" w:fill="auto"/>
          </w:tcPr>
          <w:p w14:paraId="553E9A9D" w14:textId="77777777" w:rsidR="00590A61" w:rsidRPr="00AB3524" w:rsidRDefault="00590A61" w:rsidP="00460C69">
            <w:pPr>
              <w:pStyle w:val="TableTitle"/>
              <w:rPr>
                <w:b/>
              </w:rPr>
            </w:pPr>
            <w:r w:rsidRPr="00AB3524">
              <w:t>Table II.2.3:</w:t>
            </w:r>
            <w:r w:rsidRPr="00AB3524">
              <w:rPr>
                <w:b/>
              </w:rPr>
              <w:tab/>
              <w:t>Demographic scenario - projected increase in public expenditure on health care over 2016-2070, as % of GDP</w:t>
            </w:r>
          </w:p>
        </w:tc>
      </w:tr>
      <w:tr w:rsidR="00590A61" w:rsidRPr="00AB3524" w14:paraId="08AF6073" w14:textId="77777777" w:rsidTr="00460C69">
        <w:trPr>
          <w:cantSplit/>
        </w:trPr>
        <w:tc>
          <w:tcPr>
            <w:tcW w:w="4110" w:type="dxa"/>
            <w:shd w:val="clear" w:color="auto" w:fill="auto"/>
          </w:tcPr>
          <w:p w14:paraId="6BC892A9" w14:textId="77777777" w:rsidR="00590A61" w:rsidRPr="00AB3524" w:rsidRDefault="00590A61" w:rsidP="00460C69">
            <w:pPr>
              <w:pStyle w:val="TableShape"/>
              <w:rPr>
                <w:sz w:val="2"/>
              </w:rPr>
            </w:pPr>
            <w:r w:rsidRPr="00AB3524">
              <w:fldChar w:fldCharType="begin"/>
            </w:r>
            <w:r w:rsidRPr="009F3ED8">
              <w:instrText xml:space="preserve"> TC "</w:instrText>
            </w:r>
            <w:bookmarkStart w:id="184" w:name="_Toc511664548"/>
            <w:r w:rsidRPr="009F3ED8">
              <w:instrText>II.2.3.</w:instrText>
            </w:r>
            <w:r w:rsidRPr="009F3ED8">
              <w:tab/>
              <w:instrText>Demographic scenario - projected increase in public expenditure on health care over 2016-2070, as % of GDP</w:instrText>
            </w:r>
            <w:bookmarkEnd w:id="184"/>
            <w:r w:rsidRPr="009F3ED8">
              <w:instrText xml:space="preserve">" \ftable \l 5 </w:instrText>
            </w:r>
            <w:r w:rsidRPr="00AB3524">
              <w:fldChar w:fldCharType="end"/>
            </w:r>
            <w:r w:rsidRPr="00AB3524">
              <w:rPr>
                <w:noProof/>
                <w:sz w:val="2"/>
                <w:lang w:val="hr-HR" w:eastAsia="hr-HR"/>
              </w:rPr>
              <w:drawing>
                <wp:inline distT="0" distB="0" distL="0" distR="0" wp14:anchorId="1E51BB32" wp14:editId="40872E6D">
                  <wp:extent cx="2597595" cy="4152361"/>
                  <wp:effectExtent l="0" t="0" r="0" b="635"/>
                  <wp:docPr id="816" name="Picture 816" descr="&lt;nbr&gt;&lt;GETTEXTFROMWORD&gt;&lt;/nbr&gt;&#10;&lt;title&gt;&lt;GETTEXTFROMWORD&gt;&lt;/title&gt;&#10;&lt;id&gt;4cd1f2f5-1852-4013-a954-e3d5e33684d2&lt;/id&gt;&#10;&lt;srcType&gt;EXCEL&lt;/srcType&gt;&#10;&lt;srcPath&gt;U:\Budgetary projections 2018\Reports\2018 AR\Tables_and_graphs\Part II Chapter 2\&lt;/srcPath&gt;&#10;&lt;srcName&gt;tables &amp; graphs - Part II - Chapter 2 - HC.xlsx&lt;/srcName&gt;&#10;&lt;type&gt;table&lt;/type&gt;&#10; &lt;srcSheet&gt;demo&lt;/srcSheet&gt;&#10; &lt;srcRange&gt;R2C2:R40C6&lt;/srcRang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597595" cy="4152361"/>
                          </a:xfrm>
                          <a:prstGeom prst="rect">
                            <a:avLst/>
                          </a:prstGeom>
                          <a:noFill/>
                          <a:ln>
                            <a:noFill/>
                          </a:ln>
                        </pic:spPr>
                      </pic:pic>
                    </a:graphicData>
                  </a:graphic>
                </wp:inline>
              </w:drawing>
            </w:r>
          </w:p>
        </w:tc>
      </w:tr>
      <w:tr w:rsidR="00590A61" w:rsidRPr="00AB3524" w14:paraId="3F6EE92F" w14:textId="77777777" w:rsidTr="00460C69">
        <w:trPr>
          <w:cantSplit/>
        </w:trPr>
        <w:tc>
          <w:tcPr>
            <w:tcW w:w="4110" w:type="dxa"/>
            <w:shd w:val="clear" w:color="auto" w:fill="auto"/>
          </w:tcPr>
          <w:p w14:paraId="4B13C36A" w14:textId="77777777" w:rsidR="00590A61" w:rsidRDefault="00590A61" w:rsidP="00460C69">
            <w:pPr>
              <w:pStyle w:val="TableFootnote"/>
            </w:pPr>
            <w:r>
              <w:t>Notes: The EU28 (EU*), EA and EU27 averages in all result tables are weighted according to GDP. The level of expenditure in 2016 is the first year of projected expenditure based on latest available data. Health care expenditure excludes long-term nursing care. EU* s is the non-weighted EU average.</w:t>
            </w:r>
          </w:p>
          <w:p w14:paraId="503C96B8" w14:textId="77777777" w:rsidR="00590A61" w:rsidRPr="00AB3524" w:rsidRDefault="00590A61" w:rsidP="00460C69">
            <w:pPr>
              <w:pStyle w:val="TableSource"/>
            </w:pPr>
            <w:r w:rsidRPr="00AB3524">
              <w:rPr>
                <w:b/>
                <w:i/>
              </w:rPr>
              <w:t>Source:</w:t>
            </w:r>
            <w:r w:rsidRPr="00AB3524">
              <w:t xml:space="preserve"> Commission services, EPC.</w:t>
            </w:r>
          </w:p>
        </w:tc>
      </w:tr>
      <w:tr w:rsidR="00590A61" w:rsidRPr="00AB3524" w14:paraId="6D3EBD76" w14:textId="77777777" w:rsidTr="00460C69">
        <w:trPr>
          <w:cantSplit/>
          <w:trHeight w:val="20"/>
        </w:trPr>
        <w:tc>
          <w:tcPr>
            <w:tcW w:w="4110" w:type="dxa"/>
            <w:shd w:val="clear" w:color="auto" w:fill="auto"/>
            <w:tcMar>
              <w:bottom w:w="240" w:type="dxa"/>
            </w:tcMar>
          </w:tcPr>
          <w:p w14:paraId="1CF48FD6" w14:textId="77777777" w:rsidR="00590A61" w:rsidRPr="00AB3524" w:rsidRDefault="00590A61" w:rsidP="00460C69">
            <w:pPr>
              <w:pStyle w:val="SlimCell"/>
            </w:pPr>
          </w:p>
        </w:tc>
      </w:tr>
    </w:tbl>
    <w:p w14:paraId="1AF744F7" w14:textId="77777777" w:rsidR="00590A61" w:rsidRPr="00AB3524" w:rsidRDefault="00590A61" w:rsidP="00460C69">
      <w:r w:rsidRPr="00AB3524">
        <w:t xml:space="preserve">Projections reflecting only demographic changes may turn out to be either optimistic or pessimistic, depending on whether living longer will go along with increasing or decreasing morbidity. The </w:t>
      </w:r>
      <w:r w:rsidRPr="00AB3524">
        <w:rPr>
          <w:i/>
        </w:rPr>
        <w:t>"</w:t>
      </w:r>
      <w:r w:rsidRPr="00AB3524">
        <w:rPr>
          <w:b/>
          <w:i/>
        </w:rPr>
        <w:t>high life expectancy scenario</w:t>
      </w:r>
      <w:r w:rsidRPr="00AB3524">
        <w:rPr>
          <w:i/>
        </w:rPr>
        <w:t>"</w:t>
      </w:r>
      <w:r w:rsidRPr="00AB3524">
        <w:t xml:space="preserve"> provides a sensitivity test to assess the potential implication of future gains in life expectancy higher than those assumed in the population projections (Eurostat 2015-based population projections). It provides an estimate of the budgetary impact of two extra years of life under the (pessimistic) view that these additional years are associated with two extra years in "bad health" (along the line of the </w:t>
      </w:r>
      <w:r w:rsidRPr="00AB3524">
        <w:rPr>
          <w:i/>
        </w:rPr>
        <w:t>morbidity expansion</w:t>
      </w:r>
      <w:r w:rsidRPr="00AB3524">
        <w:t xml:space="preserve"> hypothesis). Under this assumption, two extra years of life-expectancy lead to an increase of 0.2 </w:t>
      </w:r>
      <w:r w:rsidRPr="00AB3524">
        <w:lastRenderedPageBreak/>
        <w:t xml:space="preserve">pps. of GDP relative to the EU28 average of the “demographic scenario” (Table </w:t>
      </w:r>
      <w:r w:rsidRPr="00AB3524">
        <w:fldChar w:fldCharType="begin"/>
      </w:r>
      <w:r w:rsidRPr="00AB3524">
        <w:instrText xml:space="preserve"> QUOTE "II.2.4"</w:instrText>
      </w:r>
      <w:r w:rsidRPr="00AB3524">
        <w:fldChar w:fldCharType="begin">
          <w:fldData xml:space="preserve">QwBSAE8AUwBTAFIARQBGAEUAUgBFAE4AQwBFACoAVABBAEIATABFACoAYwAyADgAYwBiAGMAZgA0
AC0ANQBkAGIAZgAtADQAMgAwADUALQBiAGYAYQBlAC0AOABmAGIANQBkADgAMwBkADYANwA2ADAA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II.2.4</w:t>
      </w:r>
      <w:r w:rsidRPr="00AB3524">
        <w:fldChar w:fldCharType="end"/>
      </w:r>
      <w:r w:rsidRPr="00AB3524">
        <w:t>).</w:t>
      </w:r>
    </w:p>
    <w:tbl>
      <w:tblPr>
        <w:tblW w:w="0" w:type="auto"/>
        <w:tblLayout w:type="fixed"/>
        <w:tblCellMar>
          <w:left w:w="0" w:type="dxa"/>
          <w:right w:w="0" w:type="dxa"/>
        </w:tblCellMar>
        <w:tblLook w:val="0000" w:firstRow="0" w:lastRow="0" w:firstColumn="0" w:lastColumn="0" w:noHBand="0" w:noVBand="0"/>
      </w:tblPr>
      <w:tblGrid>
        <w:gridCol w:w="4110"/>
      </w:tblGrid>
      <w:tr w:rsidR="00590A61" w:rsidRPr="00AB3524" w14:paraId="555882E3" w14:textId="77777777" w:rsidTr="00460C69">
        <w:trPr>
          <w:cantSplit/>
          <w:trHeight w:val="20"/>
        </w:trPr>
        <w:tc>
          <w:tcPr>
            <w:tcW w:w="4110" w:type="dxa"/>
            <w:shd w:val="clear" w:color="auto" w:fill="auto"/>
          </w:tcPr>
          <w:p w14:paraId="1B1D7D31" w14:textId="77777777" w:rsidR="00590A61" w:rsidRPr="00AB3524" w:rsidRDefault="00590A61" w:rsidP="00460C69">
            <w:pPr>
              <w:pStyle w:val="SlimCell"/>
              <w:keepNext/>
            </w:pPr>
          </w:p>
        </w:tc>
      </w:tr>
      <w:tr w:rsidR="00590A61" w:rsidRPr="00AB3524" w14:paraId="49BBEC4D" w14:textId="77777777" w:rsidTr="00460C69">
        <w:trPr>
          <w:cantSplit/>
        </w:trPr>
        <w:tc>
          <w:tcPr>
            <w:tcW w:w="4110" w:type="dxa"/>
            <w:shd w:val="clear" w:color="auto" w:fill="auto"/>
          </w:tcPr>
          <w:p w14:paraId="3FA2203F" w14:textId="77777777" w:rsidR="00590A61" w:rsidRPr="00AB3524" w:rsidRDefault="00590A61" w:rsidP="00460C69">
            <w:pPr>
              <w:pStyle w:val="TableTitle"/>
              <w:rPr>
                <w:b/>
              </w:rPr>
            </w:pPr>
            <w:r w:rsidRPr="00AB3524">
              <w:t>Table II.2.4:</w:t>
            </w:r>
            <w:r w:rsidRPr="00AB3524">
              <w:rPr>
                <w:b/>
              </w:rPr>
              <w:tab/>
              <w:t>High life expectancy scenario - projected increase in public expenditure on health care over 2016-2070, as % of GDP.</w:t>
            </w:r>
          </w:p>
        </w:tc>
      </w:tr>
      <w:tr w:rsidR="00590A61" w:rsidRPr="00AB3524" w14:paraId="4537DA9E" w14:textId="77777777" w:rsidTr="00460C69">
        <w:trPr>
          <w:cantSplit/>
        </w:trPr>
        <w:tc>
          <w:tcPr>
            <w:tcW w:w="4110" w:type="dxa"/>
            <w:shd w:val="clear" w:color="auto" w:fill="auto"/>
          </w:tcPr>
          <w:p w14:paraId="49651087" w14:textId="77777777" w:rsidR="00590A61" w:rsidRPr="00AB3524" w:rsidRDefault="00590A61" w:rsidP="00460C69">
            <w:pPr>
              <w:pStyle w:val="TableShape"/>
              <w:rPr>
                <w:sz w:val="2"/>
              </w:rPr>
            </w:pPr>
            <w:r w:rsidRPr="00AB3524">
              <w:fldChar w:fldCharType="begin"/>
            </w:r>
            <w:r w:rsidRPr="009F3ED8">
              <w:instrText xml:space="preserve"> TC "</w:instrText>
            </w:r>
            <w:bookmarkStart w:id="185" w:name="_Toc511664549"/>
            <w:r w:rsidRPr="009F3ED8">
              <w:instrText>II.2.4.</w:instrText>
            </w:r>
            <w:r w:rsidRPr="009F3ED8">
              <w:tab/>
              <w:instrText>High life expectancy scenario - projected increase in public expenditure on health care over 2016-2070, as % of GDP.</w:instrText>
            </w:r>
            <w:bookmarkEnd w:id="185"/>
            <w:r w:rsidRPr="009F3ED8">
              <w:instrText xml:space="preserve">" \ftable \l 5 </w:instrText>
            </w:r>
            <w:r w:rsidRPr="00AB3524">
              <w:fldChar w:fldCharType="end"/>
            </w:r>
            <w:r w:rsidRPr="00AB3524">
              <w:rPr>
                <w:noProof/>
                <w:sz w:val="2"/>
                <w:lang w:val="hr-HR" w:eastAsia="hr-HR"/>
              </w:rPr>
              <w:drawing>
                <wp:inline distT="0" distB="0" distL="0" distR="0" wp14:anchorId="1D0CED75" wp14:editId="13FE5D86">
                  <wp:extent cx="2597595" cy="4152361"/>
                  <wp:effectExtent l="0" t="0" r="0" b="635"/>
                  <wp:docPr id="830" name="Picture 830" descr="&lt;nbr&gt;&lt;GETTEXTFROMWORD&gt;&lt;/nbr&gt;&#10;&lt;title&gt;&lt;GETTEXTFROMWORD&gt;&lt;/title&gt;&#10;&lt;id&gt;c28cbcf4-5dbf-4205-bfae-8fb5d83d6760&lt;/id&gt;&#10;&lt;srcType&gt;EXCEL&lt;/srcType&gt;&#10;&lt;srcPath&gt;U:\Budgetary projections 2018\Reports\2018 AR\Tables_and_graphs\Part II Chapter 2\&lt;/srcPath&gt;&#10;&lt;srcName&gt;tables &amp; graphs - Part II - Chapter 2 - HC.xlsx&lt;/srcName&gt;&#10;&lt;type&gt;table&lt;/type&gt;&#10; &lt;srcSheet&gt;HLE&lt;/srcSheet&gt;&#10; &lt;srcRange&gt;R2C2:R40C6&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597595" cy="4152361"/>
                          </a:xfrm>
                          <a:prstGeom prst="rect">
                            <a:avLst/>
                          </a:prstGeom>
                          <a:noFill/>
                          <a:ln>
                            <a:noFill/>
                          </a:ln>
                        </pic:spPr>
                      </pic:pic>
                    </a:graphicData>
                  </a:graphic>
                </wp:inline>
              </w:drawing>
            </w:r>
          </w:p>
        </w:tc>
      </w:tr>
      <w:tr w:rsidR="00590A61" w:rsidRPr="00AB3524" w14:paraId="1DA1714D" w14:textId="77777777" w:rsidTr="00460C69">
        <w:trPr>
          <w:cantSplit/>
        </w:trPr>
        <w:tc>
          <w:tcPr>
            <w:tcW w:w="4110" w:type="dxa"/>
            <w:shd w:val="clear" w:color="auto" w:fill="auto"/>
          </w:tcPr>
          <w:p w14:paraId="0ACAB57F" w14:textId="77777777" w:rsidR="00590A61" w:rsidRPr="00AB3524" w:rsidRDefault="00590A61" w:rsidP="00460C69">
            <w:pPr>
              <w:pStyle w:val="TableSource"/>
            </w:pPr>
            <w:r w:rsidRPr="00AB3524">
              <w:rPr>
                <w:b/>
                <w:i/>
              </w:rPr>
              <w:t>Source:</w:t>
            </w:r>
            <w:r w:rsidRPr="00AB3524">
              <w:t xml:space="preserve"> Commission services, EPC.</w:t>
            </w:r>
          </w:p>
        </w:tc>
      </w:tr>
      <w:tr w:rsidR="00590A61" w:rsidRPr="00AB3524" w14:paraId="5139D7A7" w14:textId="77777777" w:rsidTr="00460C69">
        <w:trPr>
          <w:cantSplit/>
          <w:trHeight w:val="20"/>
        </w:trPr>
        <w:tc>
          <w:tcPr>
            <w:tcW w:w="4110" w:type="dxa"/>
            <w:shd w:val="clear" w:color="auto" w:fill="auto"/>
            <w:tcMar>
              <w:bottom w:w="240" w:type="dxa"/>
            </w:tcMar>
          </w:tcPr>
          <w:p w14:paraId="5584583C" w14:textId="77777777" w:rsidR="00590A61" w:rsidRPr="00AB3524" w:rsidRDefault="00590A61" w:rsidP="00460C69">
            <w:pPr>
              <w:pStyle w:val="SlimCell"/>
            </w:pPr>
          </w:p>
        </w:tc>
      </w:tr>
    </w:tbl>
    <w:p w14:paraId="3313040D" w14:textId="77777777" w:rsidR="00590A61" w:rsidRPr="00AB3524" w:rsidRDefault="00590A61" w:rsidP="00460C69">
      <w:r w:rsidRPr="00AB3524">
        <w:t xml:space="preserve">In line with the (optimistic) assumptions of the </w:t>
      </w:r>
      <w:r w:rsidRPr="00AB3524">
        <w:rPr>
          <w:i/>
        </w:rPr>
        <w:t>compression of morbidity</w:t>
      </w:r>
      <w:r w:rsidRPr="00AB3524">
        <w:t xml:space="preserve"> hypothesis, the </w:t>
      </w:r>
      <w:r w:rsidRPr="00AB3524">
        <w:rPr>
          <w:b/>
          <w:i/>
        </w:rPr>
        <w:t>"healthy ageing scenario"</w:t>
      </w:r>
      <w:r w:rsidRPr="00AB3524">
        <w:t xml:space="preserve"> assumes that all future gains in life expectancy are spent in good health. Comparison of the "demographic" or "high life expectancy scenario" with the "healthy ageing scenario" illustrates how shifts in the health status of the population can impact on health expenditure.</w:t>
      </w:r>
    </w:p>
    <w:p w14:paraId="7B8F2D27" w14:textId="77777777" w:rsidR="00590A61" w:rsidRPr="00AB3524" w:rsidRDefault="00590A61" w:rsidP="00460C69">
      <w:r w:rsidRPr="00AB3524">
        <w:t xml:space="preserve">As expected, in the "healthy ageing scenario" increases in public expenditure on health care are significantly lower than those obtained in the "demographic scenario". The ageing effect on expenditure growth is reduced to only a fifth compared to the "demographic scenario". For the EU28, a 0.2 pps. of GDP increase is expected over </w:t>
      </w:r>
      <w:r w:rsidRPr="00AB3524">
        <w:lastRenderedPageBreak/>
        <w:t xml:space="preserve">the overall projection period (Table </w:t>
      </w:r>
      <w:r w:rsidRPr="00AB3524">
        <w:fldChar w:fldCharType="begin"/>
      </w:r>
      <w:r w:rsidRPr="00AB3524">
        <w:instrText xml:space="preserve"> QUOTE "II.2.5"</w:instrText>
      </w:r>
      <w:r w:rsidRPr="00AB3524">
        <w:fldChar w:fldCharType="begin">
          <w:fldData xml:space="preserve">QwBSAE8AUwBTAFIARQBGAEUAUgBFAE4AQwBFACoAVABBAEIATABFACoANQA2ADEAMAA0ADEAOAAw
AC0AZgA3AGMAOQAtADQAMAA4ADcALQA5ADEAZQBlAC0ANAA1ADEAOABjAGQAMABiADkAOABkAGEA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II.2.5</w:t>
      </w:r>
      <w:r w:rsidRPr="00AB3524">
        <w:fldChar w:fldCharType="end"/>
      </w:r>
      <w:r w:rsidRPr="00AB3524">
        <w:t>). Most of the Member States can expect an expenditure growth of below 1 pp. of GDP and five countries even experience a decrease. Therefore, improvements in health status may be crucial for keeping expenditure on health care under control in the future.</w:t>
      </w:r>
    </w:p>
    <w:tbl>
      <w:tblPr>
        <w:tblW w:w="0" w:type="auto"/>
        <w:tblLayout w:type="fixed"/>
        <w:tblCellMar>
          <w:left w:w="0" w:type="dxa"/>
          <w:right w:w="0" w:type="dxa"/>
        </w:tblCellMar>
        <w:tblLook w:val="0000" w:firstRow="0" w:lastRow="0" w:firstColumn="0" w:lastColumn="0" w:noHBand="0" w:noVBand="0"/>
      </w:tblPr>
      <w:tblGrid>
        <w:gridCol w:w="4110"/>
      </w:tblGrid>
      <w:tr w:rsidR="00590A61" w:rsidRPr="00AB3524" w14:paraId="062B6C55" w14:textId="77777777" w:rsidTr="00460C69">
        <w:trPr>
          <w:cantSplit/>
          <w:trHeight w:val="20"/>
        </w:trPr>
        <w:tc>
          <w:tcPr>
            <w:tcW w:w="4110" w:type="dxa"/>
            <w:shd w:val="clear" w:color="auto" w:fill="auto"/>
          </w:tcPr>
          <w:p w14:paraId="3EC4277B" w14:textId="77777777" w:rsidR="00590A61" w:rsidRPr="00AB3524" w:rsidRDefault="00590A61" w:rsidP="00460C69">
            <w:pPr>
              <w:pStyle w:val="SlimCell"/>
              <w:keepNext/>
            </w:pPr>
          </w:p>
        </w:tc>
      </w:tr>
      <w:tr w:rsidR="00590A61" w:rsidRPr="00AB3524" w14:paraId="36CE7995" w14:textId="77777777" w:rsidTr="00460C69">
        <w:trPr>
          <w:cantSplit/>
        </w:trPr>
        <w:tc>
          <w:tcPr>
            <w:tcW w:w="4110" w:type="dxa"/>
            <w:shd w:val="clear" w:color="auto" w:fill="auto"/>
          </w:tcPr>
          <w:p w14:paraId="4AE7B9C4" w14:textId="77777777" w:rsidR="00590A61" w:rsidRPr="00AB3524" w:rsidRDefault="00590A61" w:rsidP="00460C69">
            <w:pPr>
              <w:pStyle w:val="TableTitle"/>
              <w:rPr>
                <w:b/>
              </w:rPr>
            </w:pPr>
            <w:r w:rsidRPr="00AB3524">
              <w:t>Table II.2.5:</w:t>
            </w:r>
            <w:r w:rsidRPr="00AB3524">
              <w:rPr>
                <w:b/>
              </w:rPr>
              <w:tab/>
              <w:t>Healthy ageing scenario - projected increase in public expenditure on health care over 2016-2070, as % of GDP</w:t>
            </w:r>
          </w:p>
        </w:tc>
      </w:tr>
      <w:tr w:rsidR="00590A61" w:rsidRPr="00AB3524" w14:paraId="6CB7C5AC" w14:textId="77777777" w:rsidTr="00460C69">
        <w:trPr>
          <w:cantSplit/>
        </w:trPr>
        <w:tc>
          <w:tcPr>
            <w:tcW w:w="4110" w:type="dxa"/>
            <w:shd w:val="clear" w:color="auto" w:fill="auto"/>
          </w:tcPr>
          <w:p w14:paraId="2A1B19C1" w14:textId="77777777" w:rsidR="00590A61" w:rsidRPr="00AB3524" w:rsidRDefault="00590A61" w:rsidP="00460C69">
            <w:pPr>
              <w:pStyle w:val="TableShape"/>
              <w:rPr>
                <w:sz w:val="2"/>
              </w:rPr>
            </w:pPr>
            <w:r w:rsidRPr="00AB3524">
              <w:fldChar w:fldCharType="begin"/>
            </w:r>
            <w:r w:rsidRPr="009F3ED8">
              <w:instrText xml:space="preserve"> TC "</w:instrText>
            </w:r>
            <w:bookmarkStart w:id="186" w:name="_Toc511664550"/>
            <w:r w:rsidRPr="009F3ED8">
              <w:instrText>II.2.5.</w:instrText>
            </w:r>
            <w:r w:rsidRPr="009F3ED8">
              <w:tab/>
              <w:instrText>Healthy ageing scenario - projected increase in public expenditure on health care over 2016-2070, as % of GDP</w:instrText>
            </w:r>
            <w:bookmarkEnd w:id="186"/>
            <w:r w:rsidRPr="009F3ED8">
              <w:instrText xml:space="preserve">" \ftable \l 5 </w:instrText>
            </w:r>
            <w:r w:rsidRPr="00AB3524">
              <w:fldChar w:fldCharType="end"/>
            </w:r>
            <w:r w:rsidRPr="00AB3524">
              <w:rPr>
                <w:noProof/>
                <w:sz w:val="2"/>
                <w:lang w:val="hr-HR" w:eastAsia="hr-HR"/>
              </w:rPr>
              <w:drawing>
                <wp:inline distT="0" distB="0" distL="0" distR="0" wp14:anchorId="2056A41D" wp14:editId="36E2BC7C">
                  <wp:extent cx="2597595" cy="4152361"/>
                  <wp:effectExtent l="0" t="0" r="0" b="635"/>
                  <wp:docPr id="831" name="Picture 831" descr="&lt;nbr&gt;&lt;GETTEXTFROMWORD&gt;&lt;/nbr&gt;&#10;&lt;title&gt;&lt;GETTEXTFROMWORD&gt;&lt;/title&gt;&#10;&lt;id&gt;56104180-f7c9-4087-91ee-4518cd0b98da&lt;/id&gt;&#10;&lt;srcType&gt;EXCEL&lt;/srcType&gt;&#10;&lt;srcPath&gt;U:\Budgetary projections 2018\Reports\2018 AR\Tables_and_graphs\Part II Chapter 2\&lt;/srcPath&gt;&#10;&lt;srcName&gt;tables &amp; graphs - Part II - Chapter 2 - HC.xlsx&lt;/srcName&gt;&#10;&lt;type&gt;table&lt;/type&gt;&#10; &lt;srcSheet&gt;constant&lt;/srcSheet&gt;&#10; &lt;srcRange&gt;R2C2:R40C6&lt;/srcRang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597595" cy="4152361"/>
                          </a:xfrm>
                          <a:prstGeom prst="rect">
                            <a:avLst/>
                          </a:prstGeom>
                          <a:noFill/>
                          <a:ln>
                            <a:noFill/>
                          </a:ln>
                        </pic:spPr>
                      </pic:pic>
                    </a:graphicData>
                  </a:graphic>
                </wp:inline>
              </w:drawing>
            </w:r>
          </w:p>
        </w:tc>
      </w:tr>
      <w:tr w:rsidR="00590A61" w:rsidRPr="00AB3524" w14:paraId="574BE885" w14:textId="77777777" w:rsidTr="00460C69">
        <w:trPr>
          <w:cantSplit/>
        </w:trPr>
        <w:tc>
          <w:tcPr>
            <w:tcW w:w="4110" w:type="dxa"/>
            <w:shd w:val="clear" w:color="auto" w:fill="auto"/>
          </w:tcPr>
          <w:p w14:paraId="6127390A" w14:textId="77777777" w:rsidR="00590A61" w:rsidRDefault="00590A61" w:rsidP="00460C69">
            <w:pPr>
              <w:pStyle w:val="TableFootnote"/>
            </w:pPr>
            <w:r>
              <w:t>Note: The "healthy ageing scenario" is identical with the "constant health scenario" from previous Ageing Reports.</w:t>
            </w:r>
          </w:p>
          <w:p w14:paraId="38C421A7" w14:textId="77777777" w:rsidR="00590A61" w:rsidRPr="00AB3524" w:rsidRDefault="00590A61" w:rsidP="00460C69">
            <w:pPr>
              <w:pStyle w:val="TableSource"/>
            </w:pPr>
            <w:r w:rsidRPr="00AB3524">
              <w:rPr>
                <w:b/>
                <w:i/>
              </w:rPr>
              <w:t>Source:</w:t>
            </w:r>
            <w:r w:rsidRPr="00AB3524">
              <w:t xml:space="preserve"> Commission services, EPC.</w:t>
            </w:r>
          </w:p>
        </w:tc>
      </w:tr>
      <w:tr w:rsidR="00590A61" w:rsidRPr="00AB3524" w14:paraId="035B3FE0" w14:textId="77777777" w:rsidTr="00460C69">
        <w:trPr>
          <w:cantSplit/>
          <w:trHeight w:val="20"/>
        </w:trPr>
        <w:tc>
          <w:tcPr>
            <w:tcW w:w="4110" w:type="dxa"/>
            <w:shd w:val="clear" w:color="auto" w:fill="auto"/>
            <w:tcMar>
              <w:bottom w:w="240" w:type="dxa"/>
            </w:tcMar>
          </w:tcPr>
          <w:p w14:paraId="162422E4" w14:textId="77777777" w:rsidR="00590A61" w:rsidRPr="00AB3524" w:rsidRDefault="00590A61" w:rsidP="00460C69">
            <w:pPr>
              <w:pStyle w:val="SlimCell"/>
            </w:pPr>
          </w:p>
        </w:tc>
      </w:tr>
    </w:tbl>
    <w:p w14:paraId="5EAE2CF2" w14:textId="77777777" w:rsidR="00590A61" w:rsidRPr="00AB3524" w:rsidRDefault="00590A61" w:rsidP="00460C69">
      <w:r w:rsidRPr="00AB3524">
        <w:t xml:space="preserve">The </w:t>
      </w:r>
      <w:r w:rsidRPr="00AB3524">
        <w:rPr>
          <w:i/>
        </w:rPr>
        <w:t>"</w:t>
      </w:r>
      <w:r w:rsidRPr="00AB3524">
        <w:rPr>
          <w:b/>
          <w:i/>
        </w:rPr>
        <w:t>death-related costs scenario</w:t>
      </w:r>
      <w:r w:rsidRPr="00AB3524">
        <w:rPr>
          <w:i/>
        </w:rPr>
        <w:t>"</w:t>
      </w:r>
      <w:r w:rsidRPr="00AB3524">
        <w:t xml:space="preserve"> follows a similar logic to the "healthy ageing scenario": the years spent with ill-health are compressed towards the later period of life. However, a different methodological approach and different features of the data used lead to results varying considerably between the two scenarios. Note that data on </w:t>
      </w:r>
      <w:r w:rsidRPr="00AB3524">
        <w:lastRenderedPageBreak/>
        <w:t>death-related costs was provided only by 17 Member States (</w:t>
      </w:r>
      <w:r w:rsidRPr="00AB3524">
        <w:rPr>
          <w:rStyle w:val="Referencafusnote"/>
        </w:rPr>
        <w:footnoteReference w:id="89"/>
      </w:r>
      <w:r w:rsidRPr="00AB3524">
        <w:t>).</w:t>
      </w:r>
    </w:p>
    <w:p w14:paraId="5AFF1F12" w14:textId="77777777" w:rsidR="00590A61" w:rsidRPr="00AB3524" w:rsidRDefault="00590A61" w:rsidP="00460C69">
      <w:r w:rsidRPr="00AB3524">
        <w:t>Incorporating the concept of death-related costs in the projection methodology leads to a reduction in the projected health care expenditure relative to the "demographic scenario" for most of the countries (Table II.2.6) (</w:t>
      </w:r>
      <w:r w:rsidRPr="00AB3524">
        <w:rPr>
          <w:rStyle w:val="Referencafusnote"/>
        </w:rPr>
        <w:footnoteReference w:id="90"/>
      </w:r>
      <w:r w:rsidRPr="00AB3524">
        <w:t>). The projected increase in public expenditure ranges from 0.4 pps. of GDP for Bulgaria to 1.4 pps. of GDP for Austria and UK.</w:t>
      </w:r>
    </w:p>
    <w:tbl>
      <w:tblPr>
        <w:tblW w:w="0" w:type="auto"/>
        <w:tblLayout w:type="fixed"/>
        <w:tblCellMar>
          <w:left w:w="0" w:type="dxa"/>
          <w:right w:w="0" w:type="dxa"/>
        </w:tblCellMar>
        <w:tblLook w:val="0000" w:firstRow="0" w:lastRow="0" w:firstColumn="0" w:lastColumn="0" w:noHBand="0" w:noVBand="0"/>
      </w:tblPr>
      <w:tblGrid>
        <w:gridCol w:w="4110"/>
      </w:tblGrid>
      <w:tr w:rsidR="00590A61" w:rsidRPr="00AB3524" w14:paraId="2FA9A0A6" w14:textId="77777777" w:rsidTr="00460C69">
        <w:trPr>
          <w:cantSplit/>
          <w:trHeight w:val="20"/>
        </w:trPr>
        <w:tc>
          <w:tcPr>
            <w:tcW w:w="4110" w:type="dxa"/>
            <w:shd w:val="clear" w:color="auto" w:fill="auto"/>
          </w:tcPr>
          <w:p w14:paraId="0857E99B" w14:textId="77777777" w:rsidR="00590A61" w:rsidRPr="00AB3524" w:rsidRDefault="00590A61" w:rsidP="00460C69">
            <w:pPr>
              <w:pStyle w:val="SlimCell"/>
              <w:keepNext/>
            </w:pPr>
          </w:p>
        </w:tc>
      </w:tr>
      <w:tr w:rsidR="00590A61" w:rsidRPr="00AB3524" w14:paraId="1530B777" w14:textId="77777777" w:rsidTr="00460C69">
        <w:trPr>
          <w:cantSplit/>
        </w:trPr>
        <w:tc>
          <w:tcPr>
            <w:tcW w:w="4110" w:type="dxa"/>
            <w:shd w:val="clear" w:color="auto" w:fill="auto"/>
          </w:tcPr>
          <w:p w14:paraId="1984C2C5" w14:textId="77777777" w:rsidR="00590A61" w:rsidRPr="00AB3524" w:rsidRDefault="00590A61" w:rsidP="00460C69">
            <w:pPr>
              <w:pStyle w:val="TableTitle"/>
              <w:rPr>
                <w:b/>
              </w:rPr>
            </w:pPr>
            <w:r w:rsidRPr="00AB3524">
              <w:t>Table II.2.6:</w:t>
            </w:r>
            <w:r w:rsidRPr="00AB3524">
              <w:rPr>
                <w:b/>
              </w:rPr>
              <w:tab/>
              <w:t>Death-related costs scenario - projected increase in public expenditure on health care over 2016-2070, as % of GDP</w:t>
            </w:r>
          </w:p>
        </w:tc>
      </w:tr>
      <w:tr w:rsidR="00590A61" w:rsidRPr="00AB3524" w14:paraId="23AFA710" w14:textId="77777777" w:rsidTr="00460C69">
        <w:trPr>
          <w:cantSplit/>
        </w:trPr>
        <w:tc>
          <w:tcPr>
            <w:tcW w:w="4110" w:type="dxa"/>
            <w:shd w:val="clear" w:color="auto" w:fill="auto"/>
          </w:tcPr>
          <w:p w14:paraId="08FB170B" w14:textId="77777777" w:rsidR="00590A61" w:rsidRPr="00AB3524" w:rsidRDefault="00590A61" w:rsidP="00460C69">
            <w:pPr>
              <w:pStyle w:val="TableShape"/>
              <w:rPr>
                <w:sz w:val="2"/>
              </w:rPr>
            </w:pPr>
            <w:r w:rsidRPr="00AB3524">
              <w:fldChar w:fldCharType="begin"/>
            </w:r>
            <w:r w:rsidRPr="009F3ED8">
              <w:instrText xml:space="preserve"> TC "</w:instrText>
            </w:r>
            <w:bookmarkStart w:id="187" w:name="_Toc511664551"/>
            <w:r w:rsidRPr="009F3ED8">
              <w:instrText>II.2.6.</w:instrText>
            </w:r>
            <w:r w:rsidRPr="009F3ED8">
              <w:tab/>
              <w:instrText>Death-related costs scenario - projected increase in public expenditure on health care over 2016-2070, as % of GDP</w:instrText>
            </w:r>
            <w:bookmarkEnd w:id="187"/>
            <w:r w:rsidRPr="009F3ED8">
              <w:instrText xml:space="preserve">" \ftable \l 5 </w:instrText>
            </w:r>
            <w:r w:rsidRPr="00AB3524">
              <w:fldChar w:fldCharType="end"/>
            </w:r>
            <w:r w:rsidRPr="00AB3524">
              <w:rPr>
                <w:noProof/>
                <w:sz w:val="2"/>
                <w:lang w:val="hr-HR" w:eastAsia="hr-HR"/>
              </w:rPr>
              <w:drawing>
                <wp:inline distT="0" distB="0" distL="0" distR="0" wp14:anchorId="3365B39E" wp14:editId="5FA894AE">
                  <wp:extent cx="2597595" cy="2303707"/>
                  <wp:effectExtent l="0" t="0" r="0" b="1905"/>
                  <wp:docPr id="832" name="Picture 832" descr="&lt;nbr&gt;&lt;GETTEXTFROMWORD&gt;&lt;/nbr&gt;&#10;&lt;title&gt;&lt;GETTEXTFROMWORD&gt;&lt;/title&gt;&#10;&lt;id&gt;ff5c47b5-da7f-48cd-9e68-c188aaea0172&lt;/id&gt;&#10;&lt;srcType&gt;EXCEL&lt;/srcType&gt;&#10;&lt;srcPath&gt;U:\Budgetary projections 2018\Reports\2018 AR\Tables_and_graphs\Part II Chapter 2\&lt;/srcPath&gt;&#10;&lt;srcName&gt;tables &amp; graphs - Part II - Chapter 2 - HC.xlsx&lt;/srcName&gt;&#10;&lt;type&gt;table&lt;/type&gt;&#10; &lt;srcSheet&gt;DR&lt;/srcSheet&gt;&#10; &lt;srcRange&gt;R2C2:R20C6&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597595" cy="2303707"/>
                          </a:xfrm>
                          <a:prstGeom prst="rect">
                            <a:avLst/>
                          </a:prstGeom>
                          <a:noFill/>
                          <a:ln>
                            <a:noFill/>
                          </a:ln>
                        </pic:spPr>
                      </pic:pic>
                    </a:graphicData>
                  </a:graphic>
                </wp:inline>
              </w:drawing>
            </w:r>
          </w:p>
        </w:tc>
      </w:tr>
      <w:tr w:rsidR="00590A61" w:rsidRPr="00AB3524" w14:paraId="7B118A72" w14:textId="77777777" w:rsidTr="00460C69">
        <w:trPr>
          <w:cantSplit/>
        </w:trPr>
        <w:tc>
          <w:tcPr>
            <w:tcW w:w="4110" w:type="dxa"/>
            <w:shd w:val="clear" w:color="auto" w:fill="auto"/>
          </w:tcPr>
          <w:p w14:paraId="24A8CEC8" w14:textId="77777777" w:rsidR="00590A61" w:rsidRPr="00AB3524" w:rsidRDefault="00590A61" w:rsidP="00460C69">
            <w:pPr>
              <w:pStyle w:val="TableSource"/>
            </w:pPr>
            <w:r w:rsidRPr="00AB3524">
              <w:rPr>
                <w:b/>
                <w:i/>
              </w:rPr>
              <w:t>Source:</w:t>
            </w:r>
            <w:r w:rsidRPr="00AB3524">
              <w:t xml:space="preserve"> Commission services, EPC.</w:t>
            </w:r>
          </w:p>
        </w:tc>
      </w:tr>
      <w:tr w:rsidR="00590A61" w:rsidRPr="00AB3524" w14:paraId="758CBD81" w14:textId="77777777" w:rsidTr="00460C69">
        <w:trPr>
          <w:cantSplit/>
          <w:trHeight w:val="20"/>
        </w:trPr>
        <w:tc>
          <w:tcPr>
            <w:tcW w:w="4110" w:type="dxa"/>
            <w:shd w:val="clear" w:color="auto" w:fill="auto"/>
            <w:tcMar>
              <w:bottom w:w="240" w:type="dxa"/>
            </w:tcMar>
          </w:tcPr>
          <w:p w14:paraId="6AF935AA" w14:textId="77777777" w:rsidR="00590A61" w:rsidRPr="00AB3524" w:rsidRDefault="00590A61" w:rsidP="00460C69">
            <w:pPr>
              <w:pStyle w:val="SlimCell"/>
            </w:pPr>
          </w:p>
        </w:tc>
      </w:tr>
    </w:tbl>
    <w:p w14:paraId="334EFCB8" w14:textId="77777777" w:rsidR="00590A61" w:rsidRPr="00AB3524" w:rsidRDefault="00590A61" w:rsidP="00460C69">
      <w:r w:rsidRPr="00AB3524">
        <w:t xml:space="preserve">Graph </w:t>
      </w:r>
      <w:r w:rsidRPr="00AB3524">
        <w:fldChar w:fldCharType="begin"/>
      </w:r>
      <w:r w:rsidRPr="00AB3524">
        <w:instrText xml:space="preserve"> QUOTE "II.2.4"</w:instrText>
      </w:r>
      <w:r w:rsidRPr="00AB3524">
        <w:fldChar w:fldCharType="begin">
          <w:fldData xml:space="preserve">QwBSAE8AUwBTAFIARQBGAEUAUgBFAE4AQwBFACoARwBSAEEAUABIACoAMgBlADkAYQAyAGEANwA0
AC0ANgA2ADQAMgAtADQAOAAwAGQALQA4ADcAMgA5AC0AMwAxADIAOAAyAGMAOQAwADgAYQAyAGQA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II.2.4</w:t>
      </w:r>
      <w:r w:rsidRPr="00AB3524">
        <w:fldChar w:fldCharType="end"/>
      </w:r>
      <w:r w:rsidRPr="00AB3524">
        <w:t xml:space="preserve"> shows a comparison of the results of the three scenarios related to the future evolution of health status. The comparison between the shapes of the curves for EU15 and NMS highlights the more pronounced growing path of the "</w:t>
      </w:r>
      <w:r w:rsidRPr="00AB3524">
        <w:rPr>
          <w:i/>
        </w:rPr>
        <w:t>demographic scenario"</w:t>
      </w:r>
      <w:r w:rsidRPr="00AB3524">
        <w:t xml:space="preserve"> in the NMS. This is likely driven by faster demographic developments.</w:t>
      </w:r>
    </w:p>
    <w:p w14:paraId="7841E63F" w14:textId="77777777" w:rsidR="00590A61" w:rsidRPr="00AB3524" w:rsidRDefault="00590A61" w:rsidP="00460C69">
      <w:r w:rsidRPr="00AB3524">
        <w:t xml:space="preserve">Another interesting observation is that the dynamic of the demographic projections leads to a peak in </w:t>
      </w:r>
      <w:r w:rsidRPr="00AB3524">
        <w:lastRenderedPageBreak/>
        <w:t xml:space="preserve">the expenditure growth rate in 2060 for NMS and </w:t>
      </w:r>
      <w:r w:rsidRPr="00AB3524">
        <w:fldChar w:fldCharType="begin"/>
      </w:r>
      <w:r w:rsidRPr="009F3ED8">
        <w:instrText xml:space="preserve"> TC "</w:instrText>
      </w:r>
      <w:bookmarkStart w:id="188" w:name="_Toc511664684"/>
      <w:r w:rsidRPr="009F3ED8">
        <w:instrText>II.2.4.</w:instrText>
      </w:r>
      <w:r w:rsidRPr="009F3ED8">
        <w:tab/>
        <w:instrText>Impact of demography and health status - comparison between scenarios in EU15 and NMS</w:instrText>
      </w:r>
      <w:bookmarkEnd w:id="188"/>
      <w:r w:rsidRPr="009F3ED8">
        <w:instrText xml:space="preserve">" \fgraph \l 5 </w:instrText>
      </w:r>
      <w:r w:rsidRPr="00AB3524">
        <w:fldChar w:fldCharType="end"/>
      </w:r>
      <w:r w:rsidRPr="00AB3524">
        <w:t>in 2050 for EU15, slowing down the expenditure increase thereafter until 2070. In fact, the future impact of the demographic trends on health care expenditure to GDP depends on three factors: (1) decreasing fertility rates; (2) expected increases in life expectancy; and (3) the demographic transition (ageing of the baby boom cohorts). All these three driving forces are expected to cause relevant changes on the population structure over the forecasting period in almost all Member States (e.g. increase in the old age dependency ratio). However, the impact of the demographic transition due to ageing of the baby boom cohorts will have a dominant impact on the population structure over the next 2-3 decades. This is independent of changes to longevity. No compensating effect can be expected from changes in longevity according to the "</w:t>
      </w:r>
      <w:r w:rsidRPr="00AB3524">
        <w:rPr>
          <w:i/>
        </w:rPr>
        <w:t>high life expectancy scenario</w:t>
      </w:r>
      <w:r w:rsidRPr="00AB3524">
        <w:t xml:space="preserve">" and from changes in morbidity as displayed by the </w:t>
      </w:r>
      <w:r w:rsidRPr="00AB3524">
        <w:rPr>
          <w:i/>
        </w:rPr>
        <w:t>"healthy ageing scenario"</w:t>
      </w:r>
      <w:r w:rsidRPr="00AB3524">
        <w:t>.</w:t>
      </w:r>
    </w:p>
    <w:p w14:paraId="132B0310" w14:textId="77777777" w:rsidR="00590A61" w:rsidRPr="00AB3524" w:rsidRDefault="00590A61" w:rsidP="00460C69">
      <w:r w:rsidRPr="00AB3524">
        <w:t>This important conceptual distinction not only explains the clear slowdown in the dynamics of health care public expenditure to GDP ratio projected in the last decades of the forecasting period (from 2050 for EU15 MS and from 2060 for NMS), which is linked to the exit period of the baby boom generations. It also helps to explain why the impact of demography on the dynamics of health care expenditure to GDP ratio has not been found particularly significant over the past decades (</w:t>
      </w:r>
      <w:r w:rsidRPr="00AB3524">
        <w:rPr>
          <w:rStyle w:val="Referencafusnote"/>
        </w:rPr>
        <w:footnoteReference w:id="91"/>
      </w:r>
      <w:r w:rsidRPr="00AB3524">
        <w:t>). Indeed the conceptual distinction of the demographic change drivers can have important policy-making implications, as policy options dealing with the adverse demographic trends on health care expenditure may differ substantially depending on whether they come from a decline in birth rates and increases in longevity or from the ageing of baby boom cohorts.</w:t>
      </w:r>
    </w:p>
    <w:p w14:paraId="7421402C" w14:textId="77777777" w:rsidR="00590A61" w:rsidRPr="00AB3524" w:rsidRDefault="00590A61" w:rsidP="00460C69">
      <w:pPr>
        <w:pStyle w:val="NumberedHeading2"/>
        <w:tabs>
          <w:tab w:val="left" w:pos="567"/>
        </w:tabs>
      </w:pPr>
      <w:r w:rsidRPr="00AB3524">
        <w:t>2.4.2.</w:t>
      </w:r>
      <w:r w:rsidRPr="00AB3524">
        <w:tab/>
        <w:t>Changes in income and macroeconomic variables</w:t>
      </w:r>
    </w:p>
    <w:p w14:paraId="3AA7BD23" w14:textId="77777777" w:rsidR="00590A61" w:rsidRPr="00AB3524" w:rsidRDefault="00590A61" w:rsidP="00460C69">
      <w:r w:rsidRPr="00AB3524">
        <w:t>The "demographic scenario" assumes that per capita spending grows in line with national income per capita. The effect is that without population ageing, the share of health spending in percentage of national income would stay constant.</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590A61" w:rsidRPr="00AB3524" w14:paraId="08C327C7" w14:textId="77777777" w:rsidTr="00460C69">
        <w:trPr>
          <w:cantSplit/>
        </w:trPr>
        <w:tc>
          <w:tcPr>
            <w:tcW w:w="8505" w:type="dxa"/>
            <w:shd w:val="clear" w:color="auto" w:fill="auto"/>
          </w:tcPr>
          <w:p w14:paraId="500FC9F2" w14:textId="77777777" w:rsidR="00590A61" w:rsidRPr="00AB3524" w:rsidRDefault="00590A61" w:rsidP="00460C69">
            <w:pPr>
              <w:pStyle w:val="GraphTitle"/>
              <w:rPr>
                <w:b/>
              </w:rPr>
            </w:pPr>
            <w:r w:rsidRPr="00AB3524">
              <w:t>Graph II.2.4:</w:t>
            </w:r>
            <w:r w:rsidRPr="00AB3524">
              <w:rPr>
                <w:b/>
              </w:rPr>
              <w:tab/>
              <w:t>Impact of demography and health status - comparison between scenarios in EU15 and NMS</w:t>
            </w:r>
          </w:p>
        </w:tc>
      </w:tr>
      <w:tr w:rsidR="00590A61" w:rsidRPr="00AB3524" w14:paraId="57200A15" w14:textId="77777777" w:rsidTr="00460C69">
        <w:trPr>
          <w:cantSplit/>
        </w:trPr>
        <w:tc>
          <w:tcPr>
            <w:tcW w:w="8505" w:type="dxa"/>
            <w:shd w:val="clear" w:color="auto" w:fill="auto"/>
          </w:tcPr>
          <w:p w14:paraId="41D9AF1F" w14:textId="77777777" w:rsidR="00590A61" w:rsidRPr="00AB3524" w:rsidRDefault="00590A61" w:rsidP="00460C69">
            <w:pPr>
              <w:pStyle w:val="GraphShape"/>
              <w:rPr>
                <w:sz w:val="2"/>
              </w:rPr>
            </w:pPr>
            <w:r w:rsidRPr="00AB3524">
              <w:rPr>
                <w:noProof/>
                <w:sz w:val="2"/>
                <w:lang w:val="hr-HR" w:eastAsia="hr-HR"/>
              </w:rPr>
              <w:drawing>
                <wp:inline distT="0" distB="0" distL="0" distR="0" wp14:anchorId="615CC0B5" wp14:editId="3E59D65E">
                  <wp:extent cx="5400929" cy="2486142"/>
                  <wp:effectExtent l="0" t="0" r="9525" b="9525"/>
                  <wp:docPr id="833" name="Picture 833" descr="&lt;nbr&gt;&lt;GETTEXTFROMWORD&gt;&lt;/nbr&gt;&#10;&lt;title&gt;&lt;GETTEXTFROMWORD&gt;&lt;/title&gt;&#10;&lt;id&gt;2e9a2a74-6642-480d-8729-31282c908a2d&lt;/id&gt;&#10;&lt;srcType&gt;EXCEL&lt;/srcType&gt;&#10;&lt;srcPath&gt;U:\Budgetary projections 2018\Reports\2018 AR\Tables_and_graphs\Part II Chapter 2\&lt;/srcPath&gt;&#10;&lt;srcName&gt;tables &amp; graphs - Part II - Chapter 2 - HC.xlsx&lt;/srcName&gt;&#10;&lt;type&gt;graph&lt;/type&gt;&#10; &lt;srcSheet&gt;Graph 2.6&lt;/srcSheet&gt;&#10; &lt;srcChartTitle&gt;Chart 2&lt;/srcChartTitl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400929" cy="2486142"/>
                          </a:xfrm>
                          <a:prstGeom prst="rect">
                            <a:avLst/>
                          </a:prstGeom>
                          <a:noFill/>
                          <a:ln>
                            <a:noFill/>
                          </a:ln>
                        </pic:spPr>
                      </pic:pic>
                    </a:graphicData>
                  </a:graphic>
                </wp:inline>
              </w:drawing>
            </w:r>
          </w:p>
        </w:tc>
      </w:tr>
      <w:tr w:rsidR="00590A61" w:rsidRPr="00AB3524" w14:paraId="5A7A606A" w14:textId="77777777" w:rsidTr="00460C69">
        <w:trPr>
          <w:cantSplit/>
        </w:trPr>
        <w:tc>
          <w:tcPr>
            <w:tcW w:w="8505" w:type="dxa"/>
            <w:shd w:val="clear" w:color="auto" w:fill="auto"/>
          </w:tcPr>
          <w:p w14:paraId="032FAEF6" w14:textId="77777777" w:rsidR="00590A61" w:rsidRDefault="00590A61" w:rsidP="00460C69">
            <w:pPr>
              <w:pStyle w:val="GraphFootnote"/>
              <w:keepNext/>
            </w:pPr>
            <w:r>
              <w:t>Note: The "healthy ageing scenario" is identical with the "constant health scenario" from previous Ageing Reports.</w:t>
            </w:r>
          </w:p>
          <w:p w14:paraId="5757B2FC" w14:textId="77777777" w:rsidR="00590A61" w:rsidRPr="00AB3524" w:rsidRDefault="00590A61" w:rsidP="00460C69">
            <w:pPr>
              <w:pStyle w:val="GraphSource"/>
              <w:keepNext/>
            </w:pPr>
            <w:r w:rsidRPr="00AB3524">
              <w:rPr>
                <w:b/>
                <w:i/>
              </w:rPr>
              <w:t>Source:</w:t>
            </w:r>
            <w:r w:rsidRPr="00AB3524">
              <w:t xml:space="preserve"> Commission services, EPC.</w:t>
            </w:r>
          </w:p>
        </w:tc>
      </w:tr>
    </w:tbl>
    <w:p w14:paraId="23D19E72" w14:textId="77777777" w:rsidR="00590A61" w:rsidRPr="00AB3524" w:rsidRDefault="00590A61" w:rsidP="00460C69">
      <w:r w:rsidRPr="00AB3524">
        <w:t>However, empirical research shows that growth in both public and total health care spending may exceed the growth rate of national income, be it because of rising expectations towards more and better health care and/or a higher willingness to pay for health care services.</w:t>
      </w:r>
    </w:p>
    <w:p w14:paraId="3BB85062" w14:textId="77777777" w:rsidR="00590A61" w:rsidRPr="00AB3524" w:rsidRDefault="00590A61" w:rsidP="00460C69">
      <w:r w:rsidRPr="00AB3524">
        <w:t xml:space="preserve">Consequently, the "demographic scenario" may substantially underestimate health spending growth. One way to address this concern is to </w:t>
      </w:r>
      <w:r w:rsidRPr="00AB3524">
        <w:lastRenderedPageBreak/>
        <w:t>assume that trends in health spending exceed the growth rate of national income.</w:t>
      </w:r>
    </w:p>
    <w:p w14:paraId="28F098B1" w14:textId="77777777" w:rsidR="00590A61" w:rsidRPr="00AB3524" w:rsidRDefault="00590A61" w:rsidP="00460C69">
      <w:r w:rsidRPr="00AB3524">
        <w:t xml:space="preserve">Assuming a slightly higher growth in spending relative to national income (i.e. an income elasticity of 1.1) in the </w:t>
      </w:r>
      <w:r w:rsidRPr="00AB3524">
        <w:rPr>
          <w:i/>
        </w:rPr>
        <w:t>"</w:t>
      </w:r>
      <w:r w:rsidRPr="00AB3524">
        <w:rPr>
          <w:b/>
          <w:i/>
        </w:rPr>
        <w:t>income elasticity scenario</w:t>
      </w:r>
      <w:r w:rsidRPr="00AB3524">
        <w:rPr>
          <w:i/>
        </w:rPr>
        <w:t>"</w:t>
      </w:r>
      <w:r w:rsidRPr="00AB3524">
        <w:t xml:space="preserve"> adds an extra 0.2 pps. of GDP to health expenditure relative to the results for the EU28 in the “demographic scenario” (Table </w:t>
      </w:r>
      <w:r w:rsidRPr="00AB3524">
        <w:fldChar w:fldCharType="begin"/>
      </w:r>
      <w:r w:rsidRPr="00AB3524">
        <w:instrText xml:space="preserve"> QUOTE "II.2.7"</w:instrText>
      </w:r>
      <w:r w:rsidRPr="00AB3524">
        <w:fldChar w:fldCharType="begin">
          <w:fldData xml:space="preserve">QwBSAE8AUwBTAFIARQBGAEUAUgBFAE4AQwBFACoAVABBAEIATABFACoANAAyADUAZgA2AGIANQAw
AC0AMwA1ADkAMgAtADQANABjAGEALQA4AGQAYgBlAC0AOQBkADYANgBmADkAOAA2ADUAYwAwADUA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II.2.7</w:t>
      </w:r>
      <w:r w:rsidRPr="00AB3524">
        <w:fldChar w:fldCharType="end"/>
      </w:r>
      <w:r w:rsidRPr="00AB3524">
        <w:t>).</w:t>
      </w:r>
    </w:p>
    <w:tbl>
      <w:tblPr>
        <w:tblW w:w="0" w:type="auto"/>
        <w:tblLayout w:type="fixed"/>
        <w:tblCellMar>
          <w:left w:w="0" w:type="dxa"/>
          <w:right w:w="0" w:type="dxa"/>
        </w:tblCellMar>
        <w:tblLook w:val="0000" w:firstRow="0" w:lastRow="0" w:firstColumn="0" w:lastColumn="0" w:noHBand="0" w:noVBand="0"/>
      </w:tblPr>
      <w:tblGrid>
        <w:gridCol w:w="4110"/>
      </w:tblGrid>
      <w:tr w:rsidR="00590A61" w:rsidRPr="00AB3524" w14:paraId="7D9450B0" w14:textId="77777777" w:rsidTr="00460C69">
        <w:trPr>
          <w:cantSplit/>
          <w:trHeight w:val="20"/>
        </w:trPr>
        <w:tc>
          <w:tcPr>
            <w:tcW w:w="4110" w:type="dxa"/>
            <w:shd w:val="clear" w:color="auto" w:fill="auto"/>
          </w:tcPr>
          <w:p w14:paraId="311E9704" w14:textId="77777777" w:rsidR="00590A61" w:rsidRPr="00AB3524" w:rsidRDefault="00590A61" w:rsidP="00460C69">
            <w:pPr>
              <w:pStyle w:val="SlimCell"/>
              <w:keepNext/>
            </w:pPr>
          </w:p>
        </w:tc>
      </w:tr>
      <w:tr w:rsidR="00590A61" w:rsidRPr="00AB3524" w14:paraId="16D5A16A" w14:textId="77777777" w:rsidTr="00460C69">
        <w:trPr>
          <w:cantSplit/>
        </w:trPr>
        <w:tc>
          <w:tcPr>
            <w:tcW w:w="4110" w:type="dxa"/>
            <w:shd w:val="clear" w:color="auto" w:fill="auto"/>
          </w:tcPr>
          <w:p w14:paraId="3DE860C8" w14:textId="77777777" w:rsidR="00590A61" w:rsidRPr="00AB3524" w:rsidRDefault="00590A61" w:rsidP="00460C69">
            <w:pPr>
              <w:pStyle w:val="TableTitle"/>
              <w:rPr>
                <w:b/>
              </w:rPr>
            </w:pPr>
            <w:r w:rsidRPr="00AB3524">
              <w:t>Table II.2.7:</w:t>
            </w:r>
            <w:r w:rsidRPr="00AB3524">
              <w:rPr>
                <w:b/>
              </w:rPr>
              <w:tab/>
              <w:t>Income elasticity scenario - projected increase in public expenditure on health care over 2016-2070, as % of GDP</w:t>
            </w:r>
          </w:p>
        </w:tc>
      </w:tr>
      <w:tr w:rsidR="00590A61" w:rsidRPr="00AB3524" w14:paraId="79702684" w14:textId="77777777" w:rsidTr="00460C69">
        <w:trPr>
          <w:cantSplit/>
        </w:trPr>
        <w:tc>
          <w:tcPr>
            <w:tcW w:w="4110" w:type="dxa"/>
            <w:shd w:val="clear" w:color="auto" w:fill="auto"/>
          </w:tcPr>
          <w:p w14:paraId="1C9E214C" w14:textId="77777777" w:rsidR="00590A61" w:rsidRPr="00AB3524" w:rsidRDefault="00590A61" w:rsidP="00460C69">
            <w:pPr>
              <w:pStyle w:val="TableShape"/>
              <w:rPr>
                <w:sz w:val="2"/>
              </w:rPr>
            </w:pPr>
            <w:r w:rsidRPr="00AB3524">
              <w:fldChar w:fldCharType="begin"/>
            </w:r>
            <w:r w:rsidRPr="009F3ED8">
              <w:instrText xml:space="preserve"> TC "</w:instrText>
            </w:r>
            <w:bookmarkStart w:id="189" w:name="_Toc511664552"/>
            <w:r w:rsidRPr="009F3ED8">
              <w:instrText>II.2.7.</w:instrText>
            </w:r>
            <w:r w:rsidRPr="009F3ED8">
              <w:tab/>
              <w:instrText>Income elasticity scenario - projected increase in public expenditure on health care over 2016-2070, as % of GDP</w:instrText>
            </w:r>
            <w:bookmarkEnd w:id="189"/>
            <w:r w:rsidRPr="009F3ED8">
              <w:instrText xml:space="preserve">" \ftable \l 5 </w:instrText>
            </w:r>
            <w:r w:rsidRPr="00AB3524">
              <w:fldChar w:fldCharType="end"/>
            </w:r>
            <w:r w:rsidRPr="00AB3524">
              <w:rPr>
                <w:noProof/>
                <w:sz w:val="2"/>
                <w:lang w:val="hr-HR" w:eastAsia="hr-HR"/>
              </w:rPr>
              <w:drawing>
                <wp:inline distT="0" distB="0" distL="0" distR="0" wp14:anchorId="17819C3B" wp14:editId="6253533B">
                  <wp:extent cx="2597595" cy="4152361"/>
                  <wp:effectExtent l="0" t="0" r="0" b="635"/>
                  <wp:docPr id="834" name="Picture 834" descr="&lt;nbr&gt;&lt;GETTEXTFROMWORD&gt;&lt;/nbr&gt;&#10;&lt;title&gt;&lt;GETTEXTFROMWORD&gt;&lt;/title&gt;&#10;&lt;id&gt;425f6b50-3592-44ca-8dbe-9d66f9865c05&lt;/id&gt;&#10;&lt;srcType&gt;EXCEL&lt;/srcType&gt;&#10;&lt;srcPath&gt;U:\Budgetary projections 2018\Reports\2018 AR\Tables_and_graphs\Part II Chapter 2\&lt;/srcPath&gt;&#10;&lt;srcName&gt;tables &amp; graphs - Part II - Chapter 2 - HC.xlsx&lt;/srcName&gt;&#10;&lt;type&gt;table&lt;/type&gt;&#10; &lt;srcSheet&gt;income&lt;/srcSheet&gt;&#10; &lt;srcRange&gt;R2C2:R40C6&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597595" cy="4152361"/>
                          </a:xfrm>
                          <a:prstGeom prst="rect">
                            <a:avLst/>
                          </a:prstGeom>
                          <a:noFill/>
                          <a:ln>
                            <a:noFill/>
                          </a:ln>
                        </pic:spPr>
                      </pic:pic>
                    </a:graphicData>
                  </a:graphic>
                </wp:inline>
              </w:drawing>
            </w:r>
          </w:p>
        </w:tc>
      </w:tr>
      <w:tr w:rsidR="00590A61" w:rsidRPr="00AB3524" w14:paraId="4FBC5140" w14:textId="77777777" w:rsidTr="00460C69">
        <w:trPr>
          <w:cantSplit/>
        </w:trPr>
        <w:tc>
          <w:tcPr>
            <w:tcW w:w="4110" w:type="dxa"/>
            <w:shd w:val="clear" w:color="auto" w:fill="auto"/>
          </w:tcPr>
          <w:p w14:paraId="5E8281D9" w14:textId="77777777" w:rsidR="00590A61" w:rsidRPr="00AB3524" w:rsidRDefault="00590A61" w:rsidP="00460C69">
            <w:pPr>
              <w:pStyle w:val="TableSource"/>
            </w:pPr>
            <w:r w:rsidRPr="00AB3524">
              <w:rPr>
                <w:b/>
                <w:i/>
              </w:rPr>
              <w:t>Source:</w:t>
            </w:r>
            <w:r w:rsidRPr="00AB3524">
              <w:t xml:space="preserve"> Commission services, EPC.</w:t>
            </w:r>
          </w:p>
        </w:tc>
      </w:tr>
      <w:tr w:rsidR="00590A61" w:rsidRPr="00AB3524" w14:paraId="5938836E" w14:textId="77777777" w:rsidTr="00460C69">
        <w:trPr>
          <w:cantSplit/>
          <w:trHeight w:val="20"/>
        </w:trPr>
        <w:tc>
          <w:tcPr>
            <w:tcW w:w="4110" w:type="dxa"/>
            <w:shd w:val="clear" w:color="auto" w:fill="auto"/>
            <w:tcMar>
              <w:bottom w:w="240" w:type="dxa"/>
            </w:tcMar>
          </w:tcPr>
          <w:p w14:paraId="0685E1EA" w14:textId="77777777" w:rsidR="00590A61" w:rsidRPr="00AB3524" w:rsidRDefault="00590A61" w:rsidP="00460C69">
            <w:pPr>
              <w:pStyle w:val="SlimCell"/>
            </w:pPr>
          </w:p>
        </w:tc>
      </w:tr>
    </w:tbl>
    <w:p w14:paraId="6817005B" w14:textId="77777777" w:rsidR="00590A61" w:rsidRPr="00AB3524" w:rsidRDefault="00590A61" w:rsidP="00460C69">
      <w:r w:rsidRPr="00AB3524">
        <w:t xml:space="preserve">The </w:t>
      </w:r>
      <w:r w:rsidRPr="00AB3524">
        <w:rPr>
          <w:i/>
        </w:rPr>
        <w:t>"</w:t>
      </w:r>
      <w:r w:rsidRPr="00AB3524">
        <w:rPr>
          <w:b/>
          <w:i/>
        </w:rPr>
        <w:t>cost convergence scenario</w:t>
      </w:r>
      <w:r w:rsidRPr="00AB3524">
        <w:rPr>
          <w:i/>
        </w:rPr>
        <w:t>"</w:t>
      </w:r>
      <w:r w:rsidRPr="00AB3524">
        <w:t>, performed solely for those Member States with shares of GDP per capita spending profiles below the EU28 relative average profile, captures the possible effect of a convergence in real living standards across EU countries on public expenditure on health care (</w:t>
      </w:r>
      <w:r w:rsidRPr="00AB3524">
        <w:rPr>
          <w:rStyle w:val="Referencafusnote"/>
        </w:rPr>
        <w:footnoteReference w:id="92"/>
      </w:r>
      <w:r w:rsidRPr="00AB3524">
        <w:t xml:space="preserve">). Cost convergence can be a costly </w:t>
      </w:r>
      <w:r w:rsidRPr="00AB3524">
        <w:lastRenderedPageBreak/>
        <w:t xml:space="preserve">process. Depending on the current age-gender expenditure profiles, governments would, on average, need to spend up to 1.3 pps. of GDP more over the next five decades (Table </w:t>
      </w:r>
      <w:r w:rsidRPr="00AB3524">
        <w:fldChar w:fldCharType="begin"/>
      </w:r>
      <w:r w:rsidRPr="00AB3524">
        <w:instrText xml:space="preserve"> QUOTE "II.2.8"</w:instrText>
      </w:r>
      <w:r w:rsidRPr="00AB3524">
        <w:fldChar w:fldCharType="begin">
          <w:fldData xml:space="preserve">QwBSAE8AUwBTAFIARQBGAEUAUgBFAE4AQwBFACoAVABBAEIATABFACoAZgBhAGIAZgBmADEANwA3
AC0AZQBkADUANQAtADQAYgAwAGYALQBiAGMAOQA5AC0AZQBkADAAZQA2AGMAZQA1AGUAMQA3ADQA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II.2.8</w:t>
      </w:r>
      <w:r w:rsidRPr="00AB3524">
        <w:fldChar w:fldCharType="end"/>
      </w:r>
      <w:r w:rsidRPr="00AB3524">
        <w:t>). This is 0.2 pps. of GDP more compared to the EU average of the “demographic scenario”.</w:t>
      </w:r>
    </w:p>
    <w:tbl>
      <w:tblPr>
        <w:tblW w:w="0" w:type="auto"/>
        <w:tblLayout w:type="fixed"/>
        <w:tblCellMar>
          <w:left w:w="0" w:type="dxa"/>
          <w:right w:w="0" w:type="dxa"/>
        </w:tblCellMar>
        <w:tblLook w:val="0000" w:firstRow="0" w:lastRow="0" w:firstColumn="0" w:lastColumn="0" w:noHBand="0" w:noVBand="0"/>
      </w:tblPr>
      <w:tblGrid>
        <w:gridCol w:w="4110"/>
      </w:tblGrid>
      <w:tr w:rsidR="00590A61" w:rsidRPr="00AB3524" w14:paraId="1864C84C" w14:textId="77777777" w:rsidTr="00460C69">
        <w:trPr>
          <w:cantSplit/>
          <w:trHeight w:val="20"/>
        </w:trPr>
        <w:tc>
          <w:tcPr>
            <w:tcW w:w="4110" w:type="dxa"/>
            <w:shd w:val="clear" w:color="auto" w:fill="auto"/>
          </w:tcPr>
          <w:p w14:paraId="55758464" w14:textId="77777777" w:rsidR="00590A61" w:rsidRPr="00AB3524" w:rsidRDefault="00590A61" w:rsidP="00460C69">
            <w:pPr>
              <w:pStyle w:val="SlimCell"/>
              <w:keepNext/>
            </w:pPr>
          </w:p>
        </w:tc>
      </w:tr>
      <w:tr w:rsidR="00590A61" w:rsidRPr="00AB3524" w14:paraId="4E6DB05E" w14:textId="77777777" w:rsidTr="00460C69">
        <w:trPr>
          <w:cantSplit/>
        </w:trPr>
        <w:tc>
          <w:tcPr>
            <w:tcW w:w="4110" w:type="dxa"/>
            <w:shd w:val="clear" w:color="auto" w:fill="auto"/>
          </w:tcPr>
          <w:p w14:paraId="6D64C886" w14:textId="77777777" w:rsidR="00590A61" w:rsidRPr="00AB3524" w:rsidRDefault="00590A61" w:rsidP="00460C69">
            <w:pPr>
              <w:pStyle w:val="TableTitle"/>
              <w:rPr>
                <w:b/>
              </w:rPr>
            </w:pPr>
            <w:r w:rsidRPr="00AB3524">
              <w:t>Table II.2.8:</w:t>
            </w:r>
            <w:r w:rsidRPr="00AB3524">
              <w:rPr>
                <w:b/>
              </w:rPr>
              <w:tab/>
              <w:t>The EU28 cost convergence scenario - projected increase in public expenditure on health care over 2016-2070, as % of GDP</w:t>
            </w:r>
          </w:p>
        </w:tc>
      </w:tr>
      <w:tr w:rsidR="00590A61" w:rsidRPr="00AB3524" w14:paraId="551FA094" w14:textId="77777777" w:rsidTr="00460C69">
        <w:trPr>
          <w:cantSplit/>
        </w:trPr>
        <w:tc>
          <w:tcPr>
            <w:tcW w:w="4110" w:type="dxa"/>
            <w:shd w:val="clear" w:color="auto" w:fill="auto"/>
          </w:tcPr>
          <w:p w14:paraId="6113F15E" w14:textId="77777777" w:rsidR="00590A61" w:rsidRPr="00AB3524" w:rsidRDefault="00590A61" w:rsidP="00460C69">
            <w:pPr>
              <w:pStyle w:val="TableShape"/>
              <w:rPr>
                <w:sz w:val="2"/>
              </w:rPr>
            </w:pPr>
            <w:r w:rsidRPr="00AB3524">
              <w:fldChar w:fldCharType="begin"/>
            </w:r>
            <w:r w:rsidRPr="009F3ED8">
              <w:instrText xml:space="preserve"> TC "</w:instrText>
            </w:r>
            <w:bookmarkStart w:id="190" w:name="_Toc511664553"/>
            <w:r w:rsidRPr="009F3ED8">
              <w:instrText>II.2.8.</w:instrText>
            </w:r>
            <w:r w:rsidRPr="009F3ED8">
              <w:tab/>
              <w:instrText>The EU28 cost convergence scenario - projected increase in public expenditure on health care over 2016-2070, as % of GDP</w:instrText>
            </w:r>
            <w:bookmarkEnd w:id="190"/>
            <w:r w:rsidRPr="009F3ED8">
              <w:instrText xml:space="preserve">" \ftable \l 5 </w:instrText>
            </w:r>
            <w:r w:rsidRPr="00AB3524">
              <w:fldChar w:fldCharType="end"/>
            </w:r>
            <w:r w:rsidRPr="00AB3524">
              <w:rPr>
                <w:noProof/>
                <w:sz w:val="2"/>
                <w:lang w:val="hr-HR" w:eastAsia="hr-HR"/>
              </w:rPr>
              <w:drawing>
                <wp:inline distT="0" distB="0" distL="0" distR="0" wp14:anchorId="31ACE96F" wp14:editId="5184097C">
                  <wp:extent cx="2597595" cy="4152361"/>
                  <wp:effectExtent l="0" t="0" r="0" b="635"/>
                  <wp:docPr id="835" name="Picture 835" descr="&lt;nbr&gt;&lt;GETTEXTFROMWORD&gt;&lt;/nbr&gt;&#10;&lt;title&gt;&lt;GETTEXTFROMWORD&gt;&lt;/title&gt;&#10;&lt;id&gt;fabff177-ed55-4b0f-bc99-ed0e6ce5e174&lt;/id&gt;&#10;&lt;srcType&gt;EXCEL&lt;/srcType&gt;&#10;&lt;srcPath&gt;U:\Budgetary projections 2018\Reports\2018 AR\Tables_and_graphs\Part II Chapter 2\&lt;/srcPath&gt;&#10;&lt;srcName&gt;tables &amp; graphs - Part II - Chapter 2 - HC.xlsx&lt;/srcName&gt;&#10;&lt;type&gt;table&lt;/type&gt;&#10; &lt;srcSheet&gt;cost&lt;/srcSheet&gt;&#10; &lt;srcRange&gt;R2C2:R40C6&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597595" cy="4152361"/>
                          </a:xfrm>
                          <a:prstGeom prst="rect">
                            <a:avLst/>
                          </a:prstGeom>
                          <a:noFill/>
                          <a:ln>
                            <a:noFill/>
                          </a:ln>
                        </pic:spPr>
                      </pic:pic>
                    </a:graphicData>
                  </a:graphic>
                </wp:inline>
              </w:drawing>
            </w:r>
          </w:p>
        </w:tc>
      </w:tr>
      <w:tr w:rsidR="00590A61" w:rsidRPr="00AB3524" w14:paraId="393DF296" w14:textId="77777777" w:rsidTr="00460C69">
        <w:trPr>
          <w:cantSplit/>
        </w:trPr>
        <w:tc>
          <w:tcPr>
            <w:tcW w:w="4110" w:type="dxa"/>
            <w:shd w:val="clear" w:color="auto" w:fill="auto"/>
          </w:tcPr>
          <w:p w14:paraId="39602A27" w14:textId="77777777" w:rsidR="00590A61" w:rsidRPr="00AB3524" w:rsidRDefault="00590A61" w:rsidP="00460C69">
            <w:pPr>
              <w:pStyle w:val="TableSource"/>
            </w:pPr>
            <w:r w:rsidRPr="00AB3524">
              <w:rPr>
                <w:b/>
                <w:i/>
              </w:rPr>
              <w:t>Source:</w:t>
            </w:r>
            <w:r w:rsidRPr="00AB3524">
              <w:t xml:space="preserve"> Commission services, EPC.</w:t>
            </w:r>
          </w:p>
        </w:tc>
      </w:tr>
      <w:tr w:rsidR="00590A61" w:rsidRPr="00AB3524" w14:paraId="6CE2C085" w14:textId="77777777" w:rsidTr="00460C69">
        <w:trPr>
          <w:cantSplit/>
          <w:trHeight w:val="20"/>
        </w:trPr>
        <w:tc>
          <w:tcPr>
            <w:tcW w:w="4110" w:type="dxa"/>
            <w:shd w:val="clear" w:color="auto" w:fill="auto"/>
            <w:tcMar>
              <w:bottom w:w="240" w:type="dxa"/>
            </w:tcMar>
          </w:tcPr>
          <w:p w14:paraId="189024DC" w14:textId="77777777" w:rsidR="00590A61" w:rsidRPr="00AB3524" w:rsidRDefault="00590A61" w:rsidP="00460C69">
            <w:pPr>
              <w:pStyle w:val="SlimCell"/>
            </w:pPr>
          </w:p>
        </w:tc>
      </w:tr>
    </w:tbl>
    <w:p w14:paraId="52009BC9" w14:textId="77777777" w:rsidR="00590A61" w:rsidRPr="00AB3524" w:rsidRDefault="00590A61" w:rsidP="00460C69">
      <w:r w:rsidRPr="00AB3524">
        <w:t>However, these results are sensitive to the simulated convergence process (</w:t>
      </w:r>
      <w:r w:rsidRPr="00AB3524">
        <w:rPr>
          <w:rStyle w:val="Referencafusnote"/>
        </w:rPr>
        <w:footnoteReference w:id="93"/>
      </w:r>
      <w:r w:rsidRPr="00AB3524">
        <w:t>). An alternative perspective of unit costs evolution is illustrated by the "</w:t>
      </w:r>
      <w:r w:rsidRPr="00AB3524">
        <w:rPr>
          <w:b/>
          <w:i/>
        </w:rPr>
        <w:t>labour intensity scenario</w:t>
      </w:r>
      <w:r w:rsidRPr="00AB3524">
        <w:t xml:space="preserve">". For most of the Member States, the productivity (and therefore real wages) grows faster than per capita income. The effect of productivity replacing income as the driver of unit costs of health care provision in the </w:t>
      </w:r>
      <w:r w:rsidRPr="00AB3524">
        <w:lastRenderedPageBreak/>
        <w:t xml:space="preserve">projections of the "labour intensity scenario" leads to an additional spending of 0.5 pps. of GDP relative to the EU average of the "demographic scenario" (Table </w:t>
      </w:r>
      <w:r w:rsidRPr="00AB3524">
        <w:fldChar w:fldCharType="begin"/>
      </w:r>
      <w:r w:rsidRPr="00AB3524">
        <w:instrText xml:space="preserve"> QUOTE "II.2.9"</w:instrText>
      </w:r>
      <w:r w:rsidRPr="00AB3524">
        <w:fldChar w:fldCharType="begin">
          <w:fldData xml:space="preserve">QwBSAE8AUwBTAFIARQBGAEUAUgBFAE4AQwBFACoAVABBAEIATABFACoANABkAGIAMwAwADUANQA3
AC0ANQA1AGIAMwAtADQANwAxADIALQA4ADIAOAA2AC0ANABiAGMAOQBlADgAMgBlAGIANQBlADMA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II.2.9</w:t>
      </w:r>
      <w:r w:rsidRPr="00AB3524">
        <w:fldChar w:fldCharType="end"/>
      </w:r>
      <w:r w:rsidRPr="00AB3524">
        <w:t>).</w:t>
      </w:r>
    </w:p>
    <w:tbl>
      <w:tblPr>
        <w:tblW w:w="0" w:type="auto"/>
        <w:tblLayout w:type="fixed"/>
        <w:tblCellMar>
          <w:left w:w="0" w:type="dxa"/>
          <w:right w:w="0" w:type="dxa"/>
        </w:tblCellMar>
        <w:tblLook w:val="0000" w:firstRow="0" w:lastRow="0" w:firstColumn="0" w:lastColumn="0" w:noHBand="0" w:noVBand="0"/>
      </w:tblPr>
      <w:tblGrid>
        <w:gridCol w:w="4110"/>
      </w:tblGrid>
      <w:tr w:rsidR="00590A61" w:rsidRPr="00AB3524" w14:paraId="56B03B81" w14:textId="77777777" w:rsidTr="00460C69">
        <w:trPr>
          <w:cantSplit/>
          <w:trHeight w:val="20"/>
        </w:trPr>
        <w:tc>
          <w:tcPr>
            <w:tcW w:w="4110" w:type="dxa"/>
            <w:shd w:val="clear" w:color="auto" w:fill="auto"/>
          </w:tcPr>
          <w:p w14:paraId="7C655664" w14:textId="77777777" w:rsidR="00590A61" w:rsidRPr="00AB3524" w:rsidRDefault="00590A61" w:rsidP="00460C69">
            <w:pPr>
              <w:pStyle w:val="SlimCell"/>
              <w:keepNext/>
            </w:pPr>
          </w:p>
        </w:tc>
      </w:tr>
      <w:tr w:rsidR="00590A61" w:rsidRPr="00AB3524" w14:paraId="6E744A3B" w14:textId="77777777" w:rsidTr="00460C69">
        <w:trPr>
          <w:cantSplit/>
        </w:trPr>
        <w:tc>
          <w:tcPr>
            <w:tcW w:w="4110" w:type="dxa"/>
            <w:shd w:val="clear" w:color="auto" w:fill="auto"/>
          </w:tcPr>
          <w:p w14:paraId="41E7A366" w14:textId="77777777" w:rsidR="00590A61" w:rsidRPr="00AB3524" w:rsidRDefault="00590A61" w:rsidP="00460C69">
            <w:pPr>
              <w:pStyle w:val="TableTitle"/>
              <w:rPr>
                <w:b/>
              </w:rPr>
            </w:pPr>
            <w:r w:rsidRPr="00AB3524">
              <w:t>Table II.2.9:</w:t>
            </w:r>
            <w:r w:rsidRPr="00AB3524">
              <w:rPr>
                <w:b/>
              </w:rPr>
              <w:tab/>
              <w:t>Labour intensity scenario - projected increase in public expenditure on health care over 2016-2070, as % of GDP</w:t>
            </w:r>
          </w:p>
        </w:tc>
      </w:tr>
      <w:tr w:rsidR="00590A61" w:rsidRPr="00AB3524" w14:paraId="78EBBF99" w14:textId="77777777" w:rsidTr="00460C69">
        <w:trPr>
          <w:cantSplit/>
        </w:trPr>
        <w:tc>
          <w:tcPr>
            <w:tcW w:w="4110" w:type="dxa"/>
            <w:shd w:val="clear" w:color="auto" w:fill="auto"/>
          </w:tcPr>
          <w:p w14:paraId="7E50B2E4" w14:textId="77777777" w:rsidR="00590A61" w:rsidRPr="00AB3524" w:rsidRDefault="00590A61" w:rsidP="00460C69">
            <w:pPr>
              <w:pStyle w:val="TableShape"/>
              <w:rPr>
                <w:sz w:val="2"/>
              </w:rPr>
            </w:pPr>
            <w:r w:rsidRPr="00AB3524">
              <w:fldChar w:fldCharType="begin"/>
            </w:r>
            <w:r w:rsidRPr="009F3ED8">
              <w:instrText xml:space="preserve"> TC "</w:instrText>
            </w:r>
            <w:bookmarkStart w:id="191" w:name="_Toc511664554"/>
            <w:r w:rsidRPr="009F3ED8">
              <w:instrText>II.2.9.</w:instrText>
            </w:r>
            <w:r w:rsidRPr="009F3ED8">
              <w:tab/>
              <w:instrText>Labour intensity scenario - projected increase in public expenditure on health care over 2016-2070, as % of GDP</w:instrText>
            </w:r>
            <w:bookmarkEnd w:id="191"/>
            <w:r w:rsidRPr="009F3ED8">
              <w:instrText xml:space="preserve">" \ftable \l 5 </w:instrText>
            </w:r>
            <w:r w:rsidRPr="00AB3524">
              <w:fldChar w:fldCharType="end"/>
            </w:r>
            <w:r w:rsidRPr="00AB3524">
              <w:rPr>
                <w:noProof/>
                <w:sz w:val="2"/>
                <w:lang w:val="hr-HR" w:eastAsia="hr-HR"/>
              </w:rPr>
              <w:drawing>
                <wp:inline distT="0" distB="0" distL="0" distR="0" wp14:anchorId="516CC2CC" wp14:editId="5479E366">
                  <wp:extent cx="2597595" cy="4152361"/>
                  <wp:effectExtent l="0" t="0" r="0" b="635"/>
                  <wp:docPr id="836" name="Picture 836" descr="&lt;nbr&gt;&lt;GETTEXTFROMWORD&gt;&lt;/nbr&gt;&#10;&lt;title&gt;&lt;GETTEXTFROMWORD&gt;&lt;/title&gt;&#10;&lt;id&gt;4db30557-55b3-4712-8286-4bc9e82eb5e3&lt;/id&gt;&#10;&lt;srcType&gt;EXCEL&lt;/srcType&gt;&#10;&lt;srcPath&gt;U:\Budgetary projections 2018\Reports\2018 AR\Tables_and_graphs\Part II Chapter 2\&lt;/srcPath&gt;&#10;&lt;srcName&gt;tables &amp; graphs - Part II - Chapter 2 - HC.xlsx&lt;/srcName&gt;&#10;&lt;type&gt;table&lt;/type&gt;&#10; &lt;srcSheet&gt;labour intensity&lt;/srcSheet&gt;&#10; &lt;srcRange&gt;R2C2:R40C6&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597595" cy="4152361"/>
                          </a:xfrm>
                          <a:prstGeom prst="rect">
                            <a:avLst/>
                          </a:prstGeom>
                          <a:noFill/>
                          <a:ln>
                            <a:noFill/>
                          </a:ln>
                        </pic:spPr>
                      </pic:pic>
                    </a:graphicData>
                  </a:graphic>
                </wp:inline>
              </w:drawing>
            </w:r>
          </w:p>
        </w:tc>
      </w:tr>
      <w:tr w:rsidR="00590A61" w:rsidRPr="00AB3524" w14:paraId="49964B5F" w14:textId="77777777" w:rsidTr="00460C69">
        <w:trPr>
          <w:cantSplit/>
        </w:trPr>
        <w:tc>
          <w:tcPr>
            <w:tcW w:w="4110" w:type="dxa"/>
            <w:shd w:val="clear" w:color="auto" w:fill="auto"/>
          </w:tcPr>
          <w:p w14:paraId="07224AA5" w14:textId="77777777" w:rsidR="00590A61" w:rsidRPr="00AB3524" w:rsidRDefault="00590A61" w:rsidP="00460C69">
            <w:pPr>
              <w:pStyle w:val="TableSource"/>
            </w:pPr>
            <w:r w:rsidRPr="00AB3524">
              <w:rPr>
                <w:b/>
                <w:i/>
              </w:rPr>
              <w:t>Source:</w:t>
            </w:r>
            <w:r w:rsidRPr="00AB3524">
              <w:t xml:space="preserve"> Commission services, EPC.</w:t>
            </w:r>
          </w:p>
        </w:tc>
      </w:tr>
      <w:tr w:rsidR="00590A61" w:rsidRPr="00AB3524" w14:paraId="2A7590CB" w14:textId="77777777" w:rsidTr="00460C69">
        <w:trPr>
          <w:cantSplit/>
          <w:trHeight w:val="20"/>
        </w:trPr>
        <w:tc>
          <w:tcPr>
            <w:tcW w:w="4110" w:type="dxa"/>
            <w:shd w:val="clear" w:color="auto" w:fill="auto"/>
            <w:tcMar>
              <w:bottom w:w="240" w:type="dxa"/>
            </w:tcMar>
          </w:tcPr>
          <w:p w14:paraId="25D65487" w14:textId="77777777" w:rsidR="00590A61" w:rsidRPr="00AB3524" w:rsidRDefault="00590A61" w:rsidP="00460C69">
            <w:pPr>
              <w:pStyle w:val="SlimCell"/>
            </w:pPr>
          </w:p>
        </w:tc>
      </w:tr>
    </w:tbl>
    <w:p w14:paraId="7B4075BD" w14:textId="77777777" w:rsidR="00590A61" w:rsidRPr="00AB3524" w:rsidRDefault="00590A61" w:rsidP="00460C69">
      <w:r w:rsidRPr="00AB3524">
        <w:t xml:space="preserve">The </w:t>
      </w:r>
      <w:r w:rsidRPr="00AB3524">
        <w:rPr>
          <w:i/>
        </w:rPr>
        <w:t>"</w:t>
      </w:r>
      <w:r w:rsidRPr="00AB3524">
        <w:rPr>
          <w:b/>
          <w:i/>
        </w:rPr>
        <w:t>sector-specific composite indexation scenario</w:t>
      </w:r>
      <w:r w:rsidRPr="00AB3524">
        <w:rPr>
          <w:i/>
        </w:rPr>
        <w:t>"</w:t>
      </w:r>
      <w:r w:rsidRPr="00AB3524">
        <w:t xml:space="preserve"> in which future expenditure of each different health system sub-sector evolves in line with their specific past trends (Table </w:t>
      </w:r>
      <w:r w:rsidRPr="00AB3524">
        <w:fldChar w:fldCharType="begin"/>
      </w:r>
      <w:r w:rsidRPr="00AB3524">
        <w:instrText xml:space="preserve"> QUOTE "II.2.10"</w:instrText>
      </w:r>
      <w:r w:rsidRPr="00AB3524">
        <w:fldChar w:fldCharType="begin">
          <w:fldData xml:space="preserve">QwBSAE8AUwBTAFIARQBGAEUAUgBFAE4AQwBFACoAVABBAEIATABFACoAMABjADUAYwA4ADAAZQBl
AC0ANABmAGUAMQAtADQAMwBkADgALQBiAGUAMQBhAC0ANQBmADYAMQAwAGUAMQBkADIAMgA0ADYA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II.2.10</w:t>
      </w:r>
      <w:r w:rsidRPr="00AB3524">
        <w:fldChar w:fldCharType="end"/>
      </w:r>
      <w:r w:rsidRPr="00AB3524">
        <w:t>), leads to an average projected increase 1.3 pps. of GDP higher than the EU average in the "demographic scenario".</w:t>
      </w:r>
    </w:p>
    <w:tbl>
      <w:tblPr>
        <w:tblW w:w="0" w:type="auto"/>
        <w:tblLayout w:type="fixed"/>
        <w:tblCellMar>
          <w:left w:w="0" w:type="dxa"/>
          <w:right w:w="0" w:type="dxa"/>
        </w:tblCellMar>
        <w:tblLook w:val="0000" w:firstRow="0" w:lastRow="0" w:firstColumn="0" w:lastColumn="0" w:noHBand="0" w:noVBand="0"/>
      </w:tblPr>
      <w:tblGrid>
        <w:gridCol w:w="4110"/>
      </w:tblGrid>
      <w:tr w:rsidR="00590A61" w:rsidRPr="00AB3524" w14:paraId="3FFDF231" w14:textId="77777777" w:rsidTr="00460C69">
        <w:trPr>
          <w:cantSplit/>
          <w:trHeight w:val="20"/>
        </w:trPr>
        <w:tc>
          <w:tcPr>
            <w:tcW w:w="4110" w:type="dxa"/>
            <w:shd w:val="clear" w:color="auto" w:fill="auto"/>
          </w:tcPr>
          <w:p w14:paraId="72F1C420" w14:textId="77777777" w:rsidR="00590A61" w:rsidRPr="00AB3524" w:rsidRDefault="00590A61" w:rsidP="00460C69">
            <w:pPr>
              <w:pStyle w:val="SlimCell"/>
              <w:keepNext/>
            </w:pPr>
          </w:p>
        </w:tc>
      </w:tr>
      <w:tr w:rsidR="00590A61" w:rsidRPr="00AB3524" w14:paraId="37418619" w14:textId="77777777" w:rsidTr="00460C69">
        <w:trPr>
          <w:cantSplit/>
        </w:trPr>
        <w:tc>
          <w:tcPr>
            <w:tcW w:w="4110" w:type="dxa"/>
            <w:shd w:val="clear" w:color="auto" w:fill="auto"/>
          </w:tcPr>
          <w:p w14:paraId="0C41114E" w14:textId="77777777" w:rsidR="00590A61" w:rsidRPr="00AB3524" w:rsidRDefault="00590A61" w:rsidP="00460C69">
            <w:pPr>
              <w:pStyle w:val="TableTitle"/>
              <w:rPr>
                <w:b/>
              </w:rPr>
            </w:pPr>
            <w:r w:rsidRPr="00AB3524">
              <w:t>Table II.2.10:</w:t>
            </w:r>
            <w:r w:rsidRPr="00AB3524">
              <w:rPr>
                <w:b/>
              </w:rPr>
              <w:tab/>
              <w:t>Sector-specific composite indexation scenario - projected increase in public expenditure on health care over 2016-2070, as % of GDP</w:t>
            </w:r>
          </w:p>
        </w:tc>
      </w:tr>
      <w:tr w:rsidR="00590A61" w:rsidRPr="00AB3524" w14:paraId="2213A9D3" w14:textId="77777777" w:rsidTr="00460C69">
        <w:trPr>
          <w:cantSplit/>
        </w:trPr>
        <w:tc>
          <w:tcPr>
            <w:tcW w:w="4110" w:type="dxa"/>
            <w:shd w:val="clear" w:color="auto" w:fill="auto"/>
          </w:tcPr>
          <w:p w14:paraId="67C23FBA" w14:textId="77777777" w:rsidR="00590A61" w:rsidRPr="00AB3524" w:rsidRDefault="00590A61" w:rsidP="00460C69">
            <w:pPr>
              <w:pStyle w:val="TableShape"/>
              <w:rPr>
                <w:sz w:val="2"/>
              </w:rPr>
            </w:pPr>
            <w:r w:rsidRPr="00AB3524">
              <w:fldChar w:fldCharType="begin"/>
            </w:r>
            <w:r w:rsidRPr="009F3ED8">
              <w:instrText xml:space="preserve"> TC "</w:instrText>
            </w:r>
            <w:bookmarkStart w:id="192" w:name="_Toc511664555"/>
            <w:r w:rsidRPr="009F3ED8">
              <w:instrText>II.2.10.</w:instrText>
            </w:r>
            <w:r w:rsidRPr="009F3ED8">
              <w:tab/>
              <w:instrText>Sector-specific composite indexation scenario - projected increase in public expenditure on health care over 2016-2070, as % of GDP</w:instrText>
            </w:r>
            <w:bookmarkEnd w:id="192"/>
            <w:r w:rsidRPr="009F3ED8">
              <w:instrText xml:space="preserve">" \ftable \l 5 </w:instrText>
            </w:r>
            <w:r w:rsidRPr="00AB3524">
              <w:fldChar w:fldCharType="end"/>
            </w:r>
            <w:r w:rsidRPr="00AB3524">
              <w:rPr>
                <w:noProof/>
                <w:sz w:val="2"/>
                <w:lang w:val="hr-HR" w:eastAsia="hr-HR"/>
              </w:rPr>
              <w:drawing>
                <wp:inline distT="0" distB="0" distL="0" distR="0" wp14:anchorId="6315B158" wp14:editId="52416F62">
                  <wp:extent cx="2597595" cy="4152361"/>
                  <wp:effectExtent l="0" t="0" r="0" b="635"/>
                  <wp:docPr id="1058" name="Picture 1058" descr="&lt;nbr&gt;&lt;GETTEXTFROMWORD&gt;&lt;/nbr&gt;&#10;&lt;title&gt;&lt;GETTEXTFROMWORD&gt;&lt;/title&gt;&#10;&lt;id&gt;0c5c80ee-4fe1-43d8-be1a-5f610e1d2246&lt;/id&gt;&#10;&lt;srcType&gt;EXCEL&lt;/srcType&gt;&#10;&lt;srcPath&gt;U:\Budgetary projections 2018\Reports\2018 AR\Tables_and_graphs\Part II Chapter 2\&lt;/srcPath&gt;&#10;&lt;srcName&gt;tables &amp; graphs - Part II - Chapter 2 - HC.xlsx&lt;/srcName&gt;&#10;&lt;type&gt;table&lt;/type&gt;&#10; &lt;srcSheet&gt;sector specific&lt;/srcSheet&gt;&#10; &lt;srcRange&gt;R2C2:R40C6&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597595" cy="4152361"/>
                          </a:xfrm>
                          <a:prstGeom prst="rect">
                            <a:avLst/>
                          </a:prstGeom>
                          <a:noFill/>
                          <a:ln>
                            <a:noFill/>
                          </a:ln>
                        </pic:spPr>
                      </pic:pic>
                    </a:graphicData>
                  </a:graphic>
                </wp:inline>
              </w:drawing>
            </w:r>
          </w:p>
        </w:tc>
      </w:tr>
      <w:tr w:rsidR="00590A61" w:rsidRPr="00AB3524" w14:paraId="6C46EABE" w14:textId="77777777" w:rsidTr="00460C69">
        <w:trPr>
          <w:cantSplit/>
        </w:trPr>
        <w:tc>
          <w:tcPr>
            <w:tcW w:w="4110" w:type="dxa"/>
            <w:shd w:val="clear" w:color="auto" w:fill="auto"/>
          </w:tcPr>
          <w:p w14:paraId="6766C2AA" w14:textId="77777777" w:rsidR="00590A61" w:rsidRPr="00AB3524" w:rsidRDefault="00590A61" w:rsidP="00460C69">
            <w:pPr>
              <w:pStyle w:val="TableSource"/>
            </w:pPr>
            <w:r w:rsidRPr="00AB3524">
              <w:rPr>
                <w:b/>
                <w:i/>
              </w:rPr>
              <w:t>Source:</w:t>
            </w:r>
            <w:r w:rsidRPr="00AB3524">
              <w:t xml:space="preserve"> Commission services, EPC.</w:t>
            </w:r>
          </w:p>
        </w:tc>
      </w:tr>
      <w:tr w:rsidR="00590A61" w:rsidRPr="00AB3524" w14:paraId="125BD68C" w14:textId="77777777" w:rsidTr="00460C69">
        <w:trPr>
          <w:cantSplit/>
          <w:trHeight w:val="20"/>
        </w:trPr>
        <w:tc>
          <w:tcPr>
            <w:tcW w:w="4110" w:type="dxa"/>
            <w:shd w:val="clear" w:color="auto" w:fill="auto"/>
            <w:tcMar>
              <w:bottom w:w="240" w:type="dxa"/>
            </w:tcMar>
          </w:tcPr>
          <w:p w14:paraId="77A865F1" w14:textId="77777777" w:rsidR="00590A61" w:rsidRPr="00AB3524" w:rsidRDefault="00590A61" w:rsidP="00460C69">
            <w:pPr>
              <w:pStyle w:val="SlimCell"/>
            </w:pPr>
          </w:p>
        </w:tc>
      </w:tr>
    </w:tbl>
    <w:p w14:paraId="68428668" w14:textId="77777777" w:rsidR="00590A61" w:rsidRPr="00AB3524" w:rsidRDefault="00590A61" w:rsidP="00460C69">
      <w:r w:rsidRPr="00AB3524">
        <w:t xml:space="preserve">Table </w:t>
      </w:r>
      <w:r w:rsidRPr="00AB3524">
        <w:fldChar w:fldCharType="begin"/>
      </w:r>
      <w:r w:rsidRPr="00AB3524">
        <w:instrText xml:space="preserve"> QUOTE "II.2.11"</w:instrText>
      </w:r>
      <w:r w:rsidRPr="00AB3524">
        <w:fldChar w:fldCharType="begin">
          <w:fldData xml:space="preserve">QwBSAE8AUwBTAFIARQBGAEUAUgBFAE4AQwBFACoAVABBAEIATABFACoAYgA0AGYAMwAxADAANQBl
AC0AZgA4ADQAZQAtADQAOAA0AGMALQBiADAAZAA0AC0AZABkADgANwAxADkAYgBjAGUAMwAzADYA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II.2.11</w:t>
      </w:r>
      <w:r w:rsidRPr="00AB3524">
        <w:fldChar w:fldCharType="end"/>
      </w:r>
      <w:r w:rsidRPr="00AB3524">
        <w:t xml:space="preserve"> presents the projection results under the </w:t>
      </w:r>
      <w:r w:rsidRPr="00AB3524">
        <w:rPr>
          <w:i/>
        </w:rPr>
        <w:t>"</w:t>
      </w:r>
      <w:r w:rsidRPr="00AB3524">
        <w:rPr>
          <w:b/>
          <w:i/>
        </w:rPr>
        <w:t>non-demographic determinants scenario</w:t>
      </w:r>
      <w:r w:rsidRPr="00AB3524">
        <w:rPr>
          <w:i/>
        </w:rPr>
        <w:t>"</w:t>
      </w:r>
      <w:r w:rsidRPr="00AB3524">
        <w:t>. Following econometric analysis (</w:t>
      </w:r>
      <w:r w:rsidRPr="00AB3524">
        <w:rPr>
          <w:rStyle w:val="Referencafusnote"/>
        </w:rPr>
        <w:footnoteReference w:id="94"/>
      </w:r>
      <w:r w:rsidRPr="00AB3524">
        <w:t>), an average elasticity of 1.4 converging non-linearly to 1 in 2070 is applied to the age-gender expenditure profiles. On average, the increase in public expenditure on health care is projected to be 2.8 pps. of GDP (compared to the 1.1 pps. projected for the EU28 under the "demographic scenario"). The results highlight the potential impact of non-demographic drivers on health care expenditure, such as innovations in medical technology, institutional settings and individual behaviour. Such upward risk on the future evolution of public expenditure on health care is not captured in the "demographic scenario".</w:t>
      </w:r>
    </w:p>
    <w:tbl>
      <w:tblPr>
        <w:tblW w:w="0" w:type="auto"/>
        <w:tblLayout w:type="fixed"/>
        <w:tblCellMar>
          <w:left w:w="0" w:type="dxa"/>
          <w:right w:w="0" w:type="dxa"/>
        </w:tblCellMar>
        <w:tblLook w:val="0000" w:firstRow="0" w:lastRow="0" w:firstColumn="0" w:lastColumn="0" w:noHBand="0" w:noVBand="0"/>
      </w:tblPr>
      <w:tblGrid>
        <w:gridCol w:w="4110"/>
      </w:tblGrid>
      <w:tr w:rsidR="00590A61" w:rsidRPr="00AB3524" w14:paraId="25D90C5A" w14:textId="77777777" w:rsidTr="00460C69">
        <w:trPr>
          <w:cantSplit/>
          <w:trHeight w:val="20"/>
        </w:trPr>
        <w:tc>
          <w:tcPr>
            <w:tcW w:w="4110" w:type="dxa"/>
            <w:shd w:val="clear" w:color="auto" w:fill="auto"/>
          </w:tcPr>
          <w:p w14:paraId="5B2B43E8" w14:textId="77777777" w:rsidR="00590A61" w:rsidRPr="00AB3524" w:rsidRDefault="00590A61" w:rsidP="00460C69">
            <w:pPr>
              <w:pStyle w:val="SlimCell"/>
              <w:keepNext/>
            </w:pPr>
          </w:p>
        </w:tc>
      </w:tr>
      <w:tr w:rsidR="00590A61" w:rsidRPr="00AB3524" w14:paraId="408A1F52" w14:textId="77777777" w:rsidTr="00460C69">
        <w:trPr>
          <w:cantSplit/>
        </w:trPr>
        <w:tc>
          <w:tcPr>
            <w:tcW w:w="4110" w:type="dxa"/>
            <w:shd w:val="clear" w:color="auto" w:fill="auto"/>
          </w:tcPr>
          <w:p w14:paraId="12BB8FD8" w14:textId="77777777" w:rsidR="00590A61" w:rsidRPr="00AB3524" w:rsidRDefault="00590A61" w:rsidP="00460C69">
            <w:pPr>
              <w:pStyle w:val="TableTitle"/>
              <w:rPr>
                <w:b/>
              </w:rPr>
            </w:pPr>
            <w:r w:rsidRPr="00AB3524">
              <w:t>Table II.2.11:</w:t>
            </w:r>
            <w:r w:rsidRPr="00AB3524">
              <w:rPr>
                <w:b/>
              </w:rPr>
              <w:tab/>
              <w:t>Non-demographic determinants scenario - projected increase in public expenditure on health care over 2016-2070, as % of GDP</w:t>
            </w:r>
          </w:p>
        </w:tc>
      </w:tr>
      <w:tr w:rsidR="00590A61" w:rsidRPr="00AB3524" w14:paraId="7338B264" w14:textId="77777777" w:rsidTr="00460C69">
        <w:trPr>
          <w:cantSplit/>
        </w:trPr>
        <w:tc>
          <w:tcPr>
            <w:tcW w:w="4110" w:type="dxa"/>
            <w:shd w:val="clear" w:color="auto" w:fill="auto"/>
          </w:tcPr>
          <w:p w14:paraId="0DE05C11" w14:textId="77777777" w:rsidR="00590A61" w:rsidRPr="00AB3524" w:rsidRDefault="00590A61" w:rsidP="00460C69">
            <w:pPr>
              <w:pStyle w:val="TableShape"/>
              <w:rPr>
                <w:sz w:val="2"/>
              </w:rPr>
            </w:pPr>
            <w:r w:rsidRPr="00AB3524">
              <w:fldChar w:fldCharType="begin"/>
            </w:r>
            <w:r w:rsidRPr="009F3ED8">
              <w:instrText xml:space="preserve"> TC "</w:instrText>
            </w:r>
            <w:bookmarkStart w:id="193" w:name="_Toc511664556"/>
            <w:r w:rsidRPr="009F3ED8">
              <w:instrText>II.2.11.</w:instrText>
            </w:r>
            <w:r w:rsidRPr="009F3ED8">
              <w:tab/>
              <w:instrText>Non-demographic determinants scenario - projected increase in public expenditure on health care over 2016-2070, as % of GDP</w:instrText>
            </w:r>
            <w:bookmarkEnd w:id="193"/>
            <w:r w:rsidRPr="009F3ED8">
              <w:instrText xml:space="preserve">" \ftable \l 5 </w:instrText>
            </w:r>
            <w:r w:rsidRPr="00AB3524">
              <w:fldChar w:fldCharType="end"/>
            </w:r>
            <w:r w:rsidRPr="00AB3524">
              <w:rPr>
                <w:noProof/>
                <w:sz w:val="2"/>
                <w:lang w:val="hr-HR" w:eastAsia="hr-HR"/>
              </w:rPr>
              <w:drawing>
                <wp:inline distT="0" distB="0" distL="0" distR="0" wp14:anchorId="335AEA74" wp14:editId="41E1348A">
                  <wp:extent cx="2597595" cy="4152361"/>
                  <wp:effectExtent l="0" t="0" r="0" b="635"/>
                  <wp:docPr id="1059" name="Picture 1059" descr="&lt;nbr&gt;&lt;GETTEXTFROMWORD&gt;&lt;/nbr&gt;&#10;&lt;title&gt;&lt;GETTEXTFROMWORD&gt;&lt;/title&gt;&#10;&lt;id&gt;b4f3105e-f84e-484c-b0d4-dd8719bce336&lt;/id&gt;&#10;&lt;srcType&gt;EXCEL&lt;/srcType&gt;&#10;&lt;srcPath&gt;U:\Budgetary projections 2018\Reports\2018 AR\Tables_and_graphs\Part II Chapter 2\&lt;/srcPath&gt;&#10;&lt;srcName&gt;tables &amp; graphs - Part II - Chapter 2 - HC.xlsx&lt;/srcName&gt;&#10;&lt;type&gt;table&lt;/type&gt;&#10; &lt;srcSheet&gt;non demo&lt;/srcSheet&gt;&#10; &lt;srcRange&gt;R2C2:R40C6&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597595" cy="4152361"/>
                          </a:xfrm>
                          <a:prstGeom prst="rect">
                            <a:avLst/>
                          </a:prstGeom>
                          <a:noFill/>
                          <a:ln>
                            <a:noFill/>
                          </a:ln>
                        </pic:spPr>
                      </pic:pic>
                    </a:graphicData>
                  </a:graphic>
                </wp:inline>
              </w:drawing>
            </w:r>
          </w:p>
        </w:tc>
      </w:tr>
      <w:tr w:rsidR="00590A61" w:rsidRPr="00AB3524" w14:paraId="3D67D828" w14:textId="77777777" w:rsidTr="00460C69">
        <w:trPr>
          <w:cantSplit/>
        </w:trPr>
        <w:tc>
          <w:tcPr>
            <w:tcW w:w="4110" w:type="dxa"/>
            <w:shd w:val="clear" w:color="auto" w:fill="auto"/>
          </w:tcPr>
          <w:p w14:paraId="6120ABB3" w14:textId="77777777" w:rsidR="00590A61" w:rsidRPr="00AB3524" w:rsidRDefault="00590A61" w:rsidP="00460C69">
            <w:pPr>
              <w:pStyle w:val="TableSource"/>
            </w:pPr>
            <w:r w:rsidRPr="00AB3524">
              <w:rPr>
                <w:b/>
                <w:i/>
              </w:rPr>
              <w:t>Source:</w:t>
            </w:r>
            <w:r w:rsidRPr="00AB3524">
              <w:t xml:space="preserve"> Commission services, EPC.</w:t>
            </w:r>
          </w:p>
        </w:tc>
      </w:tr>
      <w:tr w:rsidR="00590A61" w:rsidRPr="00AB3524" w14:paraId="43945A3F" w14:textId="77777777" w:rsidTr="00460C69">
        <w:trPr>
          <w:cantSplit/>
          <w:trHeight w:val="20"/>
        </w:trPr>
        <w:tc>
          <w:tcPr>
            <w:tcW w:w="4110" w:type="dxa"/>
            <w:shd w:val="clear" w:color="auto" w:fill="auto"/>
            <w:tcMar>
              <w:bottom w:w="240" w:type="dxa"/>
            </w:tcMar>
          </w:tcPr>
          <w:p w14:paraId="53DC401C" w14:textId="77777777" w:rsidR="00590A61" w:rsidRPr="00AB3524" w:rsidRDefault="00590A61" w:rsidP="00460C69">
            <w:pPr>
              <w:pStyle w:val="SlimCell"/>
            </w:pPr>
          </w:p>
        </w:tc>
      </w:tr>
    </w:tbl>
    <w:p w14:paraId="2D570831" w14:textId="77777777" w:rsidR="00590A61" w:rsidRPr="00AB3524" w:rsidRDefault="00590A61" w:rsidP="00460C69">
      <w:pPr>
        <w:pStyle w:val="NumberedHeading2"/>
        <w:tabs>
          <w:tab w:val="left" w:pos="567"/>
        </w:tabs>
      </w:pPr>
      <w:r w:rsidRPr="00AB3524">
        <w:t>2.4.3.</w:t>
      </w:r>
      <w:r w:rsidRPr="00AB3524">
        <w:tab/>
        <w:t>AWG reference scenario</w:t>
      </w:r>
    </w:p>
    <w:p w14:paraId="7EE20974" w14:textId="77777777" w:rsidR="00590A61" w:rsidRPr="00AB3524" w:rsidRDefault="00590A61" w:rsidP="00460C69">
      <w:r w:rsidRPr="00AB3524">
        <w:t xml:space="preserve">The </w:t>
      </w:r>
      <w:r w:rsidRPr="00AB3524">
        <w:rPr>
          <w:i/>
        </w:rPr>
        <w:t>“</w:t>
      </w:r>
      <w:r w:rsidRPr="00AB3524">
        <w:rPr>
          <w:b/>
          <w:i/>
        </w:rPr>
        <w:t>AWG reference scenario</w:t>
      </w:r>
      <w:r w:rsidRPr="00AB3524">
        <w:rPr>
          <w:i/>
        </w:rPr>
        <w:t>”</w:t>
      </w:r>
      <w:r w:rsidRPr="00AB3524">
        <w:t xml:space="preserve"> is used as the baseline scenario. In this scenario health care expenditures are driven by the assumption that half of the future gains in life expectancy are spent in good health and an income elasticity of health care spending converging linearly from 1.1 in 2016 to unity in 2070. The joint impact of those factors is a projected increase in spending of about 0.9 pps. of GDP in the EU28 by 2070 (Table </w:t>
      </w:r>
      <w:r w:rsidRPr="00AB3524">
        <w:fldChar w:fldCharType="begin"/>
      </w:r>
      <w:r w:rsidRPr="00AB3524">
        <w:instrText xml:space="preserve"> QUOTE "II.2.12"</w:instrText>
      </w:r>
      <w:r w:rsidRPr="00AB3524">
        <w:fldChar w:fldCharType="begin">
          <w:fldData xml:space="preserve">QwBSAE8AUwBTAFIARQBGAEUAUgBFAE4AQwBFACoAVABBAEIATABFACoANwBkAGEANgBiADEAYQAw
AC0ANgAwADMANwAtADQAMAAzADcALQBiAGQAOQA3AC0AMgA2ADUAMwA0AGYAMQA0AGEAMwA3AGIA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II.2.12</w:t>
      </w:r>
      <w:r w:rsidRPr="00AB3524">
        <w:fldChar w:fldCharType="end"/>
      </w:r>
      <w:r w:rsidRPr="00AB3524">
        <w:t>). Individual countries’ results range between 0.3 pps. (Bulgaria and Estonia) and 2.7 pps. of GDP (Malta). The estimated increases in spending are 0.2 pps. of GDP lower for the EU28 than in the "demographic scenario".</w:t>
      </w:r>
    </w:p>
    <w:tbl>
      <w:tblPr>
        <w:tblW w:w="0" w:type="auto"/>
        <w:tblLayout w:type="fixed"/>
        <w:tblCellMar>
          <w:left w:w="0" w:type="dxa"/>
          <w:right w:w="0" w:type="dxa"/>
        </w:tblCellMar>
        <w:tblLook w:val="0000" w:firstRow="0" w:lastRow="0" w:firstColumn="0" w:lastColumn="0" w:noHBand="0" w:noVBand="0"/>
      </w:tblPr>
      <w:tblGrid>
        <w:gridCol w:w="4110"/>
      </w:tblGrid>
      <w:tr w:rsidR="00590A61" w:rsidRPr="00AB3524" w14:paraId="2C3B6A68" w14:textId="77777777" w:rsidTr="00460C69">
        <w:trPr>
          <w:cantSplit/>
          <w:trHeight w:val="20"/>
        </w:trPr>
        <w:tc>
          <w:tcPr>
            <w:tcW w:w="4110" w:type="dxa"/>
            <w:shd w:val="clear" w:color="auto" w:fill="auto"/>
          </w:tcPr>
          <w:p w14:paraId="4091962F" w14:textId="77777777" w:rsidR="00590A61" w:rsidRPr="00AB3524" w:rsidRDefault="00590A61" w:rsidP="00460C69">
            <w:pPr>
              <w:pStyle w:val="SlimCell"/>
              <w:keepNext/>
            </w:pPr>
          </w:p>
        </w:tc>
      </w:tr>
      <w:tr w:rsidR="00590A61" w:rsidRPr="00AB3524" w14:paraId="5A9355AA" w14:textId="77777777" w:rsidTr="00460C69">
        <w:trPr>
          <w:cantSplit/>
        </w:trPr>
        <w:tc>
          <w:tcPr>
            <w:tcW w:w="4110" w:type="dxa"/>
            <w:shd w:val="clear" w:color="auto" w:fill="auto"/>
          </w:tcPr>
          <w:p w14:paraId="7E6DEFBE" w14:textId="77777777" w:rsidR="00590A61" w:rsidRPr="00AB3524" w:rsidRDefault="00590A61" w:rsidP="00460C69">
            <w:pPr>
              <w:pStyle w:val="TableTitle"/>
              <w:rPr>
                <w:b/>
              </w:rPr>
            </w:pPr>
            <w:r w:rsidRPr="00AB3524">
              <w:t>Table II.2.12:</w:t>
            </w:r>
            <w:r w:rsidRPr="00AB3524">
              <w:rPr>
                <w:b/>
              </w:rPr>
              <w:tab/>
              <w:t>AWG reference scenario - projected increase in public expenditure on health care over 2016-2070, as % of GDP</w:t>
            </w:r>
          </w:p>
        </w:tc>
      </w:tr>
      <w:tr w:rsidR="00590A61" w:rsidRPr="00AB3524" w14:paraId="7AB33681" w14:textId="77777777" w:rsidTr="00460C69">
        <w:trPr>
          <w:cantSplit/>
        </w:trPr>
        <w:tc>
          <w:tcPr>
            <w:tcW w:w="4110" w:type="dxa"/>
            <w:shd w:val="clear" w:color="auto" w:fill="auto"/>
          </w:tcPr>
          <w:p w14:paraId="614A4E85" w14:textId="77777777" w:rsidR="00590A61" w:rsidRPr="00AB3524" w:rsidRDefault="00590A61" w:rsidP="00460C69">
            <w:pPr>
              <w:pStyle w:val="TableShape"/>
              <w:rPr>
                <w:sz w:val="2"/>
              </w:rPr>
            </w:pPr>
            <w:r w:rsidRPr="00AB3524">
              <w:fldChar w:fldCharType="begin"/>
            </w:r>
            <w:r w:rsidRPr="009F3ED8">
              <w:instrText xml:space="preserve"> TC "</w:instrText>
            </w:r>
            <w:bookmarkStart w:id="194" w:name="_Toc511664557"/>
            <w:r w:rsidRPr="009F3ED8">
              <w:instrText>II.2.12.</w:instrText>
            </w:r>
            <w:r w:rsidRPr="009F3ED8">
              <w:tab/>
              <w:instrText>AWG reference scenario - projected increase in public expenditure on health care over 2016-2070, as % of GDP</w:instrText>
            </w:r>
            <w:bookmarkEnd w:id="194"/>
            <w:r w:rsidRPr="009F3ED8">
              <w:instrText xml:space="preserve">" \ftable \l 5 </w:instrText>
            </w:r>
            <w:r w:rsidRPr="00AB3524">
              <w:fldChar w:fldCharType="end"/>
            </w:r>
            <w:r w:rsidRPr="00AB3524">
              <w:rPr>
                <w:noProof/>
                <w:sz w:val="2"/>
                <w:lang w:val="hr-HR" w:eastAsia="hr-HR"/>
              </w:rPr>
              <w:drawing>
                <wp:inline distT="0" distB="0" distL="0" distR="0" wp14:anchorId="77A96826" wp14:editId="390D67BA">
                  <wp:extent cx="2597595" cy="4152361"/>
                  <wp:effectExtent l="0" t="0" r="0" b="635"/>
                  <wp:docPr id="1060" name="Picture 1060" descr="&lt;nbr&gt;&lt;GETTEXTFROMWORD&gt;&lt;/nbr&gt;&#10;&lt;title&gt;&lt;GETTEXTFROMWORD&gt;&lt;/title&gt;&#10;&lt;id&gt;7da6b1a0-6037-4037-bd97-26534f14a37b&lt;/id&gt;&#10;&lt;srcType&gt;EXCEL&lt;/srcType&gt;&#10;&lt;srcPath&gt;U:\Budgetary projections 2018\Reports\2018 AR\Tables_and_graphs\Part II Chapter 2\&lt;/srcPath&gt;&#10;&lt;srcName&gt;tables &amp; graphs - Part II - Chapter 2 - HC.xlsx&lt;/srcName&gt;&#10;&lt;type&gt;table&lt;/type&gt;&#10; &lt;srcSheet&gt;AWG ref&lt;/srcSheet&gt;&#10; &lt;srcRange&gt;R2C2:R40C6&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597595" cy="4152361"/>
                          </a:xfrm>
                          <a:prstGeom prst="rect">
                            <a:avLst/>
                          </a:prstGeom>
                          <a:noFill/>
                          <a:ln>
                            <a:noFill/>
                          </a:ln>
                        </pic:spPr>
                      </pic:pic>
                    </a:graphicData>
                  </a:graphic>
                </wp:inline>
              </w:drawing>
            </w:r>
          </w:p>
        </w:tc>
      </w:tr>
      <w:tr w:rsidR="00590A61" w:rsidRPr="00AB3524" w14:paraId="30F730D2" w14:textId="77777777" w:rsidTr="00460C69">
        <w:trPr>
          <w:cantSplit/>
        </w:trPr>
        <w:tc>
          <w:tcPr>
            <w:tcW w:w="4110" w:type="dxa"/>
            <w:shd w:val="clear" w:color="auto" w:fill="auto"/>
          </w:tcPr>
          <w:p w14:paraId="483EEC2C" w14:textId="77777777" w:rsidR="00590A61" w:rsidRPr="00AB3524" w:rsidRDefault="00590A61" w:rsidP="00460C69">
            <w:pPr>
              <w:pStyle w:val="TableSource"/>
            </w:pPr>
            <w:r w:rsidRPr="00AB3524">
              <w:rPr>
                <w:b/>
                <w:i/>
              </w:rPr>
              <w:t>Source:</w:t>
            </w:r>
            <w:r w:rsidRPr="00AB3524">
              <w:t xml:space="preserve"> Commission services, EPC.</w:t>
            </w:r>
          </w:p>
        </w:tc>
      </w:tr>
      <w:tr w:rsidR="00590A61" w:rsidRPr="00AB3524" w14:paraId="4F29DA2B" w14:textId="77777777" w:rsidTr="00460C69">
        <w:trPr>
          <w:cantSplit/>
          <w:trHeight w:val="20"/>
        </w:trPr>
        <w:tc>
          <w:tcPr>
            <w:tcW w:w="4110" w:type="dxa"/>
            <w:shd w:val="clear" w:color="auto" w:fill="auto"/>
            <w:tcMar>
              <w:bottom w:w="240" w:type="dxa"/>
            </w:tcMar>
          </w:tcPr>
          <w:p w14:paraId="1618C427" w14:textId="77777777" w:rsidR="00590A61" w:rsidRPr="00AB3524" w:rsidRDefault="00590A61" w:rsidP="00460C69">
            <w:pPr>
              <w:pStyle w:val="SlimCell"/>
            </w:pPr>
          </w:p>
        </w:tc>
      </w:tr>
    </w:tbl>
    <w:p w14:paraId="13A380D6" w14:textId="77777777" w:rsidR="00590A61" w:rsidRPr="00AB3524" w:rsidRDefault="00590A61" w:rsidP="00460C69">
      <w:pPr>
        <w:pStyle w:val="NumberedHeading2"/>
        <w:tabs>
          <w:tab w:val="left" w:pos="567"/>
        </w:tabs>
      </w:pPr>
      <w:r w:rsidRPr="00AB3524">
        <w:t>2.4.4.</w:t>
      </w:r>
      <w:r w:rsidRPr="00AB3524">
        <w:tab/>
        <w:t>AWG risk scenario</w:t>
      </w:r>
    </w:p>
    <w:p w14:paraId="029243B9" w14:textId="77777777" w:rsidR="00590A61" w:rsidRPr="00AB3524" w:rsidRDefault="00590A61" w:rsidP="00460C69">
      <w:r w:rsidRPr="00AB3524">
        <w:t xml:space="preserve">The </w:t>
      </w:r>
      <w:r w:rsidRPr="00AB3524">
        <w:rPr>
          <w:i/>
        </w:rPr>
        <w:t>"</w:t>
      </w:r>
      <w:r w:rsidRPr="00AB3524">
        <w:rPr>
          <w:b/>
          <w:i/>
        </w:rPr>
        <w:t>AWG risk scenario</w:t>
      </w:r>
      <w:r w:rsidRPr="00AB3524">
        <w:rPr>
          <w:i/>
        </w:rPr>
        <w:t>"</w:t>
      </w:r>
      <w:r w:rsidRPr="00AB3524">
        <w:t xml:space="preserve"> assumes the partial continuation of recently observed trends in health care expenditure. This scenario assumes that half of the future gains in life expectancy are spent in good health and the impact of non-demographic drivers on future trends is captured by using an elasticity of health care spending of 1.4 in 2016 converging linearly to unity in 2070. It projects spending in the EU28 to 8.4 % of GDP, i.e. an increase of 1.6 pps. of GDP relative to 2016 (Table </w:t>
      </w:r>
      <w:r w:rsidRPr="00AB3524">
        <w:fldChar w:fldCharType="begin"/>
      </w:r>
      <w:r w:rsidRPr="00AB3524">
        <w:instrText xml:space="preserve"> QUOTE "II.2.13"</w:instrText>
      </w:r>
      <w:r w:rsidRPr="00AB3524">
        <w:fldChar w:fldCharType="begin">
          <w:fldData xml:space="preserve">QwBSAE8AUwBTAFIARQBGAEUAUgBFAE4AQwBFACoAVABBAEIATABFACoAYQAzAGMAMgBlADIAOQA4
AC0AOQAwADcAZgAtADQANAA4AGIALQA5ADQAOAAwAC0ANQAwADMAMgAyADYAZgAxADMAMgBmADAA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II.2.13</w:t>
      </w:r>
      <w:r w:rsidRPr="00AB3524">
        <w:fldChar w:fldCharType="end"/>
      </w:r>
      <w:r w:rsidRPr="00AB3524">
        <w:t>). Over the whole projection period, Cyprus is expected to have the lowest increase with 0.6 pps. of GDP. Malta has the highest increase with 4.3 pps. of GDP. On average, the projected increase in public health spending in the EU is 0.5 pps. of GDP higher than in the “demographic scenario” and 0.7 pps. of GDP higher compared to the “AWG reference scenario”.</w:t>
      </w:r>
    </w:p>
    <w:tbl>
      <w:tblPr>
        <w:tblW w:w="0" w:type="auto"/>
        <w:tblLayout w:type="fixed"/>
        <w:tblCellMar>
          <w:left w:w="0" w:type="dxa"/>
          <w:right w:w="0" w:type="dxa"/>
        </w:tblCellMar>
        <w:tblLook w:val="0000" w:firstRow="0" w:lastRow="0" w:firstColumn="0" w:lastColumn="0" w:noHBand="0" w:noVBand="0"/>
      </w:tblPr>
      <w:tblGrid>
        <w:gridCol w:w="4110"/>
      </w:tblGrid>
      <w:tr w:rsidR="00590A61" w:rsidRPr="00AB3524" w14:paraId="770EF807" w14:textId="77777777" w:rsidTr="00460C69">
        <w:trPr>
          <w:cantSplit/>
          <w:trHeight w:val="20"/>
        </w:trPr>
        <w:tc>
          <w:tcPr>
            <w:tcW w:w="4110" w:type="dxa"/>
            <w:shd w:val="clear" w:color="auto" w:fill="auto"/>
          </w:tcPr>
          <w:p w14:paraId="403CC99A" w14:textId="77777777" w:rsidR="00590A61" w:rsidRPr="00AB3524" w:rsidRDefault="00590A61" w:rsidP="00460C69">
            <w:pPr>
              <w:pStyle w:val="SlimCell"/>
              <w:keepNext/>
            </w:pPr>
          </w:p>
        </w:tc>
      </w:tr>
      <w:tr w:rsidR="00590A61" w:rsidRPr="00AB3524" w14:paraId="1579FE69" w14:textId="77777777" w:rsidTr="00460C69">
        <w:trPr>
          <w:cantSplit/>
        </w:trPr>
        <w:tc>
          <w:tcPr>
            <w:tcW w:w="4110" w:type="dxa"/>
            <w:shd w:val="clear" w:color="auto" w:fill="auto"/>
          </w:tcPr>
          <w:p w14:paraId="144E28A5" w14:textId="77777777" w:rsidR="00590A61" w:rsidRPr="00AB3524" w:rsidRDefault="00590A61" w:rsidP="00460C69">
            <w:pPr>
              <w:pStyle w:val="TableTitle"/>
              <w:rPr>
                <w:b/>
              </w:rPr>
            </w:pPr>
            <w:r w:rsidRPr="00AB3524">
              <w:t>Table II.2.13:</w:t>
            </w:r>
            <w:r w:rsidRPr="00AB3524">
              <w:rPr>
                <w:b/>
              </w:rPr>
              <w:tab/>
              <w:t>AWG risk scenario - projected increase in public expenditure on health care over 2016-2070, as % of GDP</w:t>
            </w:r>
          </w:p>
        </w:tc>
      </w:tr>
      <w:tr w:rsidR="00590A61" w:rsidRPr="00AB3524" w14:paraId="1F9CDFC4" w14:textId="77777777" w:rsidTr="00460C69">
        <w:trPr>
          <w:cantSplit/>
        </w:trPr>
        <w:tc>
          <w:tcPr>
            <w:tcW w:w="4110" w:type="dxa"/>
            <w:shd w:val="clear" w:color="auto" w:fill="auto"/>
          </w:tcPr>
          <w:p w14:paraId="0421CC07" w14:textId="77777777" w:rsidR="00590A61" w:rsidRPr="00AB3524" w:rsidRDefault="00590A61" w:rsidP="00460C69">
            <w:pPr>
              <w:pStyle w:val="TableShape"/>
              <w:rPr>
                <w:sz w:val="2"/>
              </w:rPr>
            </w:pPr>
            <w:r w:rsidRPr="00AB3524">
              <w:fldChar w:fldCharType="begin"/>
            </w:r>
            <w:r w:rsidRPr="009F3ED8">
              <w:instrText xml:space="preserve"> TC "</w:instrText>
            </w:r>
            <w:bookmarkStart w:id="195" w:name="_Toc511664558"/>
            <w:r w:rsidRPr="009F3ED8">
              <w:instrText>II.2.13.</w:instrText>
            </w:r>
            <w:r w:rsidRPr="009F3ED8">
              <w:tab/>
              <w:instrText>AWG risk scenario - projected increase in public expenditure on health care over 2016-2070, as % of GDP</w:instrText>
            </w:r>
            <w:bookmarkEnd w:id="195"/>
            <w:r w:rsidRPr="009F3ED8">
              <w:instrText xml:space="preserve">" \ftable \l 5 </w:instrText>
            </w:r>
            <w:r w:rsidRPr="00AB3524">
              <w:fldChar w:fldCharType="end"/>
            </w:r>
            <w:r w:rsidRPr="00AB3524">
              <w:rPr>
                <w:noProof/>
                <w:sz w:val="2"/>
                <w:lang w:val="hr-HR" w:eastAsia="hr-HR"/>
              </w:rPr>
              <w:drawing>
                <wp:inline distT="0" distB="0" distL="0" distR="0" wp14:anchorId="52511007" wp14:editId="0AE0C4FF">
                  <wp:extent cx="2597595" cy="4152361"/>
                  <wp:effectExtent l="0" t="0" r="0" b="635"/>
                  <wp:docPr id="1061" name="Picture 1061" descr="&lt;nbr&gt;&lt;GETTEXTFROMWORD&gt;&lt;/nbr&gt;&#10;&lt;title&gt;&lt;GETTEXTFROMWORD&gt;&lt;/title&gt;&#10;&lt;id&gt;a3c2e298-907f-448b-9480-503226f132f0&lt;/id&gt;&#10;&lt;srcType&gt;EXCEL&lt;/srcType&gt;&#10;&lt;srcPath&gt;U:\Budgetary projections 2018\Reports\2018 AR\Tables_and_graphs\Part II Chapter 2\&lt;/srcPath&gt;&#10;&lt;srcName&gt;tables &amp; graphs - Part II - Chapter 2 - HC.xlsx&lt;/srcName&gt;&#10;&lt;type&gt;table&lt;/type&gt;&#10; &lt;srcSheet&gt;AWG risk&lt;/srcSheet&gt;&#10; &lt;srcRange&gt;R2C2:R40C6&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597595" cy="4152361"/>
                          </a:xfrm>
                          <a:prstGeom prst="rect">
                            <a:avLst/>
                          </a:prstGeom>
                          <a:noFill/>
                          <a:ln>
                            <a:noFill/>
                          </a:ln>
                        </pic:spPr>
                      </pic:pic>
                    </a:graphicData>
                  </a:graphic>
                </wp:inline>
              </w:drawing>
            </w:r>
          </w:p>
        </w:tc>
      </w:tr>
      <w:tr w:rsidR="00590A61" w:rsidRPr="00AB3524" w14:paraId="40E8AC55" w14:textId="77777777" w:rsidTr="00460C69">
        <w:trPr>
          <w:cantSplit/>
        </w:trPr>
        <w:tc>
          <w:tcPr>
            <w:tcW w:w="4110" w:type="dxa"/>
            <w:shd w:val="clear" w:color="auto" w:fill="auto"/>
          </w:tcPr>
          <w:p w14:paraId="60413705" w14:textId="77777777" w:rsidR="00590A61" w:rsidRPr="00AB3524" w:rsidRDefault="00590A61" w:rsidP="00460C69">
            <w:pPr>
              <w:pStyle w:val="TableSource"/>
            </w:pPr>
            <w:r w:rsidRPr="00AB3524">
              <w:rPr>
                <w:b/>
                <w:i/>
              </w:rPr>
              <w:t>Source:</w:t>
            </w:r>
            <w:r w:rsidRPr="00AB3524">
              <w:t xml:space="preserve"> Commission services, EPC.</w:t>
            </w:r>
          </w:p>
        </w:tc>
      </w:tr>
      <w:tr w:rsidR="00590A61" w:rsidRPr="00AB3524" w14:paraId="5274023B" w14:textId="77777777" w:rsidTr="00460C69">
        <w:trPr>
          <w:cantSplit/>
          <w:trHeight w:val="20"/>
        </w:trPr>
        <w:tc>
          <w:tcPr>
            <w:tcW w:w="4110" w:type="dxa"/>
            <w:shd w:val="clear" w:color="auto" w:fill="auto"/>
            <w:tcMar>
              <w:bottom w:w="240" w:type="dxa"/>
            </w:tcMar>
          </w:tcPr>
          <w:p w14:paraId="392819D6" w14:textId="77777777" w:rsidR="00590A61" w:rsidRPr="00AB3524" w:rsidRDefault="00590A61" w:rsidP="00460C69">
            <w:pPr>
              <w:pStyle w:val="SlimCell"/>
            </w:pPr>
          </w:p>
        </w:tc>
      </w:tr>
    </w:tbl>
    <w:p w14:paraId="478662F5" w14:textId="77777777" w:rsidR="00590A61" w:rsidRPr="00AB3524" w:rsidRDefault="00590A61" w:rsidP="00460C69">
      <w:pPr>
        <w:pStyle w:val="NumberedHeading2"/>
        <w:tabs>
          <w:tab w:val="left" w:pos="567"/>
        </w:tabs>
      </w:pPr>
      <w:r w:rsidRPr="00AB3524">
        <w:t>2.4.5.</w:t>
      </w:r>
      <w:r w:rsidRPr="00AB3524">
        <w:tab/>
        <w:t>TFP risk scenario</w:t>
      </w:r>
    </w:p>
    <w:p w14:paraId="098F1C76" w14:textId="77777777" w:rsidR="00590A61" w:rsidRPr="00AB3524" w:rsidRDefault="00590A61" w:rsidP="00460C69">
      <w:r w:rsidRPr="00AB3524">
        <w:t xml:space="preserve">Finally, the </w:t>
      </w:r>
      <w:r w:rsidRPr="00AB3524">
        <w:rPr>
          <w:i/>
        </w:rPr>
        <w:t>"</w:t>
      </w:r>
      <w:r w:rsidRPr="00AB3524">
        <w:rPr>
          <w:b/>
          <w:i/>
        </w:rPr>
        <w:t>total factor productivity risk scenario</w:t>
      </w:r>
      <w:r w:rsidRPr="00AB3524">
        <w:rPr>
          <w:i/>
        </w:rPr>
        <w:t>"</w:t>
      </w:r>
      <w:r w:rsidRPr="00AB3524">
        <w:t xml:space="preserve"> takes into account the risk that Total Factor Productivity growth may decline in the future below the assumptions of the "AWG reference scenario" by assuming that TFP converges to a growth rate of 0.8 % by 2045 (vs. 1.0 % for the baseline scenario). On average, the increase in public expenditure on health care is projected to be 0.8 pps. of GDP (Table </w:t>
      </w:r>
      <w:r w:rsidRPr="00AB3524">
        <w:fldChar w:fldCharType="begin"/>
      </w:r>
      <w:r w:rsidRPr="00AB3524">
        <w:instrText xml:space="preserve"> QUOTE "II.2.14"</w:instrText>
      </w:r>
      <w:r w:rsidRPr="00AB3524">
        <w:fldChar w:fldCharType="begin">
          <w:fldData xml:space="preserve">QwBSAE8AUwBTAFIARQBGAEUAUgBFAE4AQwBFACoAVABBAEIATABFACoAZgBlAGIAYgBhAGYAOAAz
AC0AYQAxADgAYwAtADQAMwAyAGQALQA4AGMAZABlAC0AZQBhADUAMAAzAGYAMQBiADIAMABkADIA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II.2.14</w:t>
      </w:r>
      <w:r w:rsidRPr="00AB3524">
        <w:fldChar w:fldCharType="end"/>
      </w:r>
      <w:r w:rsidRPr="00AB3524">
        <w:t>). This is 0.1 pps. of GDP less than the projected increase for the EU28 under the "AWG reference scenario" and 0.3 pps. of GDP lower compared to the EU average in the "demographic scenario".</w:t>
      </w:r>
    </w:p>
    <w:p w14:paraId="52438AF8" w14:textId="77777777" w:rsidR="00590A61" w:rsidRPr="00AB3524" w:rsidRDefault="00590A61" w:rsidP="00460C69"/>
    <w:tbl>
      <w:tblPr>
        <w:tblW w:w="0" w:type="auto"/>
        <w:tblLayout w:type="fixed"/>
        <w:tblCellMar>
          <w:left w:w="0" w:type="dxa"/>
          <w:right w:w="0" w:type="dxa"/>
        </w:tblCellMar>
        <w:tblLook w:val="0000" w:firstRow="0" w:lastRow="0" w:firstColumn="0" w:lastColumn="0" w:noHBand="0" w:noVBand="0"/>
      </w:tblPr>
      <w:tblGrid>
        <w:gridCol w:w="4110"/>
      </w:tblGrid>
      <w:tr w:rsidR="00590A61" w:rsidRPr="00AB3524" w14:paraId="563DAAE3" w14:textId="77777777" w:rsidTr="00460C69">
        <w:trPr>
          <w:cantSplit/>
          <w:trHeight w:val="20"/>
        </w:trPr>
        <w:tc>
          <w:tcPr>
            <w:tcW w:w="4110" w:type="dxa"/>
            <w:shd w:val="clear" w:color="auto" w:fill="auto"/>
          </w:tcPr>
          <w:p w14:paraId="04373D77" w14:textId="77777777" w:rsidR="00590A61" w:rsidRPr="00AB3524" w:rsidRDefault="00590A61" w:rsidP="00460C69">
            <w:pPr>
              <w:pStyle w:val="SlimCell"/>
              <w:keepNext/>
            </w:pPr>
          </w:p>
        </w:tc>
      </w:tr>
      <w:tr w:rsidR="00590A61" w:rsidRPr="00AB3524" w14:paraId="047B10F1" w14:textId="77777777" w:rsidTr="00460C69">
        <w:trPr>
          <w:cantSplit/>
        </w:trPr>
        <w:tc>
          <w:tcPr>
            <w:tcW w:w="4110" w:type="dxa"/>
            <w:shd w:val="clear" w:color="auto" w:fill="auto"/>
          </w:tcPr>
          <w:p w14:paraId="16D1AA32" w14:textId="77777777" w:rsidR="00590A61" w:rsidRPr="00AB3524" w:rsidRDefault="00590A61" w:rsidP="00460C69">
            <w:pPr>
              <w:pStyle w:val="TableTitle"/>
              <w:rPr>
                <w:b/>
              </w:rPr>
            </w:pPr>
            <w:r w:rsidRPr="00AB3524">
              <w:t>Table II.2.14:</w:t>
            </w:r>
            <w:r w:rsidRPr="00AB3524">
              <w:rPr>
                <w:b/>
              </w:rPr>
              <w:tab/>
              <w:t>TFP risk scenario - projected increase in public expenditure on health care over 2016-2070, as % of GDP</w:t>
            </w:r>
          </w:p>
        </w:tc>
      </w:tr>
      <w:tr w:rsidR="00590A61" w:rsidRPr="00AB3524" w14:paraId="0925A7E4" w14:textId="77777777" w:rsidTr="00460C69">
        <w:trPr>
          <w:cantSplit/>
        </w:trPr>
        <w:tc>
          <w:tcPr>
            <w:tcW w:w="4110" w:type="dxa"/>
            <w:shd w:val="clear" w:color="auto" w:fill="auto"/>
          </w:tcPr>
          <w:p w14:paraId="004599B0" w14:textId="77777777" w:rsidR="00590A61" w:rsidRPr="00AB3524" w:rsidRDefault="00590A61" w:rsidP="00460C69">
            <w:pPr>
              <w:pStyle w:val="TableShape"/>
              <w:rPr>
                <w:sz w:val="2"/>
              </w:rPr>
            </w:pPr>
            <w:r w:rsidRPr="00AB3524">
              <w:fldChar w:fldCharType="begin"/>
            </w:r>
            <w:r w:rsidRPr="009F3ED8">
              <w:instrText xml:space="preserve"> TC "</w:instrText>
            </w:r>
            <w:bookmarkStart w:id="196" w:name="_Toc511664559"/>
            <w:r w:rsidRPr="009F3ED8">
              <w:instrText>II.2.14.</w:instrText>
            </w:r>
            <w:r w:rsidRPr="009F3ED8">
              <w:tab/>
              <w:instrText>TFP risk scenario - projected increase in public expenditure on health care over 2016-2070, as % of GDP</w:instrText>
            </w:r>
            <w:bookmarkEnd w:id="196"/>
            <w:r w:rsidRPr="009F3ED8">
              <w:instrText xml:space="preserve">" \ftable \l 5 </w:instrText>
            </w:r>
            <w:r w:rsidRPr="00AB3524">
              <w:fldChar w:fldCharType="end"/>
            </w:r>
            <w:r w:rsidRPr="00AB3524">
              <w:rPr>
                <w:noProof/>
                <w:sz w:val="2"/>
                <w:lang w:val="hr-HR" w:eastAsia="hr-HR"/>
              </w:rPr>
              <w:drawing>
                <wp:inline distT="0" distB="0" distL="0" distR="0" wp14:anchorId="6BF2260D" wp14:editId="43AAC280">
                  <wp:extent cx="2597595" cy="4152361"/>
                  <wp:effectExtent l="0" t="0" r="0" b="635"/>
                  <wp:docPr id="1062" name="Picture 1062" descr="&lt;nbr&gt;&lt;GETTEXTFROMWORD&gt;&lt;/nbr&gt;&#10;&lt;title&gt;&lt;GETTEXTFROMWORD&gt;&lt;/title&gt;&#10;&lt;id&gt;febbaf83-a18c-432d-8cde-ea503f1b20d2&lt;/id&gt;&#10;&lt;srcType&gt;EXCEL&lt;/srcType&gt;&#10;&lt;srcPath&gt;U:\Budgetary projections 2018\Reports\2018 AR\Tables_and_graphs\Part II Chapter 2\&lt;/srcPath&gt;&#10;&lt;srcName&gt;tables &amp; graphs - Part II - Chapter 2 - HC.xlsx&lt;/srcName&gt;&#10;&lt;type&gt;table&lt;/type&gt;&#10; &lt;srcSheet&gt;TFP risk&lt;/srcSheet&gt;&#10; &lt;srcRange&gt;R2C2:R38C6&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597595" cy="4152361"/>
                          </a:xfrm>
                          <a:prstGeom prst="rect">
                            <a:avLst/>
                          </a:prstGeom>
                          <a:noFill/>
                          <a:ln>
                            <a:noFill/>
                          </a:ln>
                        </pic:spPr>
                      </pic:pic>
                    </a:graphicData>
                  </a:graphic>
                </wp:inline>
              </w:drawing>
            </w:r>
          </w:p>
        </w:tc>
      </w:tr>
      <w:tr w:rsidR="00590A61" w:rsidRPr="00AB3524" w14:paraId="06E5333F" w14:textId="77777777" w:rsidTr="00460C69">
        <w:trPr>
          <w:cantSplit/>
        </w:trPr>
        <w:tc>
          <w:tcPr>
            <w:tcW w:w="4110" w:type="dxa"/>
            <w:shd w:val="clear" w:color="auto" w:fill="auto"/>
          </w:tcPr>
          <w:p w14:paraId="04A69D17" w14:textId="77777777" w:rsidR="00590A61" w:rsidRPr="00AB3524" w:rsidRDefault="00590A61" w:rsidP="00460C69">
            <w:pPr>
              <w:pStyle w:val="TableSource"/>
            </w:pPr>
            <w:r w:rsidRPr="00AB3524">
              <w:rPr>
                <w:b/>
                <w:i/>
              </w:rPr>
              <w:t>Source:</w:t>
            </w:r>
            <w:r w:rsidRPr="00AB3524">
              <w:t xml:space="preserve"> Commission services, EPC.</w:t>
            </w:r>
          </w:p>
        </w:tc>
      </w:tr>
      <w:tr w:rsidR="00590A61" w:rsidRPr="00AB3524" w14:paraId="69B62D6C" w14:textId="77777777" w:rsidTr="00460C69">
        <w:trPr>
          <w:cantSplit/>
          <w:trHeight w:val="20"/>
        </w:trPr>
        <w:tc>
          <w:tcPr>
            <w:tcW w:w="4110" w:type="dxa"/>
            <w:shd w:val="clear" w:color="auto" w:fill="auto"/>
            <w:tcMar>
              <w:bottom w:w="240" w:type="dxa"/>
            </w:tcMar>
          </w:tcPr>
          <w:p w14:paraId="21EBAF70" w14:textId="77777777" w:rsidR="00590A61" w:rsidRPr="00AB3524" w:rsidRDefault="00590A61" w:rsidP="00460C69">
            <w:pPr>
              <w:pStyle w:val="SlimCell"/>
            </w:pPr>
          </w:p>
        </w:tc>
      </w:tr>
    </w:tbl>
    <w:p w14:paraId="0CF97FB6" w14:textId="77777777" w:rsidR="00590A61" w:rsidRPr="00AB3524" w:rsidRDefault="00590A61" w:rsidP="00460C69"/>
    <w:p w14:paraId="5AA52176" w14:textId="77777777" w:rsidR="00590A61" w:rsidRPr="00AB3524" w:rsidRDefault="00590A61" w:rsidP="00460C69">
      <w:r w:rsidRPr="00AB3524">
        <w:t xml:space="preserve">An overview of the projection results for all scenarios is presented in Table </w:t>
      </w:r>
      <w:r w:rsidRPr="00AB3524">
        <w:fldChar w:fldCharType="begin"/>
      </w:r>
      <w:r w:rsidRPr="00AB3524">
        <w:instrText xml:space="preserve"> QUOTE "II.2.15"</w:instrText>
      </w:r>
      <w:r w:rsidRPr="00AB3524">
        <w:fldChar w:fldCharType="begin">
          <w:fldData xml:space="preserve">QwBSAE8AUwBTAFIARQBGAEUAUgBFAE4AQwBFACoAVABBAEIATABFACoAZQAzAGYAZgBlAGMANABk
AC0ANAA1AGEANQAtADQANwAxAGMALQA5ADEAYwAxAC0ANQBkADAAMwBlAGMAZgAzADYAMgA2AGUA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II.2.15</w:t>
      </w:r>
      <w:r w:rsidRPr="00AB3524">
        <w:fldChar w:fldCharType="end"/>
      </w:r>
      <w:r w:rsidRPr="00AB3524">
        <w:t xml:space="preserve"> and Graph </w:t>
      </w:r>
      <w:r w:rsidRPr="00AB3524">
        <w:fldChar w:fldCharType="begin"/>
      </w:r>
      <w:r w:rsidRPr="00AB3524">
        <w:instrText xml:space="preserve"> QUOTE "II.2.5"</w:instrText>
      </w:r>
      <w:r w:rsidRPr="00AB3524">
        <w:fldChar w:fldCharType="begin">
          <w:fldData xml:space="preserve">QwBSAE8AUwBTAFIARQBGAEUAUgBFAE4AQwBFACoAQwBMAFUAUwBUAEUAUgAgAE8ARgAgAEcAUgBB
AFAASABTACoAMQBhADIANQA3ADQAYgA1AC0AOQAwAGEAMAAtADQANQA1AGEALQA5AGUANQA3AC0A
NAAzAGEAMwBjAGUAMwAxADQAZgA2ADQA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II.2.5</w:t>
      </w:r>
      <w:r w:rsidRPr="00AB3524">
        <w:fldChar w:fldCharType="end"/>
      </w:r>
      <w:r w:rsidRPr="00AB3524">
        <w:t>.</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590A61" w:rsidRPr="00AB3524" w14:paraId="34DD1B1D" w14:textId="77777777" w:rsidTr="00460C69">
        <w:trPr>
          <w:cantSplit/>
          <w:trHeight w:val="20"/>
        </w:trPr>
        <w:tc>
          <w:tcPr>
            <w:tcW w:w="8505" w:type="dxa"/>
            <w:shd w:val="clear" w:color="auto" w:fill="auto"/>
          </w:tcPr>
          <w:p w14:paraId="0C019C7D" w14:textId="77777777" w:rsidR="00590A61" w:rsidRPr="00AB3524" w:rsidRDefault="00590A61" w:rsidP="00460C69">
            <w:pPr>
              <w:pStyle w:val="SlimCell"/>
              <w:keepNext/>
            </w:pPr>
            <w:r w:rsidRPr="00AB3524">
              <w:lastRenderedPageBreak/>
              <w:fldChar w:fldCharType="begin"/>
            </w:r>
            <w:r w:rsidRPr="009F3ED8">
              <w:instrText xml:space="preserve"> TC "</w:instrText>
            </w:r>
            <w:bookmarkStart w:id="197" w:name="_Toc511664685"/>
            <w:r w:rsidRPr="009F3ED8">
              <w:instrText>II.2.5.</w:instrText>
            </w:r>
            <w:r w:rsidRPr="009F3ED8">
              <w:tab/>
              <w:instrText>Range of results from different scenarios on health care in EU28</w:instrText>
            </w:r>
            <w:bookmarkEnd w:id="197"/>
            <w:r w:rsidRPr="009F3ED8">
              <w:instrText xml:space="preserve">" \fgraph \l 5 </w:instrText>
            </w:r>
            <w:r w:rsidRPr="00AB3524">
              <w:fldChar w:fldCharType="end"/>
            </w:r>
            <w:r w:rsidRPr="00AB3524">
              <w:fldChar w:fldCharType="begin"/>
            </w:r>
            <w:r w:rsidRPr="009F3ED8">
              <w:instrText xml:space="preserve"> TC "</w:instrText>
            </w:r>
            <w:bookmarkStart w:id="198" w:name="_Toc511664560"/>
            <w:r w:rsidRPr="009F3ED8">
              <w:instrText>II.2.15.</w:instrText>
            </w:r>
            <w:r w:rsidRPr="009F3ED8">
              <w:tab/>
              <w:instrText>Overview of scenario results - increase in public expenditure on health care over 2016-2070, as pps. of GDP</w:instrText>
            </w:r>
            <w:bookmarkEnd w:id="198"/>
            <w:r w:rsidRPr="009F3ED8">
              <w:instrText xml:space="preserve">" \ftable \l 5 </w:instrText>
            </w:r>
            <w:r w:rsidRPr="00AB3524">
              <w:fldChar w:fldCharType="end"/>
            </w:r>
          </w:p>
        </w:tc>
      </w:tr>
      <w:tr w:rsidR="00590A61" w:rsidRPr="00AB3524" w14:paraId="5D787DC6" w14:textId="77777777" w:rsidTr="00460C69">
        <w:trPr>
          <w:cantSplit/>
        </w:trPr>
        <w:tc>
          <w:tcPr>
            <w:tcW w:w="8505" w:type="dxa"/>
            <w:shd w:val="clear" w:color="auto" w:fill="auto"/>
          </w:tcPr>
          <w:p w14:paraId="2165E7C0" w14:textId="77777777" w:rsidR="00590A61" w:rsidRPr="00AB3524" w:rsidRDefault="00590A61" w:rsidP="00460C69">
            <w:pPr>
              <w:pStyle w:val="TableTitle"/>
              <w:rPr>
                <w:b/>
              </w:rPr>
            </w:pPr>
            <w:r w:rsidRPr="00AB3524">
              <w:t>Table II.2.15:</w:t>
            </w:r>
            <w:r w:rsidRPr="00AB3524">
              <w:rPr>
                <w:b/>
              </w:rPr>
              <w:tab/>
              <w:t>Overview of scenario results - increase in public expenditure on health care over 2016-2070, as pps. of GDP</w:t>
            </w:r>
          </w:p>
        </w:tc>
      </w:tr>
      <w:tr w:rsidR="00590A61" w:rsidRPr="00AB3524" w14:paraId="686B1D20" w14:textId="77777777" w:rsidTr="00460C69">
        <w:trPr>
          <w:cantSplit/>
        </w:trPr>
        <w:tc>
          <w:tcPr>
            <w:tcW w:w="8505" w:type="dxa"/>
            <w:shd w:val="clear" w:color="auto" w:fill="auto"/>
          </w:tcPr>
          <w:p w14:paraId="727E0AA4" w14:textId="77777777" w:rsidR="00590A61" w:rsidRPr="00AB3524" w:rsidRDefault="00590A61" w:rsidP="00460C69">
            <w:pPr>
              <w:pStyle w:val="TableShape"/>
              <w:rPr>
                <w:sz w:val="2"/>
              </w:rPr>
            </w:pPr>
            <w:r w:rsidRPr="00AB3524">
              <w:rPr>
                <w:noProof/>
                <w:sz w:val="2"/>
                <w:lang w:val="hr-HR" w:eastAsia="hr-HR"/>
              </w:rPr>
              <w:drawing>
                <wp:inline distT="0" distB="0" distL="0" distR="0" wp14:anchorId="08F4730F" wp14:editId="24EEAFA9">
                  <wp:extent cx="5400929" cy="4074553"/>
                  <wp:effectExtent l="0" t="0" r="0" b="2540"/>
                  <wp:docPr id="1063" name="Picture 1063" descr="&lt;nbr&gt;&lt;GETTEXTFROMWORD&gt;&lt;/nbr&gt;&#10;&lt;title&gt;&lt;GETTEXTFROMWORD&gt;&lt;/title&gt;&#10;&lt;id&gt;e3ffec4d-45a5-471c-91c1-5d03ecf3626e&lt;/id&gt;&#10;&lt;srcType&gt;EXCEL&lt;/srcType&gt;&#10;&lt;srcPath&gt;U:\Budgetary projections 2018\Reports\2018 AR\Tables_and_graphs\Part II Chapter 2\&lt;/srcPath&gt;&#10;&lt;srcName&gt;tables &amp; graphs - Part II - Chapter 2 - HC.xlsx&lt;/srcName&gt;&#10;&lt;type&gt;table&lt;/type&gt;&#10; &lt;srcSheet&gt;Table Overview results&lt;/srcSheet&gt;&#10; &lt;srcRange&gt;R2C2:R37C15&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400929" cy="4074553"/>
                          </a:xfrm>
                          <a:prstGeom prst="rect">
                            <a:avLst/>
                          </a:prstGeom>
                          <a:noFill/>
                          <a:ln>
                            <a:noFill/>
                          </a:ln>
                        </pic:spPr>
                      </pic:pic>
                    </a:graphicData>
                  </a:graphic>
                </wp:inline>
              </w:drawing>
            </w:r>
          </w:p>
        </w:tc>
      </w:tr>
      <w:tr w:rsidR="00590A61" w:rsidRPr="00AB3524" w14:paraId="759B49B9" w14:textId="77777777" w:rsidTr="00460C69">
        <w:trPr>
          <w:cantSplit/>
        </w:trPr>
        <w:tc>
          <w:tcPr>
            <w:tcW w:w="8505" w:type="dxa"/>
            <w:shd w:val="clear" w:color="auto" w:fill="auto"/>
          </w:tcPr>
          <w:p w14:paraId="70495606" w14:textId="77777777" w:rsidR="00590A61" w:rsidRDefault="00590A61" w:rsidP="00460C69">
            <w:pPr>
              <w:pStyle w:val="TableFootnote"/>
            </w:pPr>
            <w:r>
              <w:t>Notes: (1) The "healthy ageing scenario" is identical to the "constant health scenario" from previous Ageing Reports. (2) The EU28 (EU*), EU27 and EA averages are weighted according to GDP. A non-weighted EU average (EU* s) is included at the bottom of the table.</w:t>
            </w:r>
          </w:p>
          <w:p w14:paraId="4876189E" w14:textId="77777777" w:rsidR="00590A61" w:rsidRPr="00AB3524" w:rsidRDefault="00590A61" w:rsidP="00460C69">
            <w:pPr>
              <w:pStyle w:val="TableSource"/>
            </w:pPr>
            <w:r w:rsidRPr="00AB3524">
              <w:rPr>
                <w:b/>
                <w:i/>
              </w:rPr>
              <w:t>Source:</w:t>
            </w:r>
            <w:r w:rsidRPr="00AB3524">
              <w:t xml:space="preserve"> Commission services, EPC.</w:t>
            </w:r>
          </w:p>
        </w:tc>
      </w:tr>
      <w:tr w:rsidR="00590A61" w:rsidRPr="00AB3524" w14:paraId="786E259C" w14:textId="77777777" w:rsidTr="00460C69">
        <w:trPr>
          <w:cantSplit/>
          <w:trHeight w:val="20"/>
        </w:trPr>
        <w:tc>
          <w:tcPr>
            <w:tcW w:w="8505" w:type="dxa"/>
            <w:shd w:val="clear" w:color="auto" w:fill="auto"/>
          </w:tcPr>
          <w:p w14:paraId="616846BA" w14:textId="77777777" w:rsidR="00590A61" w:rsidRPr="00AB3524" w:rsidRDefault="00590A61" w:rsidP="00460C69">
            <w:pPr>
              <w:pStyle w:val="SlimCell"/>
            </w:pPr>
          </w:p>
        </w:tc>
      </w:tr>
    </w:tbl>
    <w:p w14:paraId="34A5BBEC" w14:textId="77777777" w:rsidR="00590A61" w:rsidRPr="00AB3524" w:rsidRDefault="00590A61" w:rsidP="00460C69">
      <w:pPr>
        <w:pStyle w:val="MultipageDelimiter"/>
      </w:pP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590A61" w:rsidRPr="00AB3524" w14:paraId="57874386" w14:textId="77777777" w:rsidTr="00460C69">
        <w:trPr>
          <w:cantSplit/>
        </w:trPr>
        <w:tc>
          <w:tcPr>
            <w:tcW w:w="8505" w:type="dxa"/>
            <w:shd w:val="clear" w:color="auto" w:fill="auto"/>
          </w:tcPr>
          <w:p w14:paraId="55271617" w14:textId="77777777" w:rsidR="00590A61" w:rsidRPr="00AB3524" w:rsidRDefault="00590A61" w:rsidP="00460C69">
            <w:pPr>
              <w:pStyle w:val="GraphTitle"/>
              <w:rPr>
                <w:b/>
              </w:rPr>
            </w:pPr>
            <w:r w:rsidRPr="00AB3524">
              <w:t>Graph II.2.5:</w:t>
            </w:r>
            <w:r w:rsidRPr="00AB3524">
              <w:rPr>
                <w:b/>
              </w:rPr>
              <w:tab/>
              <w:t>Range of results from different scenarios on health care in EU28</w:t>
            </w:r>
          </w:p>
        </w:tc>
      </w:tr>
      <w:tr w:rsidR="00590A61" w:rsidRPr="00AB3524" w14:paraId="6FA7E7DC" w14:textId="77777777" w:rsidTr="00460C69">
        <w:trPr>
          <w:cantSplit/>
        </w:trPr>
        <w:tc>
          <w:tcPr>
            <w:tcW w:w="8505" w:type="dxa"/>
            <w:shd w:val="clear" w:color="auto" w:fill="auto"/>
          </w:tcPr>
          <w:p w14:paraId="7B365D58" w14:textId="77777777" w:rsidR="00590A61" w:rsidRPr="00AB3524" w:rsidRDefault="00590A61" w:rsidP="00460C69">
            <w:pPr>
              <w:pStyle w:val="GraphShape"/>
              <w:rPr>
                <w:sz w:val="2"/>
              </w:rPr>
            </w:pPr>
            <w:r w:rsidRPr="00AB3524">
              <w:rPr>
                <w:noProof/>
                <w:sz w:val="2"/>
                <w:lang w:val="hr-HR" w:eastAsia="hr-HR"/>
              </w:rPr>
              <w:drawing>
                <wp:inline distT="0" distB="0" distL="0" distR="0" wp14:anchorId="73D5BC7C" wp14:editId="69ACD5EF">
                  <wp:extent cx="5400929" cy="2290146"/>
                  <wp:effectExtent l="0" t="0" r="0" b="0"/>
                  <wp:docPr id="15" name="Picture 15" descr="&lt;nbr&gt;&lt;GETTEXTFROMWORD&gt;&lt;/nbr&gt;&#10;&lt;title&gt;&lt;GETTEXTFROMWORD&gt;&lt;/title&gt;&#10;&lt;id&gt;1a2574b5-90a0-455a-9e57-43a3ce314f64&lt;/id&gt;&#10;&lt;srcType&gt;EXCEL&lt;/srcType&gt;&#10;&lt;srcPath&gt;U:\Budgetary projections 2018\Reports\2018 AR\Tables_and_graphs\Part II Chapter 2\&lt;/srcPath&gt;&#10;&lt;srcName&gt;tables &amp; graphs - Part II - Chapter 2 - HC.xlsx&lt;/srcName&gt;&#10;&lt;type&gt;clusterofgraphs&lt;/type&gt;&#10; &lt;srcSheet&gt;graph 2.6 EU28 only&lt;/srcSheet&gt;&#10; &lt;individualNumbers&gt;no&lt;/individualNumbers&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400929" cy="2290146"/>
                          </a:xfrm>
                          <a:prstGeom prst="rect">
                            <a:avLst/>
                          </a:prstGeom>
                          <a:noFill/>
                          <a:ln>
                            <a:noFill/>
                          </a:ln>
                        </pic:spPr>
                      </pic:pic>
                    </a:graphicData>
                  </a:graphic>
                </wp:inline>
              </w:drawing>
            </w:r>
          </w:p>
        </w:tc>
      </w:tr>
      <w:tr w:rsidR="00590A61" w:rsidRPr="00AB3524" w14:paraId="3489FA7E" w14:textId="77777777" w:rsidTr="00460C69">
        <w:trPr>
          <w:cantSplit/>
        </w:trPr>
        <w:tc>
          <w:tcPr>
            <w:tcW w:w="8505" w:type="dxa"/>
            <w:shd w:val="clear" w:color="auto" w:fill="auto"/>
          </w:tcPr>
          <w:p w14:paraId="1776DC89" w14:textId="77777777" w:rsidR="00590A61" w:rsidRDefault="00590A61" w:rsidP="00460C69">
            <w:pPr>
              <w:pStyle w:val="GraphFootnote"/>
              <w:keepNext/>
            </w:pPr>
            <w:r>
              <w:t>Note: The "healthy ageing scenario" is identical to the "constant health scenario" from previous Ageing Reports.</w:t>
            </w:r>
          </w:p>
          <w:p w14:paraId="45F71FC1" w14:textId="77777777" w:rsidR="00590A61" w:rsidRPr="00AB3524" w:rsidRDefault="00590A61" w:rsidP="00460C69">
            <w:pPr>
              <w:pStyle w:val="GraphSource"/>
              <w:keepNext/>
            </w:pPr>
            <w:r w:rsidRPr="00AB3524">
              <w:rPr>
                <w:b/>
                <w:i/>
              </w:rPr>
              <w:t>Source:</w:t>
            </w:r>
            <w:r w:rsidRPr="00AB3524">
              <w:t xml:space="preserve"> Commission services, EPC.</w:t>
            </w:r>
          </w:p>
        </w:tc>
      </w:tr>
    </w:tbl>
    <w:p w14:paraId="2C5B8346" w14:textId="77777777" w:rsidR="00590A61" w:rsidRPr="00AB3524" w:rsidRDefault="00590A61" w:rsidP="00460C69"/>
    <w:p w14:paraId="4DC7E38E" w14:textId="77777777" w:rsidR="00590A61" w:rsidRPr="00AB3524" w:rsidRDefault="00590A61" w:rsidP="00460C69">
      <w:pPr>
        <w:pStyle w:val="NumberedHeading2"/>
        <w:tabs>
          <w:tab w:val="left" w:pos="567"/>
        </w:tabs>
      </w:pPr>
      <w:r w:rsidRPr="00AB3524">
        <w:lastRenderedPageBreak/>
        <w:t>2.4.6.</w:t>
      </w:r>
      <w:r w:rsidRPr="00AB3524">
        <w:tab/>
        <w:t>AWG reference scenario sensitivity tests</w:t>
      </w:r>
    </w:p>
    <w:p w14:paraId="0871913C" w14:textId="77777777" w:rsidR="00590A61" w:rsidRPr="00AB3524" w:rsidRDefault="00590A61" w:rsidP="00460C69">
      <w:r w:rsidRPr="00AB3524">
        <w:t xml:space="preserve">So far the impact of ageing populations and other non-demographic determinants on public health care spending was shown in relation to the "demographic scenario". However, the results of the "AWG reference scenario" used for multilateral budgetary surveillance in the EU, are also sensitive to changes in key demographic and macroeconomic assumptions. Alternative sensitivity tests are applied to the baseline scenario of all age-related expenditure items in this report and are described in Chapter 3 of Part I. As can be seen in Graph </w:t>
      </w:r>
      <w:r w:rsidRPr="00AB3524">
        <w:fldChar w:fldCharType="begin"/>
      </w:r>
      <w:r w:rsidRPr="00AB3524">
        <w:instrText xml:space="preserve"> QUOTE "II.2.6"</w:instrText>
      </w:r>
      <w:r w:rsidRPr="00AB3524">
        <w:fldChar w:fldCharType="begin">
          <w:fldData xml:space="preserve">QwBSAE8AUwBTAFIARQBGAEUAUgBFAE4AQwBFACoAQwBMAFUAUwBUAEUAUgAgAE8ARgAgAEcAUgBB
AFAASABTACoAOQA0ADkAMgA1AGMAZQA2AC0AMABjADkAMAAtADQAYgA2ADcALQA4AGMAZgBlAC0A
MwA5ADAAZgBiADgAZQAwAGMANwA1ADMA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II.2.6</w:t>
      </w:r>
      <w:r w:rsidRPr="00AB3524">
        <w:fldChar w:fldCharType="end"/>
      </w:r>
      <w:r w:rsidRPr="00AB3524">
        <w:t xml:space="preserve">, the EU28 long-term health care expenditure projections are more responsive to changes in the demographic than in the macroeconomic underlying assumptions. Thus the largest impact on the projected increase in public expenditure on health care as a share of GDP can be assigned to lower fertility and lower net migration, while higher net migration can slow down expenditure growth on health care. The country-specific results of the sensitivity tests of the AWG reference scenario on health care are shown in Table </w:t>
      </w:r>
      <w:r w:rsidRPr="00AB3524">
        <w:fldChar w:fldCharType="begin"/>
      </w:r>
      <w:r w:rsidRPr="00AB3524">
        <w:instrText xml:space="preserve"> QUOTE "II.2.16"</w:instrText>
      </w:r>
      <w:r w:rsidRPr="00AB3524">
        <w:fldChar w:fldCharType="begin">
          <w:fldData xml:space="preserve">QwBSAE8AUwBTAFIARQBGAEUAUgBFAE4AQwBFACoAVABBAEIATABFACoAMAAyAGUANQAyADAAMwA1
AC0ANwA3ADkAMwAtADQAYwAwADIALQA4ADQAYwAwAC0AYwAwADcANgA2AGQANABlADkAMQA4ADAA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II.2.16</w:t>
      </w:r>
      <w:r w:rsidRPr="00AB3524">
        <w:fldChar w:fldCharType="end"/>
      </w:r>
      <w:r w:rsidRPr="00AB3524">
        <w:t>.</w:t>
      </w:r>
    </w:p>
    <w:tbl>
      <w:tblPr>
        <w:tblW w:w="0" w:type="auto"/>
        <w:tblLayout w:type="fixed"/>
        <w:tblCellMar>
          <w:left w:w="0" w:type="dxa"/>
          <w:right w:w="0" w:type="dxa"/>
        </w:tblCellMar>
        <w:tblLook w:val="0000" w:firstRow="0" w:lastRow="0" w:firstColumn="0" w:lastColumn="0" w:noHBand="0" w:noVBand="0"/>
      </w:tblPr>
      <w:tblGrid>
        <w:gridCol w:w="4110"/>
      </w:tblGrid>
      <w:tr w:rsidR="00590A61" w:rsidRPr="00AB3524" w14:paraId="5478FDF4" w14:textId="77777777" w:rsidTr="00460C69">
        <w:trPr>
          <w:cantSplit/>
        </w:trPr>
        <w:tc>
          <w:tcPr>
            <w:tcW w:w="4110" w:type="dxa"/>
            <w:shd w:val="clear" w:color="auto" w:fill="auto"/>
          </w:tcPr>
          <w:p w14:paraId="07DD6BB0" w14:textId="77777777" w:rsidR="00590A61" w:rsidRPr="00AB3524" w:rsidRDefault="00590A61" w:rsidP="00460C69">
            <w:pPr>
              <w:pStyle w:val="GraphTitle"/>
              <w:rPr>
                <w:b/>
              </w:rPr>
            </w:pPr>
            <w:r w:rsidRPr="00AB3524">
              <w:lastRenderedPageBreak/>
              <w:t>Graph II.2.6:</w:t>
            </w:r>
            <w:r w:rsidRPr="00AB3524">
              <w:rPr>
                <w:b/>
              </w:rPr>
              <w:tab/>
              <w:t>Sensitivity tests of the AWG reference scenario on health care, EU28</w:t>
            </w:r>
          </w:p>
        </w:tc>
      </w:tr>
      <w:tr w:rsidR="00590A61" w:rsidRPr="00AB3524" w14:paraId="3934D743" w14:textId="77777777" w:rsidTr="00460C69">
        <w:trPr>
          <w:cantSplit/>
        </w:trPr>
        <w:tc>
          <w:tcPr>
            <w:tcW w:w="4110" w:type="dxa"/>
            <w:shd w:val="clear" w:color="auto" w:fill="auto"/>
          </w:tcPr>
          <w:p w14:paraId="40B34A44" w14:textId="77777777" w:rsidR="00590A61" w:rsidRPr="00AB3524" w:rsidRDefault="00590A61" w:rsidP="00460C69">
            <w:pPr>
              <w:pStyle w:val="GraphShape"/>
              <w:rPr>
                <w:sz w:val="2"/>
              </w:rPr>
            </w:pPr>
            <w:r w:rsidRPr="00AB3524">
              <w:fldChar w:fldCharType="begin"/>
            </w:r>
            <w:r w:rsidRPr="009F3ED8">
              <w:instrText xml:space="preserve"> TC "</w:instrText>
            </w:r>
            <w:bookmarkStart w:id="199" w:name="_Toc511664686"/>
            <w:r w:rsidRPr="009F3ED8">
              <w:instrText>II.2.6.</w:instrText>
            </w:r>
            <w:r w:rsidRPr="009F3ED8">
              <w:tab/>
              <w:instrText>Sensitivity tests of the AWG reference scenario on health care, EU28</w:instrText>
            </w:r>
            <w:bookmarkEnd w:id="199"/>
            <w:r w:rsidRPr="009F3ED8">
              <w:instrText xml:space="preserve">" \fgraph \l 5 </w:instrText>
            </w:r>
            <w:r w:rsidRPr="00AB3524">
              <w:fldChar w:fldCharType="end"/>
            </w:r>
            <w:r w:rsidRPr="00AB3524">
              <w:rPr>
                <w:noProof/>
                <w:sz w:val="2"/>
                <w:lang w:val="hr-HR" w:eastAsia="hr-HR"/>
              </w:rPr>
              <w:drawing>
                <wp:inline distT="0" distB="0" distL="0" distR="0" wp14:anchorId="26981974" wp14:editId="341532A2">
                  <wp:extent cx="2597595" cy="3292190"/>
                  <wp:effectExtent l="0" t="0" r="0" b="3810"/>
                  <wp:docPr id="1064" name="Picture 1064" descr="&lt;nbr&gt;&lt;GETTEXTFROMWORD&gt;&lt;/nbr&gt;&#10;&lt;title&gt;&lt;GETTEXTFROMWORD&gt;&lt;/title&gt;&#10;&lt;id&gt;94925ce6-0c90-4b67-8cfe-390fb8e0c753&lt;/id&gt;&#10;&lt;srcType&gt;EXCEL&lt;/srcType&gt;&#10;&lt;srcPath&gt;U:\Budgetary projections 2018\Reports\2018 AR\Tables_and_graphs\Part II Chapter 2\&lt;/srcPath&gt;&#10;&lt;srcName&gt;tables &amp; graphs - Part II - Chapter 2 - HC.xlsx&lt;/srcName&gt;&#10;&lt;type&gt;clusterofgraphs&lt;/type&gt;&#10; &lt;srcSheet&gt;Graphs sensitivity tests vertic&lt;/srcSheet&gt;&#10; &lt;individualNumbers&gt;no&lt;/individualNumbers&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597595" cy="3292190"/>
                          </a:xfrm>
                          <a:prstGeom prst="rect">
                            <a:avLst/>
                          </a:prstGeom>
                          <a:noFill/>
                          <a:ln>
                            <a:noFill/>
                          </a:ln>
                        </pic:spPr>
                      </pic:pic>
                    </a:graphicData>
                  </a:graphic>
                </wp:inline>
              </w:drawing>
            </w:r>
          </w:p>
        </w:tc>
      </w:tr>
      <w:tr w:rsidR="00590A61" w:rsidRPr="00AB3524" w14:paraId="2F9C6C10" w14:textId="77777777" w:rsidTr="00460C69">
        <w:trPr>
          <w:cantSplit/>
        </w:trPr>
        <w:tc>
          <w:tcPr>
            <w:tcW w:w="4110" w:type="dxa"/>
            <w:shd w:val="clear" w:color="auto" w:fill="auto"/>
            <w:tcMar>
              <w:bottom w:w="240" w:type="dxa"/>
            </w:tcMar>
          </w:tcPr>
          <w:p w14:paraId="3B3306E6" w14:textId="77777777" w:rsidR="00590A61" w:rsidRPr="00AB3524" w:rsidRDefault="00590A61" w:rsidP="00460C69">
            <w:pPr>
              <w:pStyle w:val="GraphSource"/>
              <w:keepNext/>
            </w:pPr>
            <w:r w:rsidRPr="00AB3524">
              <w:rPr>
                <w:b/>
                <w:i/>
              </w:rPr>
              <w:t>Source:</w:t>
            </w:r>
            <w:r w:rsidRPr="00AB3524">
              <w:t xml:space="preserve"> Commission services, EPC.</w:t>
            </w:r>
          </w:p>
        </w:tc>
      </w:tr>
    </w:tbl>
    <w:p w14:paraId="1EEA78BB" w14:textId="77777777" w:rsidR="00590A61" w:rsidRPr="00AB3524" w:rsidRDefault="00590A61" w:rsidP="00460C69">
      <w:pPr>
        <w:pStyle w:val="MultipageDelimiter"/>
      </w:pPr>
    </w:p>
    <w:tbl>
      <w:tblPr>
        <w:tblpPr w:horzAnchor="margin" w:tblpYSpec="bottom"/>
        <w:tblOverlap w:val="never"/>
        <w:tblW w:w="0" w:type="auto"/>
        <w:tblLayout w:type="fixed"/>
        <w:tblCellMar>
          <w:left w:w="0" w:type="dxa"/>
          <w:right w:w="0" w:type="dxa"/>
        </w:tblCellMar>
        <w:tblLook w:val="0000" w:firstRow="0" w:lastRow="0" w:firstColumn="0" w:lastColumn="0" w:noHBand="0" w:noVBand="0"/>
      </w:tblPr>
      <w:tblGrid>
        <w:gridCol w:w="8505"/>
      </w:tblGrid>
      <w:tr w:rsidR="00590A61" w:rsidRPr="00AB3524" w14:paraId="7118CC42" w14:textId="77777777" w:rsidTr="00460C69">
        <w:trPr>
          <w:cantSplit/>
          <w:trHeight w:val="20"/>
        </w:trPr>
        <w:tc>
          <w:tcPr>
            <w:tcW w:w="8505" w:type="dxa"/>
            <w:shd w:val="clear" w:color="auto" w:fill="auto"/>
          </w:tcPr>
          <w:p w14:paraId="24266C63" w14:textId="77777777" w:rsidR="00590A61" w:rsidRPr="00AB3524" w:rsidRDefault="00590A61" w:rsidP="00460C69">
            <w:pPr>
              <w:pStyle w:val="SlimCell"/>
              <w:keepNext/>
            </w:pPr>
          </w:p>
        </w:tc>
      </w:tr>
      <w:tr w:rsidR="00590A61" w:rsidRPr="00AB3524" w14:paraId="2362A3B9" w14:textId="77777777" w:rsidTr="00460C69">
        <w:trPr>
          <w:cantSplit/>
        </w:trPr>
        <w:tc>
          <w:tcPr>
            <w:tcW w:w="8505" w:type="dxa"/>
            <w:shd w:val="clear" w:color="auto" w:fill="auto"/>
          </w:tcPr>
          <w:p w14:paraId="5F60E5F4" w14:textId="77777777" w:rsidR="00590A61" w:rsidRPr="00AB3524" w:rsidRDefault="00590A61" w:rsidP="00460C69">
            <w:pPr>
              <w:pStyle w:val="TableTitle"/>
              <w:rPr>
                <w:b/>
              </w:rPr>
            </w:pPr>
            <w:r w:rsidRPr="00AB3524">
              <w:t>Table II.2.16:</w:t>
            </w:r>
            <w:r w:rsidRPr="00AB3524">
              <w:rPr>
                <w:b/>
              </w:rPr>
              <w:tab/>
              <w:t>Sensitivity tests of the AWG reference scenario on health care - increase in public expenditure on health care over 2016-2070, as pps. of GDP</w:t>
            </w:r>
          </w:p>
        </w:tc>
      </w:tr>
      <w:tr w:rsidR="00590A61" w:rsidRPr="00AB3524" w14:paraId="3510EF6C" w14:textId="77777777" w:rsidTr="00460C69">
        <w:trPr>
          <w:cantSplit/>
        </w:trPr>
        <w:tc>
          <w:tcPr>
            <w:tcW w:w="8505" w:type="dxa"/>
            <w:shd w:val="clear" w:color="auto" w:fill="auto"/>
          </w:tcPr>
          <w:p w14:paraId="1A2FC122" w14:textId="77777777" w:rsidR="00590A61" w:rsidRPr="00AB3524" w:rsidRDefault="00590A61" w:rsidP="00460C69">
            <w:pPr>
              <w:pStyle w:val="TableShape"/>
              <w:rPr>
                <w:sz w:val="2"/>
              </w:rPr>
            </w:pPr>
            <w:r w:rsidRPr="00AB3524">
              <w:rPr>
                <w:noProof/>
                <w:sz w:val="2"/>
                <w:lang w:val="hr-HR" w:eastAsia="hr-HR"/>
              </w:rPr>
              <w:drawing>
                <wp:inline distT="0" distB="0" distL="0" distR="0" wp14:anchorId="2C44533C" wp14:editId="5439EB3B">
                  <wp:extent cx="5400929" cy="3324382"/>
                  <wp:effectExtent l="0" t="0" r="0" b="9525"/>
                  <wp:docPr id="1065" name="Picture 1065" descr="&lt;nbr&gt;&lt;GETTEXTFROMWORD&gt;&lt;/nbr&gt;&#10;&lt;title&gt;&lt;GETTEXTFROMWORD&gt;&lt;/title&gt;&#10;&lt;id&gt;02e52035-7793-4c02-84c0-c0766d4e9180&lt;/id&gt;&#10;&lt;srcType&gt;EXCEL&lt;/srcType&gt;&#10;&lt;srcPath&gt;U:\Budgetary projections 2018\Reports\2018 AR\Tables_and_graphs\Part II Chapter 2\&lt;/srcPath&gt;&#10;&lt;srcName&gt;tables &amp; graphs - Part II - Chapter 2 - HC.xlsx&lt;/srcName&gt;&#10;&lt;type&gt;table&lt;/type&gt;&#10; &lt;srcSheet&gt;Table sensitivity tests&lt;/srcSheet&gt;&#10; &lt;srcRange&gt;R2C2:R39C15&lt;/srcRange&gt;&#10;&lt;pos&gt;bottom_maintext&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400929" cy="3324382"/>
                          </a:xfrm>
                          <a:prstGeom prst="rect">
                            <a:avLst/>
                          </a:prstGeom>
                          <a:noFill/>
                          <a:ln>
                            <a:noFill/>
                          </a:ln>
                        </pic:spPr>
                      </pic:pic>
                    </a:graphicData>
                  </a:graphic>
                </wp:inline>
              </w:drawing>
            </w:r>
            <w:r w:rsidRPr="00AB3524">
              <w:fldChar w:fldCharType="begin"/>
            </w:r>
            <w:r w:rsidRPr="009F3ED8">
              <w:instrText xml:space="preserve"> TC "</w:instrText>
            </w:r>
            <w:bookmarkStart w:id="200" w:name="_Toc511664561"/>
            <w:r w:rsidRPr="009F3ED8">
              <w:instrText>II.2.16.</w:instrText>
            </w:r>
            <w:r w:rsidRPr="009F3ED8">
              <w:tab/>
              <w:instrText>Sensitivity tests of the AWG reference scenario on health care - increase in public expenditure on health care over 2016-2070, as pps. of GDP</w:instrText>
            </w:r>
            <w:bookmarkEnd w:id="200"/>
            <w:r w:rsidRPr="009F3ED8">
              <w:instrText xml:space="preserve">" \ftable \l 5 </w:instrText>
            </w:r>
            <w:r w:rsidRPr="00AB3524">
              <w:fldChar w:fldCharType="end"/>
            </w:r>
          </w:p>
        </w:tc>
      </w:tr>
      <w:tr w:rsidR="00590A61" w:rsidRPr="00AB3524" w14:paraId="0E5EF996" w14:textId="77777777" w:rsidTr="00460C69">
        <w:trPr>
          <w:cantSplit/>
        </w:trPr>
        <w:tc>
          <w:tcPr>
            <w:tcW w:w="8505" w:type="dxa"/>
            <w:shd w:val="clear" w:color="auto" w:fill="auto"/>
          </w:tcPr>
          <w:p w14:paraId="65BDD34E" w14:textId="77777777" w:rsidR="00590A61" w:rsidRDefault="00590A61" w:rsidP="00460C69">
            <w:pPr>
              <w:pStyle w:val="TableFootnote"/>
            </w:pPr>
            <w:r>
              <w:t xml:space="preserve">Notes: The "high life expectancy scenario" as a sensitivity test of the "AWG reference scenario" differs from the "high life expectancy scenario" used as a sensitivity test of the "demographic scenario". </w:t>
            </w:r>
          </w:p>
          <w:p w14:paraId="3E6045B5" w14:textId="77777777" w:rsidR="00590A61" w:rsidRPr="00AB3524" w:rsidRDefault="00590A61" w:rsidP="00460C69">
            <w:pPr>
              <w:pStyle w:val="TableSource"/>
            </w:pPr>
            <w:r w:rsidRPr="00AB3524">
              <w:rPr>
                <w:b/>
                <w:i/>
              </w:rPr>
              <w:t>Source:</w:t>
            </w:r>
            <w:r w:rsidRPr="00AB3524">
              <w:t xml:space="preserve"> Commission services, EPC</w:t>
            </w:r>
          </w:p>
        </w:tc>
      </w:tr>
      <w:tr w:rsidR="00590A61" w:rsidRPr="00AB3524" w14:paraId="603E3109" w14:textId="77777777" w:rsidTr="00460C69">
        <w:trPr>
          <w:cantSplit/>
          <w:trHeight w:val="20"/>
        </w:trPr>
        <w:tc>
          <w:tcPr>
            <w:tcW w:w="8505" w:type="dxa"/>
            <w:shd w:val="clear" w:color="auto" w:fill="auto"/>
          </w:tcPr>
          <w:p w14:paraId="6C99B83F" w14:textId="77777777" w:rsidR="00590A61" w:rsidRPr="00AB3524" w:rsidRDefault="00590A61" w:rsidP="00460C69">
            <w:pPr>
              <w:pStyle w:val="SlimCell"/>
            </w:pPr>
          </w:p>
        </w:tc>
      </w:tr>
    </w:tbl>
    <w:p w14:paraId="4CEC12B1" w14:textId="77777777" w:rsidR="00590A61" w:rsidRPr="00AB3524" w:rsidRDefault="00590A61" w:rsidP="00460C69">
      <w:pPr>
        <w:pStyle w:val="NumberedHeading1"/>
        <w:tabs>
          <w:tab w:val="left" w:pos="567"/>
        </w:tabs>
      </w:pPr>
      <w:bookmarkStart w:id="201" w:name="_Toc511664439"/>
      <w:r w:rsidRPr="00AB3524">
        <w:lastRenderedPageBreak/>
        <w:t>2.5.</w:t>
      </w:r>
      <w:r w:rsidRPr="00AB3524">
        <w:tab/>
        <w:t>Comparison with the 2015 Ageing Report</w:t>
      </w:r>
      <w:bookmarkEnd w:id="201"/>
    </w:p>
    <w:p w14:paraId="1795E3C6" w14:textId="77777777" w:rsidR="00590A61" w:rsidRPr="00AB3524" w:rsidRDefault="00590A61" w:rsidP="00460C69">
      <w:r w:rsidRPr="00AB3524">
        <w:t xml:space="preserve">The </w:t>
      </w:r>
      <w:r w:rsidRPr="00AB3524">
        <w:rPr>
          <w:i/>
        </w:rPr>
        <w:t>“</w:t>
      </w:r>
      <w:r w:rsidRPr="00AB3524">
        <w:rPr>
          <w:b/>
          <w:i/>
        </w:rPr>
        <w:t>AWG reference scenario</w:t>
      </w:r>
      <w:r w:rsidRPr="00AB3524">
        <w:rPr>
          <w:i/>
        </w:rPr>
        <w:t>”</w:t>
      </w:r>
      <w:r w:rsidRPr="00AB3524">
        <w:t xml:space="preserve"> is the point of reference for comparisons with the 2015 Ageing Report. Differences across the two waves of projections may arise from different demographic assumptions (faster/slower ageing of population) or changes in the age-gender expenditure profiles. However, when making these comparisons, it has to be kept in mind that there are many reasons why differences in results may not simply reflect changes in the underlying ageing process. Differences may stem from a different base-year for starting the projections, updated macroeconomic assumptions resulting in different GDP per capita growth rates and GDP levels for the period under analysis and changes in scenario assumptions.</w:t>
      </w:r>
    </w:p>
    <w:p w14:paraId="6C4FE3BE" w14:textId="77777777" w:rsidR="00590A61" w:rsidRPr="00AB3524" w:rsidRDefault="00590A61" w:rsidP="00460C69">
      <w:r w:rsidRPr="00AB3524">
        <w:t>A decomposition of drivers (</w:t>
      </w:r>
      <w:r w:rsidRPr="00AB3524">
        <w:rPr>
          <w:rStyle w:val="Referencafusnote"/>
        </w:rPr>
        <w:footnoteReference w:id="95"/>
      </w:r>
      <w:r w:rsidRPr="00AB3524">
        <w:t xml:space="preserve">), aiming at quantifying which factors can explain the differences in projected spending between the 2015 and the 2018 projection exercises, is proposed in Table </w:t>
      </w:r>
      <w:r w:rsidRPr="00AB3524">
        <w:fldChar w:fldCharType="begin"/>
      </w:r>
      <w:r w:rsidRPr="00AB3524">
        <w:instrText xml:space="preserve"> QUOTE "II.2.17"</w:instrText>
      </w:r>
      <w:r w:rsidRPr="00AB3524">
        <w:fldChar w:fldCharType="begin">
          <w:fldData xml:space="preserve">QwBSAE8AUwBTAFIARQBGAEUAUgBFAE4AQwBFACoAVABBAEIATABFACoAMgBlAGQAZgBhADIAOQBm
AC0AZABjADIANQAtADQAYwA3AGYALQA4AGUANAAxAC0AMQBiADMAMgA1AGUAOQA0AGIAZQBjAGIA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II.2.17</w:t>
      </w:r>
      <w:r w:rsidRPr="00AB3524">
        <w:fldChar w:fldCharType="end"/>
      </w:r>
      <w:r w:rsidRPr="00AB3524">
        <w:t>. The considered drivers next to the already mentioned age-gender cost profiles and projected population, are the GDP per capita growth, the base-year and reforms effect, as well as an interaction effect.</w:t>
      </w:r>
    </w:p>
    <w:p w14:paraId="4FE0CE6F" w14:textId="77777777" w:rsidR="00590A61" w:rsidRPr="00AB3524" w:rsidRDefault="00590A61" w:rsidP="00460C69">
      <w:r w:rsidRPr="00AB3524">
        <w:t>As for the results at the level of the EU28, the new age-cost profiles have slightly increased the spending by 0.04 pps. of GDP.  New demographic data has, in general, driven up spending projections by 0.1 pps. of GDP, whilst GDP per capita growth projections have driven down the results by roughly 0.1 pps. of GDP. However, there is considerable variation between countries.</w:t>
      </w:r>
    </w:p>
    <w:p w14:paraId="7E5C4D11" w14:textId="77777777" w:rsidR="00590A61" w:rsidRPr="00AB3524" w:rsidRDefault="00590A61" w:rsidP="00460C69">
      <w:r w:rsidRPr="00AB3524">
        <w:t>The 2016 level of public expenditure on health care in the EU is 0.2 pps. of GDP lower in the current Ageing Report than in the 2015 projections. The impact ranges from an increase of 0.9 pps. of GDP in Bulgaria to a decrease of 2.0 pps. of GDP in Ireland. In aggregate, EU countries now start from a lower level of spending. Ceteris paribus, this shift results in lower increases in projected levels of health spending.</w:t>
      </w:r>
    </w:p>
    <w:p w14:paraId="36056FBA" w14:textId="77777777" w:rsidR="00590A61" w:rsidRPr="00AB3524" w:rsidRDefault="00590A61" w:rsidP="00460C69">
      <w:r w:rsidRPr="00AB3524">
        <w:lastRenderedPageBreak/>
        <w:t xml:space="preserve">There are no noticeable changes in the </w:t>
      </w:r>
      <w:r w:rsidRPr="00AB3524">
        <w:rPr>
          <w:b/>
        </w:rPr>
        <w:t>age-gender cost profiles</w:t>
      </w:r>
      <w:r w:rsidRPr="00AB3524">
        <w:t xml:space="preserve"> for the EU on average. However, this aggregate impact masks a wide range of variation across Member States, from an increase of 0.2 pps. of GPD for Italy, Hungary, Sweden, Luxembourg and the Netherlands to a decrease of 0.4 pps. of GDP for France. The reason for these changes is due to the fact that in most cases age-cost profiles have been updated, resulting in different dynamics of ageing costs for many countries. In many cases this also reflects an improvement in the quality of data used and in the construction of the profiles.</w:t>
      </w:r>
    </w:p>
    <w:p w14:paraId="099BF170" w14:textId="77777777" w:rsidR="00590A61" w:rsidRPr="00AB3524" w:rsidRDefault="00590A61" w:rsidP="00460C69">
      <w:r w:rsidRPr="00AB3524">
        <w:t xml:space="preserve">Graph </w:t>
      </w:r>
      <w:r w:rsidRPr="00AB3524">
        <w:fldChar w:fldCharType="begin"/>
      </w:r>
      <w:r w:rsidRPr="00AB3524">
        <w:instrText xml:space="preserve"> QUOTE "II.2.7"</w:instrText>
      </w:r>
      <w:r w:rsidRPr="00AB3524">
        <w:fldChar w:fldCharType="begin">
          <w:fldData xml:space="preserve">QwBSAE8AUwBTAFIARQBGAEUAUgBFAE4AQwBFACoAQwBMAFUAUwBUAEUAUgAgAE8ARgAgAEcAUgBB
AFAASABTACoAMQAxAGQAZgA2AGQANwAwAC0AMgAwAGQAMgAtADQAOQAzAGMALQA5ADQANQBlAC0A
NwA0ADEAZQBmAGQANgBiADcAMQBjAGQA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II.2.7</w:t>
      </w:r>
      <w:r w:rsidRPr="00AB3524">
        <w:fldChar w:fldCharType="end"/>
      </w:r>
      <w:r w:rsidRPr="00AB3524">
        <w:t xml:space="preserve"> shows the age-gender expenditure profiles as percentage of GDP for all ages and their evolution in comparison to the 2015 Ageing Report. In the EU28, the cost profiles for males decreased for the ages 70 to 95 and increased for the very old ages of 95 and above compared to the 2015 cost profiles. Similarly, the cost profiles for females decreased for the ages 60 to 85 but increased for the very old ages of 95 and above. These changes in the age-cost profiles may result in a relative larger increase in public expenditure on health care as compared to the 2015 Ageing Report.</w:t>
      </w:r>
    </w:p>
    <w:p w14:paraId="3E8A1860" w14:textId="77777777" w:rsidR="00590A61" w:rsidRPr="00AB3524" w:rsidRDefault="00590A61" w:rsidP="00460C69">
      <w:r w:rsidRPr="00AB3524">
        <w:t>Revisions in the demographic projections lead to greater health care expenditure on average in the EU in the current Ageing Report. The latest projected demographic evolution for Italy, Luxembourg and Latvia substantially affects the projected health care spending growth, while the changes in projected demographics favourably impact on the projected health care growth for Slovakia and the Netherlands.</w:t>
      </w:r>
    </w:p>
    <w:p w14:paraId="52D5E7AD" w14:textId="77777777" w:rsidR="00590A61" w:rsidRPr="00AB3524" w:rsidRDefault="00590A61" w:rsidP="00460C69">
      <w:r w:rsidRPr="00AB3524">
        <w:t xml:space="preserve">Lower GDP growth rates per capita in the EU in the current Ageing Report relative to the 2015 Ageing Report impact favourably on lower health care expenditure growth. However, this overall impact masks some of the country-level specificities. Ireland, Malta and Portugal are most strongly affected by revisions to GDP projections reducing projected expenditure growth, whereas for Greece, Latvia and Slovakia, the effect is opposite even though somewhat smaller. </w:t>
      </w:r>
    </w:p>
    <w:p w14:paraId="7325B8A7" w14:textId="77777777" w:rsidR="00590A61" w:rsidRPr="00AB3524" w:rsidRDefault="00590A61" w:rsidP="00460C69"/>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590A61" w:rsidRPr="00AB3524" w14:paraId="248077F8" w14:textId="77777777" w:rsidTr="00460C69">
        <w:trPr>
          <w:cantSplit/>
          <w:trHeight w:val="20"/>
        </w:trPr>
        <w:tc>
          <w:tcPr>
            <w:tcW w:w="8505" w:type="dxa"/>
            <w:shd w:val="clear" w:color="auto" w:fill="auto"/>
          </w:tcPr>
          <w:p w14:paraId="0929D296" w14:textId="77777777" w:rsidR="00590A61" w:rsidRPr="00AB3524" w:rsidRDefault="00590A61" w:rsidP="00460C69">
            <w:pPr>
              <w:pStyle w:val="SlimCell"/>
              <w:keepNext/>
            </w:pPr>
            <w:r w:rsidRPr="00AB3524">
              <w:lastRenderedPageBreak/>
              <w:fldChar w:fldCharType="begin"/>
            </w:r>
            <w:r w:rsidRPr="009F3ED8">
              <w:instrText xml:space="preserve"> TC "</w:instrText>
            </w:r>
            <w:bookmarkStart w:id="202" w:name="_Toc511664562"/>
            <w:r w:rsidRPr="009F3ED8">
              <w:instrText>II.2.17.</w:instrText>
            </w:r>
            <w:r w:rsidRPr="009F3ED8">
              <w:tab/>
              <w:instrText>Decomposing the impact of drivers on differences in spending growth in health care expenditures between the 2018 and 2015 Ageing Reports, in pps. of GDP</w:instrText>
            </w:r>
            <w:bookmarkEnd w:id="202"/>
            <w:r w:rsidRPr="009F3ED8">
              <w:instrText xml:space="preserve">" \ftable \l 5 </w:instrText>
            </w:r>
            <w:r w:rsidRPr="00AB3524">
              <w:fldChar w:fldCharType="end"/>
            </w:r>
          </w:p>
        </w:tc>
      </w:tr>
      <w:tr w:rsidR="00590A61" w:rsidRPr="00AB3524" w14:paraId="314CD698" w14:textId="77777777" w:rsidTr="00460C69">
        <w:trPr>
          <w:cantSplit/>
        </w:trPr>
        <w:tc>
          <w:tcPr>
            <w:tcW w:w="8505" w:type="dxa"/>
            <w:shd w:val="clear" w:color="auto" w:fill="auto"/>
          </w:tcPr>
          <w:p w14:paraId="6F8736C3" w14:textId="77777777" w:rsidR="00590A61" w:rsidRPr="00AB3524" w:rsidRDefault="00590A61" w:rsidP="00460C69">
            <w:pPr>
              <w:pStyle w:val="TableTitle"/>
              <w:rPr>
                <w:b/>
              </w:rPr>
            </w:pPr>
            <w:r w:rsidRPr="00AB3524">
              <w:t>Table II.2.17:</w:t>
            </w:r>
            <w:r w:rsidRPr="00AB3524">
              <w:rPr>
                <w:b/>
              </w:rPr>
              <w:tab/>
              <w:t>Decomposing the impact of drivers on differences in spending growth in health care expenditures between the 2018 and 2015 Ageing Reports, in pps. of GDP</w:t>
            </w:r>
          </w:p>
        </w:tc>
      </w:tr>
      <w:tr w:rsidR="00590A61" w:rsidRPr="00AB3524" w14:paraId="587DE809" w14:textId="77777777" w:rsidTr="00460C69">
        <w:trPr>
          <w:cantSplit/>
        </w:trPr>
        <w:tc>
          <w:tcPr>
            <w:tcW w:w="8505" w:type="dxa"/>
            <w:shd w:val="clear" w:color="auto" w:fill="auto"/>
          </w:tcPr>
          <w:p w14:paraId="6BD15384" w14:textId="77777777" w:rsidR="00590A61" w:rsidRPr="00AB3524" w:rsidRDefault="00590A61" w:rsidP="00460C69">
            <w:pPr>
              <w:pStyle w:val="TableShape"/>
              <w:rPr>
                <w:sz w:val="2"/>
              </w:rPr>
            </w:pPr>
            <w:r w:rsidRPr="00AB3524">
              <w:rPr>
                <w:noProof/>
                <w:sz w:val="2"/>
                <w:lang w:val="hr-HR" w:eastAsia="hr-HR"/>
              </w:rPr>
              <w:drawing>
                <wp:inline distT="0" distB="0" distL="0" distR="0" wp14:anchorId="4D020662" wp14:editId="61BBB02C">
                  <wp:extent cx="5400929" cy="6105812"/>
                  <wp:effectExtent l="0" t="0" r="9525" b="9525"/>
                  <wp:docPr id="38" name="Picture 38" descr="&lt;nbr&gt;&lt;GETTEXTFROMWORD&gt;&lt;/nbr&gt;&#10;&lt;title&gt;&lt;GETTEXTFROMWORD&gt;&lt;/title&gt;&#10;&lt;id&gt;2edfa29f-dc25-4c7f-8e41-1b325e94becb&lt;/id&gt;&#10;&lt;srcType&gt;EXCEL&lt;/srcType&gt;&#10;&lt;srcPath&gt;U:\Budgetary projections 2018\Reports\2018 AR\Tables_and_graphs\Part II Chapter 2\&lt;/srcPath&gt;&#10;&lt;srcName&gt;tables &amp; graphs - Part II - Chapter 2 - HC.xlsx&lt;/srcName&gt;&#10;&lt;type&gt;table&lt;/type&gt;&#10; &lt;srcSheet&gt;Table 2.14 Decomp AWG REF value&lt;/srcSheet&gt;&#10; &lt;srcRange&gt;R3C2:R40C9&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400929" cy="6105812"/>
                          </a:xfrm>
                          <a:prstGeom prst="rect">
                            <a:avLst/>
                          </a:prstGeom>
                          <a:noFill/>
                          <a:ln>
                            <a:noFill/>
                          </a:ln>
                        </pic:spPr>
                      </pic:pic>
                    </a:graphicData>
                  </a:graphic>
                </wp:inline>
              </w:drawing>
            </w:r>
          </w:p>
        </w:tc>
      </w:tr>
      <w:tr w:rsidR="00590A61" w:rsidRPr="00AB3524" w14:paraId="38206445" w14:textId="77777777" w:rsidTr="00460C69">
        <w:trPr>
          <w:cantSplit/>
        </w:trPr>
        <w:tc>
          <w:tcPr>
            <w:tcW w:w="8505" w:type="dxa"/>
            <w:shd w:val="clear" w:color="auto" w:fill="auto"/>
          </w:tcPr>
          <w:p w14:paraId="713B8F7D" w14:textId="77777777" w:rsidR="00590A61" w:rsidRDefault="00590A61" w:rsidP="00460C69">
            <w:pPr>
              <w:pStyle w:val="TableFootnote"/>
            </w:pPr>
            <w:r>
              <w:t>Notes: (1) The interaction effect is the unexplained difference between the change in all drivers and the sum of the effects of the individual drivers. The change in all drivers is estimated by replacing the current data with the 2015 Ageing Report data for all drivers at once. (2) The EU28 (EU*) and EA averages are weighted according to GDP. A non-weighted EU average (EU* s) is included at the bottom of the table.</w:t>
            </w:r>
          </w:p>
          <w:p w14:paraId="14FC8FAC" w14:textId="77777777" w:rsidR="00590A61" w:rsidRPr="00AB3524" w:rsidRDefault="00590A61" w:rsidP="00460C69">
            <w:pPr>
              <w:pStyle w:val="TableSource"/>
            </w:pPr>
            <w:r w:rsidRPr="00AB3524">
              <w:rPr>
                <w:b/>
                <w:i/>
              </w:rPr>
              <w:t>Source:</w:t>
            </w:r>
            <w:r w:rsidRPr="00AB3524">
              <w:t xml:space="preserve"> Commission services, EPC.</w:t>
            </w:r>
          </w:p>
        </w:tc>
      </w:tr>
      <w:tr w:rsidR="00590A61" w:rsidRPr="00AB3524" w14:paraId="795DBCB4" w14:textId="77777777" w:rsidTr="00460C69">
        <w:trPr>
          <w:cantSplit/>
          <w:trHeight w:val="20"/>
        </w:trPr>
        <w:tc>
          <w:tcPr>
            <w:tcW w:w="8505" w:type="dxa"/>
            <w:shd w:val="clear" w:color="auto" w:fill="auto"/>
          </w:tcPr>
          <w:p w14:paraId="4DB37A0A" w14:textId="77777777" w:rsidR="00590A61" w:rsidRPr="00AB3524" w:rsidRDefault="00590A61" w:rsidP="00460C69">
            <w:pPr>
              <w:pStyle w:val="SlimCell"/>
            </w:pPr>
          </w:p>
        </w:tc>
      </w:tr>
    </w:tbl>
    <w:p w14:paraId="1C1D34E3" w14:textId="77777777" w:rsidR="00590A61" w:rsidRPr="00AB3524" w:rsidRDefault="00590A61" w:rsidP="00460C69">
      <w:pPr>
        <w:pStyle w:val="MultipageDelimiter"/>
      </w:pP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590A61" w:rsidRPr="00AB3524" w14:paraId="5A432B99" w14:textId="77777777" w:rsidTr="00460C69">
        <w:trPr>
          <w:cantSplit/>
        </w:trPr>
        <w:tc>
          <w:tcPr>
            <w:tcW w:w="8505" w:type="dxa"/>
            <w:shd w:val="clear" w:color="auto" w:fill="auto"/>
          </w:tcPr>
          <w:p w14:paraId="2782A6BB" w14:textId="77777777" w:rsidR="00590A61" w:rsidRPr="00AB3524" w:rsidRDefault="00590A61" w:rsidP="00460C69">
            <w:pPr>
              <w:pStyle w:val="GraphTitle"/>
              <w:rPr>
                <w:b/>
              </w:rPr>
            </w:pPr>
            <w:r w:rsidRPr="00AB3524">
              <w:lastRenderedPageBreak/>
              <w:fldChar w:fldCharType="begin"/>
            </w:r>
            <w:r w:rsidRPr="009F3ED8">
              <w:instrText xml:space="preserve"> TC "</w:instrText>
            </w:r>
            <w:bookmarkStart w:id="203" w:name="_Toc511664687"/>
            <w:r w:rsidRPr="009F3ED8">
              <w:instrText>II.2.7.</w:instrText>
            </w:r>
            <w:r w:rsidRPr="009F3ED8">
              <w:tab/>
              <w:instrText>Age-gender expenditure profiles and population changes in the 2018 and 2015 Ageing Reports</w:instrText>
            </w:r>
            <w:bookmarkEnd w:id="203"/>
            <w:r w:rsidRPr="009F3ED8">
              <w:instrText xml:space="preserve">" \fgraph \l 5 </w:instrText>
            </w:r>
            <w:r w:rsidRPr="00AB3524">
              <w:fldChar w:fldCharType="end"/>
            </w:r>
            <w:r w:rsidRPr="00AB3524">
              <w:t>Graph II.2.7:</w:t>
            </w:r>
            <w:r w:rsidRPr="00AB3524">
              <w:rPr>
                <w:b/>
              </w:rPr>
              <w:tab/>
              <w:t>Age-gender expenditure profiles and population changes in the 2018 and 2015 Ageing Reports</w:t>
            </w:r>
          </w:p>
        </w:tc>
      </w:tr>
      <w:tr w:rsidR="00590A61" w:rsidRPr="00AB3524" w14:paraId="541EAC81" w14:textId="77777777" w:rsidTr="00460C69">
        <w:trPr>
          <w:cantSplit/>
        </w:trPr>
        <w:tc>
          <w:tcPr>
            <w:tcW w:w="8505" w:type="dxa"/>
            <w:shd w:val="clear" w:color="auto" w:fill="auto"/>
          </w:tcPr>
          <w:p w14:paraId="5DEC7A5A" w14:textId="77777777" w:rsidR="00590A61" w:rsidRPr="00AB3524" w:rsidRDefault="00590A61" w:rsidP="00460C69">
            <w:pPr>
              <w:pStyle w:val="GraphShape"/>
              <w:rPr>
                <w:sz w:val="2"/>
              </w:rPr>
            </w:pPr>
            <w:r w:rsidRPr="00AB3524">
              <w:rPr>
                <w:noProof/>
                <w:sz w:val="2"/>
                <w:lang w:val="hr-HR" w:eastAsia="hr-HR"/>
              </w:rPr>
              <w:drawing>
                <wp:inline distT="0" distB="0" distL="0" distR="0" wp14:anchorId="78626844" wp14:editId="7246E233">
                  <wp:extent cx="5400929" cy="1581224"/>
                  <wp:effectExtent l="0" t="0" r="9525" b="0"/>
                  <wp:docPr id="2" name="Picture 2" descr="&lt;nbr&gt;&lt;GETTEXTFROMWORD&gt;&lt;/nbr&gt;&#10;&lt;title&gt;&lt;GETTEXTFROMWORD&gt;&lt;/title&gt;&#10;&lt;id&gt;11df6d70-20d2-493c-945e-741efd6b71cd&lt;/id&gt;&#10;&lt;srcType&gt;EXCEL&lt;/srcType&gt;&#10;&lt;srcPath&gt;U:\Budgetary projections 2018\Reports\2018 AR\Tables_and_graphs\Part II Chapter 2\&lt;/srcPath&gt;&#10;&lt;srcName&gt;tables &amp; graphs - Part II - Chapter 2 - HC.xlsx&lt;/srcName&gt;&#10;&lt;type&gt;clusterofgraphs&lt;/type&gt;&#10; &lt;srcSheet&gt;Graph 2.8 POP EU28&lt;/srcSheet&gt;&#10; &lt;individualNumbers&gt;no&lt;/individualNumbers&gt;&#10;&lt;pos&gt;top&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4-13T11:08:2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400929" cy="1581224"/>
                          </a:xfrm>
                          <a:prstGeom prst="rect">
                            <a:avLst/>
                          </a:prstGeom>
                          <a:noFill/>
                          <a:ln>
                            <a:noFill/>
                          </a:ln>
                        </pic:spPr>
                      </pic:pic>
                    </a:graphicData>
                  </a:graphic>
                </wp:inline>
              </w:drawing>
            </w:r>
          </w:p>
        </w:tc>
      </w:tr>
      <w:tr w:rsidR="00590A61" w:rsidRPr="00AB3524" w14:paraId="441EF1A5" w14:textId="77777777" w:rsidTr="00460C69">
        <w:trPr>
          <w:cantSplit/>
        </w:trPr>
        <w:tc>
          <w:tcPr>
            <w:tcW w:w="8505" w:type="dxa"/>
            <w:shd w:val="clear" w:color="auto" w:fill="auto"/>
          </w:tcPr>
          <w:p w14:paraId="37CCBA97" w14:textId="77777777" w:rsidR="00590A61" w:rsidRPr="00AB3524" w:rsidRDefault="00590A61" w:rsidP="00460C69">
            <w:pPr>
              <w:pStyle w:val="GraphSource"/>
              <w:keepNext/>
            </w:pPr>
            <w:r w:rsidRPr="00AB3524">
              <w:rPr>
                <w:b/>
                <w:i/>
              </w:rPr>
              <w:t>Source:</w:t>
            </w:r>
            <w:r w:rsidRPr="00AB3524">
              <w:t xml:space="preserve"> Commission services, EPC.</w:t>
            </w:r>
          </w:p>
        </w:tc>
      </w:tr>
    </w:tbl>
    <w:p w14:paraId="72292905" w14:textId="77777777" w:rsidR="00590A61" w:rsidRPr="00AB3524" w:rsidRDefault="00590A61" w:rsidP="00460C69">
      <w:pPr>
        <w:pStyle w:val="NumberedHeading1"/>
        <w:tabs>
          <w:tab w:val="left" w:pos="567"/>
        </w:tabs>
      </w:pPr>
      <w:bookmarkStart w:id="204" w:name="_Toc511664440"/>
      <w:r w:rsidRPr="00AB3524">
        <w:t>2.6.</w:t>
      </w:r>
      <w:r w:rsidRPr="00AB3524">
        <w:tab/>
        <w:t>Conclusions</w:t>
      </w:r>
      <w:bookmarkEnd w:id="204"/>
    </w:p>
    <w:p w14:paraId="30179C1B" w14:textId="77777777" w:rsidR="00590A61" w:rsidRPr="00AB3524" w:rsidRDefault="00590A61" w:rsidP="00460C69">
      <w:r w:rsidRPr="00AB3524">
        <w:t>Growing public health care expenditure raises concerns about its long-term sustainability. This report takes into account the possibility that alternative scenarios materialize in a context subject to considerable uncertainty. Public health expenditure in EU28 was at 6.8 % of GDP in 2016. The projections show that expenditure may grow to 7.9 % of GDP in 2070 only on accounts of demographic ageing – and to higher levels when other push up factors are accounted for as in the other scenarios presented in this report.</w:t>
      </w:r>
    </w:p>
    <w:p w14:paraId="14CC71E2" w14:textId="77777777" w:rsidR="00590A61" w:rsidRPr="00AB3524" w:rsidRDefault="00590A61" w:rsidP="00460C69">
      <w:r w:rsidRPr="00AB3524">
        <w:t xml:space="preserve">The </w:t>
      </w:r>
      <w:r w:rsidRPr="00AB3524">
        <w:rPr>
          <w:i/>
        </w:rPr>
        <w:t>"</w:t>
      </w:r>
      <w:r w:rsidRPr="00AB3524">
        <w:rPr>
          <w:b/>
          <w:i/>
        </w:rPr>
        <w:t>demographic scenario</w:t>
      </w:r>
      <w:r w:rsidRPr="00AB3524">
        <w:rPr>
          <w:i/>
        </w:rPr>
        <w:t>"</w:t>
      </w:r>
      <w:r w:rsidRPr="00AB3524">
        <w:t xml:space="preserve"> assumes that per capita spending grows in line with national income per capita. The effect is that without population ageing, the share of health spending in percentage of national income would stay constant. However, on the one hand empirical research shows that growth in both public and total health care spending may exceed the growth rate of national income, be it because of rising expectations towards more and better health care and a higher willingness to pay for health care services. On the other hand, the scenario assumes that all future gains in life expectancy are spent in bad health. Consequently, the "demographic scenario", with projected public expenditure increase on health care of 1.1 pps. of GDP by 2070, may under- or overestimate health spending growth.</w:t>
      </w:r>
    </w:p>
    <w:p w14:paraId="023995D1" w14:textId="77777777" w:rsidR="00590A61" w:rsidRPr="00AB3524" w:rsidRDefault="00590A61" w:rsidP="00460C69">
      <w:r w:rsidRPr="00AB3524">
        <w:t>Indeed, the projections show that whilst ageing per se has a non-negligible effect on expenditure growth, it is rather moderate. In effect, much depends on whether gains in life expectancy are spent in good or bad health. Considering higher life expectancy, but in a more pessimistic note, with all additional life year gains spent in bad health as suggested in the "</w:t>
      </w:r>
      <w:r w:rsidRPr="00AB3524">
        <w:rPr>
          <w:b/>
          <w:i/>
        </w:rPr>
        <w:t>high life expectancy scenario</w:t>
      </w:r>
      <w:r w:rsidRPr="00AB3524">
        <w:t>", the ageing impact on the projected public expenditure on health care will amount to 1.3 pps. of GDP. Optimistically, if all additional life years are healthy life years, the additional cost burden from ageing can be lowered to only 0.2 pps. of GDP, as exemplified in the "</w:t>
      </w:r>
      <w:r w:rsidRPr="00AB3524">
        <w:rPr>
          <w:b/>
          <w:i/>
        </w:rPr>
        <w:t>healthy ageing scenario</w:t>
      </w:r>
      <w:r w:rsidRPr="00AB3524">
        <w:rPr>
          <w:i/>
        </w:rPr>
        <w:t>"</w:t>
      </w:r>
      <w:r w:rsidRPr="00AB3524">
        <w:t> (</w:t>
      </w:r>
      <w:r w:rsidRPr="00AB3524">
        <w:rPr>
          <w:rStyle w:val="Referencafusnote"/>
        </w:rPr>
        <w:footnoteReference w:id="96"/>
      </w:r>
      <w:r w:rsidRPr="00AB3524">
        <w:t xml:space="preserve">). </w:t>
      </w:r>
    </w:p>
    <w:p w14:paraId="76351491" w14:textId="77777777" w:rsidR="00590A61" w:rsidRPr="00AB3524" w:rsidRDefault="00590A61" w:rsidP="00460C69">
      <w:r w:rsidRPr="00AB3524">
        <w:t>Non-demographic factors will be one of the key driving forces of health expenditure, if past trends persist. With rising income and longevity, older people are willing to spend more on health care services (</w:t>
      </w:r>
      <w:r w:rsidRPr="00AB3524">
        <w:rPr>
          <w:rStyle w:val="Referencafusnote"/>
        </w:rPr>
        <w:footnoteReference w:id="97"/>
      </w:r>
      <w:r w:rsidRPr="00AB3524">
        <w:t>). Assuming a higher growth in spending relative to national income (i.e. income elasticity of 1.1) adds an extra 0.2 pps. of GDP to health expenditure and the projected increase in health expenditure in 2070 for the "</w:t>
      </w:r>
      <w:r w:rsidRPr="00AB3524">
        <w:rPr>
          <w:b/>
          <w:i/>
        </w:rPr>
        <w:t>income elasticity scenario</w:t>
      </w:r>
      <w:r w:rsidRPr="00AB3524">
        <w:t>" amounts to 1.3 pps. of GDP.</w:t>
      </w:r>
    </w:p>
    <w:p w14:paraId="6D62EDDF" w14:textId="77777777" w:rsidR="00590A61" w:rsidRPr="00AB3524" w:rsidRDefault="00590A61" w:rsidP="00460C69">
      <w:r w:rsidRPr="00AB3524">
        <w:t>Rising income, in turn, drives technological innovations in the health sector, which have been confirmed in many studies to be crucial in explaining past increases in health expenditure. In addition, policy decisions to expand access and improve quality to health services especially for older people will inextricably mean that ageing remains at the core of public debates related to health expenditure.</w:t>
      </w:r>
    </w:p>
    <w:p w14:paraId="074C63D9" w14:textId="77777777" w:rsidR="00590A61" w:rsidRPr="00AB3524" w:rsidRDefault="00590A61" w:rsidP="00460C69">
      <w:r w:rsidRPr="00AB3524">
        <w:t xml:space="preserve">The projections show that - on the basis of an econometric estimate (i.e. elasticity of 1.4) - when the impact of future income growth on the demand </w:t>
      </w:r>
      <w:r w:rsidRPr="00AB3524">
        <w:lastRenderedPageBreak/>
        <w:t xml:space="preserve">for more and better health care is taken into consideration, projected expenditure becomes much higher – a projected increase of 1.6 pps. of GDP for the EU on average by 2070 for the </w:t>
      </w:r>
      <w:r w:rsidRPr="00AB3524">
        <w:rPr>
          <w:i/>
        </w:rPr>
        <w:t>"</w:t>
      </w:r>
      <w:r w:rsidRPr="00AB3524">
        <w:rPr>
          <w:b/>
          <w:i/>
        </w:rPr>
        <w:t>non-demographic determinants scenario</w:t>
      </w:r>
      <w:r w:rsidRPr="00AB3524">
        <w:rPr>
          <w:i/>
        </w:rPr>
        <w:t>"</w:t>
      </w:r>
      <w:r w:rsidRPr="00AB3524">
        <w:t>. This is reasonable, as increasing economic wealth puts governments at pressure to provide more health services and to improve the quality of care. Also, growing living standards change people's attitude towards their own health and raise their expectations on living a longer, healthier life.</w:t>
      </w:r>
    </w:p>
    <w:p w14:paraId="189F3B99" w14:textId="77777777" w:rsidR="00590A61" w:rsidRPr="00AB3524" w:rsidRDefault="00590A61" w:rsidP="00460C69">
      <w:r w:rsidRPr="00AB3524">
        <w:t>Innovations can produce efficiency gains and thus be cost-saving. Furthermore, in medical care they have also expanded the possibilities of life-saving treatments. However, these have added to costs, both by adding extra expenditure to previously non-curable diseases and by saving peoples' lives at the cost of longer periods of morbidity, especially at old ages. Overall, this had a strong increasing and dominant effect on public spending. The currently prevalent consensus is that there will also be other supply related drivers, such as the costs of wages, are a non-negligible component of health expenditures. Health care is highly labour-intensive and requires highly skilled medical personnel who have strong bargaining power in a number of countries. Assuming that wages grow in line with labour productivity (therefore exceeding growth in GDP per capita), such as in the "</w:t>
      </w:r>
      <w:r w:rsidRPr="00AB3524">
        <w:rPr>
          <w:b/>
          <w:i/>
        </w:rPr>
        <w:t>labour intensity scenario</w:t>
      </w:r>
      <w:r w:rsidRPr="00AB3524">
        <w:rPr>
          <w:i/>
        </w:rPr>
        <w:t>"</w:t>
      </w:r>
      <w:r w:rsidRPr="00AB3524">
        <w:t>, leads to an additional spending of 0.5 pps. of GDP relative to the "demographic scenario", which equals to 1.6 pps. of GDP projected increase in public expenditure on health for the EU on average by 2070.</w:t>
      </w:r>
    </w:p>
    <w:p w14:paraId="2FBE262A" w14:textId="77777777" w:rsidR="00590A61" w:rsidRPr="00AB3524" w:rsidRDefault="00590A61" w:rsidP="00460C69">
      <w:r w:rsidRPr="00AB3524">
        <w:t xml:space="preserve">Growing convergence in citizens' income per capita and expectations towards benefitting from a similar basket of health services and goods across countries may push expenditures up, especially for below EU average income countries. In the </w:t>
      </w:r>
      <w:r w:rsidRPr="00AB3524">
        <w:rPr>
          <w:b/>
          <w:i/>
        </w:rPr>
        <w:t>"cost convergence scenario"</w:t>
      </w:r>
      <w:r w:rsidRPr="00AB3524">
        <w:t xml:space="preserve"> Member States with age-gender spending profiles as shares of GDP per capita below the EU28 average age-gender cost profile converge in real living standards to the EU28 average. On average for the EU28 the projected increase in public expenditure on health care for this scenario is 1.3 pps. of GDP or 0.2 pps. of GDP higher relative to the EU average of the "demographic scenario".</w:t>
      </w:r>
    </w:p>
    <w:p w14:paraId="2CCADAF9" w14:textId="77777777" w:rsidR="00590A61" w:rsidRPr="00AB3524" w:rsidRDefault="00590A61" w:rsidP="00460C69">
      <w:r w:rsidRPr="00AB3524">
        <w:t xml:space="preserve">Hospital and outpatient care, medicinal goods and health care infrastructure constitute large shares of </w:t>
      </w:r>
      <w:r w:rsidRPr="00AB3524">
        <w:lastRenderedPageBreak/>
        <w:t>total health care expenditure. Disentangling the contribution of the individual costs components and their contribution to changes in health care spending improves the understanding of the actual expenditure drivers. The "</w:t>
      </w:r>
      <w:r w:rsidRPr="00AB3524">
        <w:rPr>
          <w:b/>
          <w:i/>
        </w:rPr>
        <w:t>sector-specific composite indexation scenario</w:t>
      </w:r>
      <w:r w:rsidRPr="00AB3524">
        <w:t>", in which future expenditure of each different driver evolves in line with their specific past trends, leads to an average projected increase 1.4 pps. of GDP higher than in the "demographic scenario". This is the second highest projected increase in public spending on health care (2.5 pps. of GDP by 2070), which is influenced mainly by the three very important drivers of expenditure growth – inpatient care, outpatient care and pharmaceuticals.</w:t>
      </w:r>
      <w:r w:rsidRPr="00AB3524">
        <w:rPr>
          <w:highlight w:val="yellow"/>
        </w:rPr>
        <w:t xml:space="preserve"> </w:t>
      </w:r>
    </w:p>
    <w:p w14:paraId="7D3F4165" w14:textId="77777777" w:rsidR="00590A61" w:rsidRPr="00AB3524" w:rsidRDefault="00590A61" w:rsidP="00460C69">
      <w:r w:rsidRPr="00AB3524">
        <w:t xml:space="preserve">Based on a combination of different scenarios, the </w:t>
      </w:r>
      <w:r w:rsidRPr="00AB3524">
        <w:rPr>
          <w:b/>
          <w:i/>
        </w:rPr>
        <w:t>AWG reference</w:t>
      </w:r>
      <w:r w:rsidRPr="00AB3524">
        <w:t xml:space="preserve"> and the </w:t>
      </w:r>
      <w:r w:rsidRPr="00AB3524">
        <w:rPr>
          <w:b/>
          <w:i/>
        </w:rPr>
        <w:t>AWG risk scenarios</w:t>
      </w:r>
      <w:r w:rsidRPr="00AB3524">
        <w:t xml:space="preserve"> show that spending in the EU28 may increase between 0.9 and 1.6 pps. of GDP (Graph </w:t>
      </w:r>
      <w:r w:rsidRPr="00AB3524">
        <w:fldChar w:fldCharType="begin"/>
      </w:r>
      <w:r w:rsidRPr="00AB3524">
        <w:instrText xml:space="preserve"> QUOTE "II.2.5"</w:instrText>
      </w:r>
      <w:r w:rsidRPr="00AB3524">
        <w:fldChar w:fldCharType="begin">
          <w:fldData xml:space="preserve">QwBSAE8AUwBTAFIARQBGAEUAUgBFAE4AQwBFACoAQwBMAFUAUwBUAEUAUgAgAE8ARgAgAEcAUgBB
AFAASABTACoAMQBhADIANQA3ADQAYgA1AC0AOQAwAGEAMAAtADQANQA1AGEALQA5AGUANQA3AC0A
NAAzAGEAMwBjAGUAMwAxADQAZgA2ADQA
</w:fldData>
        </w:fldChar>
      </w:r>
      <w:r w:rsidRPr="00AB3524">
        <w:instrText xml:space="preserve"> ADDIN </w:instrText>
      </w:r>
      <w:r w:rsidRPr="00AB3524">
        <w:fldChar w:fldCharType="end"/>
      </w:r>
      <w:r w:rsidRPr="00AB3524">
        <w:instrText xml:space="preserve"> </w:instrText>
      </w:r>
      <w:r w:rsidRPr="00AB3524">
        <w:fldChar w:fldCharType="separate"/>
      </w:r>
      <w:r w:rsidR="009F3ED8" w:rsidRPr="00AB3524">
        <w:t>II.2.5</w:t>
      </w:r>
      <w:r w:rsidRPr="00AB3524">
        <w:fldChar w:fldCharType="end"/>
      </w:r>
      <w:r w:rsidRPr="00AB3524">
        <w:t xml:space="preserve">). </w:t>
      </w:r>
    </w:p>
    <w:p w14:paraId="7EBCAFB5" w14:textId="77777777" w:rsidR="00590A61" w:rsidRPr="00AB3524" w:rsidRDefault="00590A61" w:rsidP="00460C69">
      <w:r w:rsidRPr="00AB3524">
        <w:t xml:space="preserve">Finally, expenditure on health care is also influenced by the productivity of the economy. The </w:t>
      </w:r>
      <w:r w:rsidRPr="00AB3524">
        <w:rPr>
          <w:i/>
        </w:rPr>
        <w:t>"</w:t>
      </w:r>
      <w:r w:rsidRPr="00AB3524">
        <w:rPr>
          <w:b/>
          <w:i/>
        </w:rPr>
        <w:t>total factor productivity risk scenario</w:t>
      </w:r>
      <w:r w:rsidRPr="00AB3524">
        <w:rPr>
          <w:i/>
        </w:rPr>
        <w:t>"</w:t>
      </w:r>
      <w:r w:rsidRPr="00AB3524">
        <w:t xml:space="preserve"> assumes that, compared with the baseline, the productivity of the economy will grow slower in the future. The projected increase for the EU on average is therefore with 0.8 pps. of GDP, 0.1 pps. of GDP lower than in the "AWG reference scenario".</w:t>
      </w:r>
    </w:p>
    <w:p w14:paraId="27ADA1E0" w14:textId="77777777" w:rsidR="00590A61" w:rsidRPr="00AB3524" w:rsidRDefault="00590A61" w:rsidP="00460C69">
      <w:r w:rsidRPr="00AB3524">
        <w:t>Different institutional and legal settings (financing mechanisms, ownership structure, organisation of health provision, etc.), as well as policy changes, which are not well reflected in the projections, further increase this range both at the low and high ends. Despite these uncertainties, all scenarios for almost all Member States point to considerable continuous pressures on public spending from the health care sectors – even under conservative assumptions.</w:t>
      </w:r>
    </w:p>
    <w:p w14:paraId="4B27D03D" w14:textId="77777777" w:rsidR="00590A61" w:rsidRPr="00AB3524" w:rsidRDefault="00590A61" w:rsidP="00460C69">
      <w:r w:rsidRPr="00AB3524">
        <w:t xml:space="preserve">In comparison to the 2015 Ageing Report projections, the health care public expenditure projections presented here extend the projection horizon from 2060 up to 2070. Additionally, differences across the two waves of projections arise from different demographic assumptions and changes in the age-gender expenditure profiles. Other drivers are a different base-year for starting the projections, updated macroeconomic assumptions resulting in different GDP per capita growth rates and GDP levels for the period under </w:t>
      </w:r>
      <w:r w:rsidRPr="00AB3524">
        <w:lastRenderedPageBreak/>
        <w:t>analysis and changes in scenario assumptions. The results at the level of the EU28 show that the new age-cost profiles have slightly increased the spending by 0.04 pps. of GDP. The GDP per capita growth projections have driven down the results by roughly 0.1 pps. of GDP, while new demographic data has driven up spending projections by 0.1 pps. of GDP. However, there is considerable variation between countries.</w:t>
      </w:r>
    </w:p>
    <w:p w14:paraId="516C8109" w14:textId="77777777" w:rsidR="00590A61" w:rsidRPr="00AB3524" w:rsidRDefault="00590A61" w:rsidP="00460C69">
      <w:r w:rsidRPr="00AB3524">
        <w:t>Furthermore, the current Eurostat 2015-based population projections show a slowing down of ageing from 2050 onwards, visibly slowing expenditure growth of public spending on health care as a proportion of GDP in the last two decades for most scenarios. This is partly due to the link between ageing (including the gradual exit of the baby boom generation) and public expenditure on health care, but it is also influenced by the health status of the population as well as other non-demographic determinants as national income and technological progress.</w:t>
      </w:r>
    </w:p>
    <w:p w14:paraId="4A9F1E0B" w14:textId="77777777" w:rsidR="00590A61" w:rsidRPr="00AB3524" w:rsidRDefault="00590A61" w:rsidP="00460C69">
      <w:r w:rsidRPr="00AB3524">
        <w:t>Therefore, it may be concluded that ageing and non-demographic drivers of health care expenditure are likely to exert a continuous pressure on public finances, in the long-run, extending even beyond the current trends in population ageing. It is unlikely that these pressures will lead to a withdrawal from public financing of health care. Due to market failures in health care markets, public financing will remain a large share of health care provision. Private spending may play a more important role but will remain of a complementary character in many Member States, closing gaps in public financing and enabling treatment in areas not considered as lifesaving.</w:t>
      </w:r>
    </w:p>
    <w:p w14:paraId="55507BCA" w14:textId="77777777" w:rsidR="00590A61" w:rsidRDefault="00590A61" w:rsidP="00460C69">
      <w:r w:rsidRPr="00AB3524">
        <w:t>All in all, ageing as well as non-demographic drivers of health care expenditures will continue putting pressure on the long-term sustainability of public finances. Balancing the health care needs of the European populations with spending resources, as well as continuous efforts to increase the efficiency and quality of health service delivery, will continue to be high on the political and economic reform agenda of Member States.</w:t>
      </w:r>
    </w:p>
    <w:bookmarkEnd w:id="166"/>
    <w:p w14:paraId="0BA9CE86" w14:textId="77777777" w:rsidR="00590A61" w:rsidRDefault="00590A61" w:rsidP="00460C69">
      <w:pPr>
        <w:sectPr w:rsidR="00590A61" w:rsidSect="00590A61">
          <w:headerReference w:type="even" r:id="rId225"/>
          <w:headerReference w:type="default" r:id="rId226"/>
          <w:footerReference w:type="even" r:id="rId227"/>
          <w:footerReference w:type="default" r:id="rId228"/>
          <w:headerReference w:type="first" r:id="rId229"/>
          <w:footerReference w:type="first" r:id="rId230"/>
          <w:endnotePr>
            <w:numFmt w:val="decimal"/>
            <w:numRestart w:val="eachSect"/>
          </w:endnotePr>
          <w:pgSz w:w="11907" w:h="16839"/>
          <w:pgMar w:top="2693" w:right="1701" w:bottom="1417" w:left="1701" w:header="709" w:footer="1191" w:gutter="0"/>
          <w:cols w:num="2" w:space="283"/>
          <w:titlePg/>
          <w:docGrid w:linePitch="360"/>
        </w:sectPr>
      </w:pPr>
    </w:p>
    <w:bookmarkStart w:id="205" w:name="GUID60982CE49DF94DF0938544C7AB055002"/>
    <w:p w14:paraId="0C64B1DD" w14:textId="77777777" w:rsidR="00223A02" w:rsidRPr="009F3ED8" w:rsidRDefault="00223A02" w:rsidP="00460C69">
      <w:pPr>
        <w:pStyle w:val="EPKitTCFrame"/>
      </w:pPr>
      <w:r w:rsidRPr="009F3ED8">
        <w:lastRenderedPageBreak/>
        <w:fldChar w:fldCharType="begin"/>
      </w:r>
      <w:r w:rsidRPr="009F3ED8">
        <w:rPr>
          <w:vanish w:val="0"/>
        </w:rPr>
        <w:instrText xml:space="preserve"> TC "</w:instrText>
      </w:r>
      <w:bookmarkStart w:id="206" w:name="_Toc511664441"/>
      <w:r w:rsidRPr="009F3ED8">
        <w:rPr>
          <w:vanish w:val="0"/>
        </w:rPr>
        <w:instrText>3.</w:instrText>
      </w:r>
      <w:r w:rsidRPr="009F3ED8">
        <w:rPr>
          <w:vanish w:val="0"/>
        </w:rPr>
        <w:tab/>
        <w:instrText>Long term care</w:instrText>
      </w:r>
      <w:bookmarkEnd w:id="206"/>
      <w:r w:rsidRPr="009F3ED8">
        <w:rPr>
          <w:vanish w:val="0"/>
        </w:rPr>
        <w:instrText xml:space="preserve">" \f \l 2 </w:instrText>
      </w:r>
      <w:r w:rsidRPr="009F3ED8">
        <w:fldChar w:fldCharType="end"/>
      </w:r>
    </w:p>
    <w:p w14:paraId="0E083432" w14:textId="77777777" w:rsidR="00223A02" w:rsidRPr="00617176" w:rsidRDefault="00223A02" w:rsidP="00460C69">
      <w:pPr>
        <w:pStyle w:val="NumberedHeading1"/>
        <w:tabs>
          <w:tab w:val="left" w:pos="567"/>
        </w:tabs>
      </w:pPr>
      <w:bookmarkStart w:id="207" w:name="_Toc511664442"/>
      <w:r w:rsidRPr="00617176">
        <w:t>3.1.</w:t>
      </w:r>
      <w:r w:rsidRPr="00617176">
        <w:tab/>
        <w:t>Introduction</w:t>
      </w:r>
      <w:bookmarkEnd w:id="207"/>
    </w:p>
    <w:p w14:paraId="6BC70B86" w14:textId="77777777" w:rsidR="00223A02" w:rsidRPr="00617176" w:rsidRDefault="00223A02" w:rsidP="00460C69">
      <w:r w:rsidRPr="00617176">
        <w:t>As in past Ageing Reports, the projections for public expenditure on long-term care (LTC) were run using Commission services' (DG ECFIN) models on the basis of a methodology and data agreed with the Member States delegates to the AWG-EPC (</w:t>
      </w:r>
      <w:r w:rsidRPr="00617176">
        <w:rPr>
          <w:rStyle w:val="Referencafusnote"/>
        </w:rPr>
        <w:footnoteReference w:id="98"/>
      </w:r>
      <w:r w:rsidRPr="00617176">
        <w:t>). The projections go from 2016, the base year, until 2070.</w:t>
      </w:r>
    </w:p>
    <w:p w14:paraId="4E11F7B5" w14:textId="77777777" w:rsidR="00223A02" w:rsidRPr="00617176" w:rsidRDefault="00223A02" w:rsidP="00460C69">
      <w:r w:rsidRPr="00617176">
        <w:t xml:space="preserve">LTC expenditure is an important and growing share of GDP and of health spending (public and total - including private) (Graphs </w:t>
      </w:r>
      <w:r w:rsidRPr="00617176">
        <w:fldChar w:fldCharType="begin"/>
      </w:r>
      <w:r w:rsidRPr="00617176">
        <w:instrText xml:space="preserve"> QUOTE "II.3.1"</w:instrText>
      </w:r>
      <w:r w:rsidRPr="00617176">
        <w:fldChar w:fldCharType="begin">
          <w:fldData xml:space="preserve">QwBSAE8AUwBTAFIARQBGAEUAUgBFAE4AQwBFACoARwBSAEEAUABIACoANQBiADMAYwA3AGEANgBm
AC0AOQBjADEAYgAtADQAMAA0ADkALQA5ADUAYgA3AC0AOQAyAGQAZQAyAGUAOQBiAGEAMABlADkA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II.3.1</w:t>
      </w:r>
      <w:r w:rsidRPr="00617176">
        <w:fldChar w:fldCharType="end"/>
      </w:r>
      <w:r w:rsidRPr="00617176">
        <w:t xml:space="preserve"> and </w:t>
      </w:r>
      <w:r w:rsidRPr="00617176">
        <w:fldChar w:fldCharType="begin"/>
      </w:r>
      <w:r w:rsidRPr="00617176">
        <w:instrText xml:space="preserve"> QUOTE "II.3.2"</w:instrText>
      </w:r>
      <w:r w:rsidRPr="00617176">
        <w:fldChar w:fldCharType="begin">
          <w:fldData xml:space="preserve">QwBSAE8AUwBTAFIARQBGAEUAUgBFAE4AQwBFACoARwBSAEEAUABIACoAMgAxAGYAYQBlADcAOAAz
AC0AZQA3ADMAZgAtADQAYwAzADMALQA5AGEANABjAC0AZAAxAGMAMwBlAGQANQA5ADQAZQA5AGMA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II.3.2</w:t>
      </w:r>
      <w:r w:rsidRPr="00617176">
        <w:fldChar w:fldCharType="end"/>
      </w:r>
      <w:r w:rsidRPr="00617176">
        <w:t>). As is the case for health care, future trends are likely to be heavily influenced by population ageing as well as a range of non-demographic determinants. As such, public expenditure on LTC is a relevant factor for the long-term sustainability of public finances.</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42E95C4D" w14:textId="77777777" w:rsidTr="00460C69">
        <w:trPr>
          <w:cantSplit/>
        </w:trPr>
        <w:tc>
          <w:tcPr>
            <w:tcW w:w="4110" w:type="dxa"/>
            <w:shd w:val="clear" w:color="auto" w:fill="auto"/>
          </w:tcPr>
          <w:p w14:paraId="2258C77A" w14:textId="77777777" w:rsidR="00223A02" w:rsidRPr="00617176" w:rsidRDefault="00223A02" w:rsidP="00460C69">
            <w:pPr>
              <w:pStyle w:val="GraphTitle"/>
              <w:rPr>
                <w:b/>
              </w:rPr>
            </w:pPr>
            <w:r w:rsidRPr="00617176">
              <w:t>Graph II.3.1:</w:t>
            </w:r>
            <w:r w:rsidRPr="00617176">
              <w:rPr>
                <w:b/>
              </w:rPr>
              <w:tab/>
              <w:t>Total and public long-term care expenditure in the EU, as % GDP</w:t>
            </w:r>
          </w:p>
        </w:tc>
      </w:tr>
      <w:tr w:rsidR="00223A02" w:rsidRPr="00617176" w14:paraId="076675AB" w14:textId="77777777" w:rsidTr="00460C69">
        <w:trPr>
          <w:cantSplit/>
        </w:trPr>
        <w:tc>
          <w:tcPr>
            <w:tcW w:w="4110" w:type="dxa"/>
            <w:shd w:val="clear" w:color="auto" w:fill="auto"/>
          </w:tcPr>
          <w:p w14:paraId="0D86CCAB" w14:textId="77777777" w:rsidR="00223A02" w:rsidRPr="00617176" w:rsidRDefault="00223A02" w:rsidP="00460C69">
            <w:pPr>
              <w:pStyle w:val="GraphShape"/>
              <w:rPr>
                <w:sz w:val="2"/>
              </w:rPr>
            </w:pPr>
            <w:r w:rsidRPr="00617176">
              <w:fldChar w:fldCharType="begin"/>
            </w:r>
            <w:r w:rsidRPr="009F3ED8">
              <w:instrText xml:space="preserve"> TC "</w:instrText>
            </w:r>
            <w:bookmarkStart w:id="208" w:name="_Toc511664688"/>
            <w:r w:rsidRPr="009F3ED8">
              <w:instrText>II.3.1.</w:instrText>
            </w:r>
            <w:r w:rsidRPr="009F3ED8">
              <w:tab/>
              <w:instrText>Total and public long-term care expenditure in the EU, as % GDP</w:instrText>
            </w:r>
            <w:bookmarkEnd w:id="208"/>
            <w:r w:rsidRPr="009F3ED8">
              <w:instrText xml:space="preserve">" \fgraph \l 5 </w:instrText>
            </w:r>
            <w:r w:rsidRPr="00617176">
              <w:fldChar w:fldCharType="end"/>
            </w:r>
            <w:r w:rsidRPr="00617176">
              <w:rPr>
                <w:noProof/>
                <w:sz w:val="2"/>
                <w:lang w:val="hr-HR" w:eastAsia="hr-HR"/>
              </w:rPr>
              <w:drawing>
                <wp:inline distT="0" distB="0" distL="0" distR="0" wp14:anchorId="2460B524" wp14:editId="2D11EE3C">
                  <wp:extent cx="2597595" cy="1569565"/>
                  <wp:effectExtent l="0" t="0" r="0" b="0"/>
                  <wp:docPr id="187" name="Picture 187" descr="&lt;nbr&gt;&lt;GETTEXTFROMWORD&gt;&lt;/nbr&gt;&#10;&lt;title&gt;&lt;GETTEXTFROMWORD&gt;&lt;/title&gt;&#10;&lt;id&gt;5b3c7a6f-9c1b-4049-95b7-92de2e9ba0e9&lt;/id&gt;&#10;&lt;srcType&gt;EXCEL&lt;/srcType&gt;&#10;&lt;srcPath&gt;U:\Budgetary projections 2018\Reports\2018 AR\Tables_and_graphs\Part II Chapter 3\&lt;/srcPath&gt;&#10;&lt;srcName&gt;Additional tables and charts - CHAP 3.xls&lt;/srcName&gt;&#10;&lt;type&gt;graph&lt;/type&gt;&#10; &lt;srcSheet&gt;II.3.1 Graph LTC exp GDP&lt;/srcSheet&gt;&#10; &lt;srcChartTitle&gt;Chart 2&lt;/srcChartTitl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597595" cy="1569565"/>
                          </a:xfrm>
                          <a:prstGeom prst="rect">
                            <a:avLst/>
                          </a:prstGeom>
                          <a:noFill/>
                          <a:ln>
                            <a:noFill/>
                          </a:ln>
                        </pic:spPr>
                      </pic:pic>
                    </a:graphicData>
                  </a:graphic>
                </wp:inline>
              </w:drawing>
            </w:r>
          </w:p>
        </w:tc>
      </w:tr>
      <w:tr w:rsidR="00223A02" w:rsidRPr="00617176" w14:paraId="349D5204" w14:textId="77777777" w:rsidTr="00460C69">
        <w:trPr>
          <w:cantSplit/>
        </w:trPr>
        <w:tc>
          <w:tcPr>
            <w:tcW w:w="4110" w:type="dxa"/>
            <w:shd w:val="clear" w:color="auto" w:fill="auto"/>
            <w:tcMar>
              <w:bottom w:w="240" w:type="dxa"/>
            </w:tcMar>
          </w:tcPr>
          <w:p w14:paraId="00BCE7C8" w14:textId="77777777" w:rsidR="00223A02" w:rsidRDefault="00223A02" w:rsidP="00460C69">
            <w:pPr>
              <w:pStyle w:val="GraphFootnote"/>
              <w:keepNext/>
            </w:pPr>
            <w:r>
              <w:t>Notes:  Expenditure based only on the medical care component (HC.3) of system of health accounts data.</w:t>
            </w:r>
          </w:p>
          <w:p w14:paraId="6A14A225" w14:textId="77777777" w:rsidR="00223A02" w:rsidRPr="00617176" w:rsidRDefault="00223A02" w:rsidP="00460C69">
            <w:pPr>
              <w:pStyle w:val="GraphSource"/>
              <w:keepNext/>
            </w:pPr>
            <w:r w:rsidRPr="00617176">
              <w:rPr>
                <w:b/>
                <w:i/>
              </w:rPr>
              <w:t>Source:</w:t>
            </w:r>
            <w:r w:rsidRPr="00617176">
              <w:t xml:space="preserve"> European Commission, EPC.</w:t>
            </w:r>
          </w:p>
        </w:tc>
      </w:tr>
    </w:tbl>
    <w:p w14:paraId="126029F7" w14:textId="77777777" w:rsidR="00223A02" w:rsidRPr="00617176" w:rsidRDefault="00223A02" w:rsidP="00460C69">
      <w:r w:rsidRPr="00617176">
        <w:t>Long-term care is usually defined (</w:t>
      </w:r>
      <w:r w:rsidRPr="00617176">
        <w:rPr>
          <w:rStyle w:val="Referencafusnote"/>
        </w:rPr>
        <w:footnoteReference w:id="99"/>
      </w:r>
      <w:r w:rsidRPr="00617176">
        <w:t xml:space="preserve">) as a set of services required by persons with a reduced degree of functional capacity (whether physical or cognitive) and who, as a consequence of this, are </w:t>
      </w:r>
      <w:r w:rsidRPr="00617176">
        <w:lastRenderedPageBreak/>
        <w:t>dependent for an extended period of time on help with basic and/or instrumental Activities of Daily Living (ADL (</w:t>
      </w:r>
      <w:r w:rsidRPr="00617176">
        <w:rPr>
          <w:rStyle w:val="Referencafusnote"/>
        </w:rPr>
        <w:footnoteReference w:id="100"/>
      </w:r>
      <w:r w:rsidRPr="00617176">
        <w:t>)). Basic ADL are often provided in tandem with basic medical services such as nursing care, prevention, rehabilitation or services of palliative care. Instrumental Activities of Daily Living (IADL (</w:t>
      </w:r>
      <w:r w:rsidRPr="00617176">
        <w:rPr>
          <w:rStyle w:val="Referencafusnote"/>
        </w:rPr>
        <w:footnoteReference w:id="101"/>
      </w:r>
      <w:r w:rsidRPr="00617176">
        <w:t>)) or assistance care services are mostly linked to home help. (Colombo et al., 2011).</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5FA353F8" w14:textId="77777777" w:rsidTr="00460C69">
        <w:trPr>
          <w:cantSplit/>
        </w:trPr>
        <w:tc>
          <w:tcPr>
            <w:tcW w:w="4110" w:type="dxa"/>
            <w:shd w:val="clear" w:color="auto" w:fill="auto"/>
          </w:tcPr>
          <w:p w14:paraId="0E36994A" w14:textId="77777777" w:rsidR="00223A02" w:rsidRPr="00617176" w:rsidRDefault="00223A02" w:rsidP="00460C69">
            <w:pPr>
              <w:pStyle w:val="GraphTitle"/>
              <w:rPr>
                <w:b/>
              </w:rPr>
            </w:pPr>
            <w:r w:rsidRPr="00617176">
              <w:t>Graph II.3.2:</w:t>
            </w:r>
            <w:r w:rsidRPr="00617176">
              <w:rPr>
                <w:b/>
              </w:rPr>
              <w:tab/>
              <w:t>Total (public) expenditure on long-term care in the EU, as a share of total (public) current health expenditure</w:t>
            </w:r>
          </w:p>
        </w:tc>
      </w:tr>
      <w:tr w:rsidR="00223A02" w:rsidRPr="00617176" w14:paraId="025678BB" w14:textId="77777777" w:rsidTr="00460C69">
        <w:trPr>
          <w:cantSplit/>
        </w:trPr>
        <w:tc>
          <w:tcPr>
            <w:tcW w:w="4110" w:type="dxa"/>
            <w:shd w:val="clear" w:color="auto" w:fill="auto"/>
          </w:tcPr>
          <w:p w14:paraId="17D931C1" w14:textId="77777777" w:rsidR="00223A02" w:rsidRPr="00617176" w:rsidRDefault="00223A02" w:rsidP="00460C69">
            <w:pPr>
              <w:pStyle w:val="GraphShape"/>
              <w:rPr>
                <w:sz w:val="2"/>
              </w:rPr>
            </w:pPr>
            <w:r w:rsidRPr="00617176">
              <w:fldChar w:fldCharType="begin"/>
            </w:r>
            <w:r w:rsidRPr="009F3ED8">
              <w:instrText xml:space="preserve"> TC "</w:instrText>
            </w:r>
            <w:bookmarkStart w:id="209" w:name="_Toc511664689"/>
            <w:r w:rsidRPr="009F3ED8">
              <w:instrText>II.3.2.</w:instrText>
            </w:r>
            <w:r w:rsidRPr="009F3ED8">
              <w:tab/>
              <w:instrText>Total (public) expenditure on long-term care in the EU, as a share of total (public) current health expenditure</w:instrText>
            </w:r>
            <w:bookmarkEnd w:id="209"/>
            <w:r w:rsidRPr="009F3ED8">
              <w:instrText xml:space="preserve">" \fgraph \l 5 </w:instrText>
            </w:r>
            <w:r w:rsidRPr="00617176">
              <w:fldChar w:fldCharType="end"/>
            </w:r>
            <w:r w:rsidRPr="00617176">
              <w:rPr>
                <w:noProof/>
                <w:sz w:val="2"/>
                <w:lang w:val="hr-HR" w:eastAsia="hr-HR"/>
              </w:rPr>
              <w:drawing>
                <wp:inline distT="0" distB="0" distL="0" distR="0" wp14:anchorId="23ED4A91" wp14:editId="61525D30">
                  <wp:extent cx="2597595" cy="1569565"/>
                  <wp:effectExtent l="0" t="0" r="0" b="0"/>
                  <wp:docPr id="42" name="Picture 42" descr="&lt;nbr&gt;&lt;GETTEXTFROMWORD&gt;&lt;/nbr&gt;&#10;&lt;title&gt;&lt;GETTEXTFROMWORD&gt;&lt;/title&gt;&#10;&lt;id&gt;21fae783-e73f-4c33-9a4c-d1c3ed594e9c&lt;/id&gt;&#10;&lt;srcType&gt;EXCEL&lt;/srcType&gt;&#10;&lt;srcPath&gt;U:\Budgetary projections 2018\Reports\2018 AR\Tables_and_graphs\Part II Chapter 3\&lt;/srcPath&gt;&#10;&lt;srcName&gt;Additional tables and charts - CHAP 3.xls&lt;/srcName&gt;&#10;&lt;type&gt;graph&lt;/type&gt;&#10; &lt;srcSheet&gt;II.3.2 Graph LTC exp CHE&lt;/srcSheet&gt;&#10; &lt;srcChartTitle&gt;Chart 2&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597595" cy="1569565"/>
                          </a:xfrm>
                          <a:prstGeom prst="rect">
                            <a:avLst/>
                          </a:prstGeom>
                          <a:noFill/>
                          <a:ln>
                            <a:noFill/>
                          </a:ln>
                        </pic:spPr>
                      </pic:pic>
                    </a:graphicData>
                  </a:graphic>
                </wp:inline>
              </w:drawing>
            </w:r>
          </w:p>
        </w:tc>
      </w:tr>
      <w:tr w:rsidR="00223A02" w:rsidRPr="00617176" w14:paraId="3A134CB9" w14:textId="77777777" w:rsidTr="00460C69">
        <w:trPr>
          <w:cantSplit/>
        </w:trPr>
        <w:tc>
          <w:tcPr>
            <w:tcW w:w="4110" w:type="dxa"/>
            <w:shd w:val="clear" w:color="auto" w:fill="auto"/>
            <w:tcMar>
              <w:bottom w:w="240" w:type="dxa"/>
            </w:tcMar>
          </w:tcPr>
          <w:p w14:paraId="4A625994" w14:textId="77777777" w:rsidR="00223A02" w:rsidRPr="00617176" w:rsidRDefault="00223A02" w:rsidP="00460C69">
            <w:pPr>
              <w:pStyle w:val="GraphSource"/>
              <w:keepNext/>
            </w:pPr>
            <w:r w:rsidRPr="00617176">
              <w:rPr>
                <w:b/>
                <w:i/>
              </w:rPr>
              <w:t>Source:</w:t>
            </w:r>
            <w:r w:rsidRPr="00617176">
              <w:t xml:space="preserve"> European Commission, EPC.</w:t>
            </w:r>
            <w:r w:rsidRPr="00617176">
              <w:br/>
              <w:t>Notes:  Expenditure based only on the medical care component (HC.3) of system of health accounts data.</w:t>
            </w:r>
          </w:p>
        </w:tc>
      </w:tr>
    </w:tbl>
    <w:p w14:paraId="11732A67" w14:textId="77777777" w:rsidR="00223A02" w:rsidRPr="00617176" w:rsidRDefault="00223A02" w:rsidP="00460C69">
      <w:r w:rsidRPr="00617176">
        <w:t xml:space="preserve">EU Member States finance formal LTC either as "in-kind" services, i.e. by paying for or providing directly care for eligible recipients, or via "cash benefits", where recipients are paid money and can purchase services themselves. Cash benefits can therefore also be used to compensate informal carers, such as family members. </w:t>
      </w:r>
    </w:p>
    <w:p w14:paraId="0A2E790E" w14:textId="77777777" w:rsidR="00223A02" w:rsidRPr="00617176" w:rsidRDefault="00223A02" w:rsidP="00460C69">
      <w:r w:rsidRPr="00617176">
        <w:t xml:space="preserve">Due to historical and organisational reasons, public financing of LTC tends to be highly fragmented, with different government authorities being in charge of different strands. This leads to great difficulties in ascertaining exactly such basic facts as how much is spent on LTC, how many dependents are covered by LTC and what amount of LTC benefits is provided to each of them. Annex 4 discusses these issues in greater detail and explains the efforts that have been made in these projections to obtain an accurate overview of the sector. </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34971A44" w14:textId="77777777" w:rsidTr="00460C69">
        <w:trPr>
          <w:cantSplit/>
        </w:trPr>
        <w:tc>
          <w:tcPr>
            <w:tcW w:w="4110" w:type="dxa"/>
            <w:shd w:val="clear" w:color="auto" w:fill="auto"/>
          </w:tcPr>
          <w:p w14:paraId="33E6B413" w14:textId="77777777" w:rsidR="00223A02" w:rsidRPr="00617176" w:rsidRDefault="00223A02" w:rsidP="00460C69">
            <w:pPr>
              <w:pStyle w:val="GraphTitle"/>
              <w:rPr>
                <w:b/>
              </w:rPr>
            </w:pPr>
            <w:r w:rsidRPr="00617176">
              <w:lastRenderedPageBreak/>
              <w:t>Graph II.3.3:</w:t>
            </w:r>
            <w:r w:rsidRPr="00617176">
              <w:rPr>
                <w:b/>
              </w:rPr>
              <w:tab/>
              <w:t>Age-related coverage of dependent population by type of care provided in the EU, as % of population</w:t>
            </w:r>
          </w:p>
        </w:tc>
      </w:tr>
      <w:tr w:rsidR="00223A02" w:rsidRPr="00617176" w14:paraId="18EF1EEB" w14:textId="77777777" w:rsidTr="00460C69">
        <w:trPr>
          <w:cantSplit/>
        </w:trPr>
        <w:tc>
          <w:tcPr>
            <w:tcW w:w="4110" w:type="dxa"/>
            <w:shd w:val="clear" w:color="auto" w:fill="auto"/>
          </w:tcPr>
          <w:p w14:paraId="23D7629E" w14:textId="77777777" w:rsidR="00223A02" w:rsidRPr="00617176" w:rsidRDefault="00223A02" w:rsidP="00460C69">
            <w:pPr>
              <w:pStyle w:val="GraphShape"/>
              <w:rPr>
                <w:sz w:val="2"/>
              </w:rPr>
            </w:pPr>
            <w:r w:rsidRPr="00617176">
              <w:fldChar w:fldCharType="begin"/>
            </w:r>
            <w:r w:rsidRPr="009F3ED8">
              <w:instrText xml:space="preserve"> TC "</w:instrText>
            </w:r>
            <w:bookmarkStart w:id="210" w:name="_Toc511664690"/>
            <w:r w:rsidRPr="009F3ED8">
              <w:instrText>II.3.3.</w:instrText>
            </w:r>
            <w:r w:rsidRPr="009F3ED8">
              <w:tab/>
              <w:instrText>Age-related coverage of dependent population by type of care provided in the EU, as % of population</w:instrText>
            </w:r>
            <w:bookmarkEnd w:id="210"/>
            <w:r w:rsidRPr="009F3ED8">
              <w:instrText xml:space="preserve">" \fgraph \l 5 </w:instrText>
            </w:r>
            <w:r w:rsidRPr="00617176">
              <w:fldChar w:fldCharType="end"/>
            </w:r>
            <w:r w:rsidRPr="00617176">
              <w:rPr>
                <w:noProof/>
                <w:sz w:val="2"/>
                <w:lang w:val="hr-HR" w:eastAsia="hr-HR"/>
              </w:rPr>
              <w:drawing>
                <wp:inline distT="0" distB="0" distL="0" distR="0" wp14:anchorId="2FCDE357" wp14:editId="08973F79">
                  <wp:extent cx="2597595" cy="2221811"/>
                  <wp:effectExtent l="0" t="0" r="0" b="7620"/>
                  <wp:docPr id="41" name="Picture 41" descr="&lt;nbr&gt;&lt;GETTEXTFROMWORD&gt;&lt;/nbr&gt;&#10;&lt;title&gt;&lt;GETTEXTFROMWORD&gt;&lt;/title&gt;&#10;&lt;id&gt;8de703be-10e5-4b8d-8c3a-1f722859eaa1&lt;/id&gt;&#10;&lt;srcType&gt;EXCEL&lt;/srcType&gt;&#10;&lt;srcPath&gt;U:\Budgetary projections 2018\Reports\2018 AR\Tables_and_graphs\Part II Chapter 3\&lt;/srcPath&gt;&#10;&lt;srcName&gt;Additional tables and charts - CHAP 3.xls&lt;/srcName&gt;&#10;&lt;type&gt;graph&lt;/type&gt;&#10; &lt;srcSheet&gt;Graph II.3.3&lt;/srcSheet&gt;&#10; &lt;srcChartTitle&gt;Chart 4&lt;/srcChartTitl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597595" cy="2221811"/>
                          </a:xfrm>
                          <a:prstGeom prst="rect">
                            <a:avLst/>
                          </a:prstGeom>
                          <a:noFill/>
                          <a:ln>
                            <a:noFill/>
                          </a:ln>
                        </pic:spPr>
                      </pic:pic>
                    </a:graphicData>
                  </a:graphic>
                </wp:inline>
              </w:drawing>
            </w:r>
          </w:p>
        </w:tc>
      </w:tr>
      <w:tr w:rsidR="00223A02" w:rsidRPr="00617176" w14:paraId="7FD9D381" w14:textId="77777777" w:rsidTr="00460C69">
        <w:trPr>
          <w:cantSplit/>
        </w:trPr>
        <w:tc>
          <w:tcPr>
            <w:tcW w:w="4110" w:type="dxa"/>
            <w:shd w:val="clear" w:color="auto" w:fill="auto"/>
            <w:tcMar>
              <w:bottom w:w="240" w:type="dxa"/>
            </w:tcMar>
          </w:tcPr>
          <w:p w14:paraId="2881D6D8" w14:textId="77777777" w:rsidR="00223A02" w:rsidRDefault="00223A02" w:rsidP="00460C69">
            <w:pPr>
              <w:pStyle w:val="GraphFootnote"/>
              <w:keepNext/>
            </w:pPr>
            <w:r>
              <w:t>Notes: Coverage estimated as ratio between recipients and potentially dependent population; Recipient data, as provided by Member States; Population of potentially dependent based on EU-SILC data on "self-perceived longstanding severe limitation in activities because of health problems [for at least the last 6 months]" is used.</w:t>
            </w:r>
          </w:p>
          <w:p w14:paraId="181BDC29" w14:textId="77777777" w:rsidR="00223A02" w:rsidRPr="00617176" w:rsidRDefault="00223A02" w:rsidP="00460C69">
            <w:pPr>
              <w:pStyle w:val="GraphSource"/>
              <w:keepNext/>
            </w:pPr>
            <w:r w:rsidRPr="00617176">
              <w:rPr>
                <w:b/>
                <w:i/>
              </w:rPr>
              <w:t>Source:</w:t>
            </w:r>
            <w:r w:rsidRPr="00617176">
              <w:t xml:space="preserve"> European Commission, EPC. 2016 (base year) estimate)</w:t>
            </w:r>
          </w:p>
        </w:tc>
      </w:tr>
    </w:tbl>
    <w:p w14:paraId="6293E80F" w14:textId="77777777" w:rsidR="00223A02" w:rsidRPr="00617176" w:rsidRDefault="00223A02" w:rsidP="00460C69">
      <w:r w:rsidRPr="00617176">
        <w:t xml:space="preserve">For instance, it is relatively common for the same recipient to receive both in-kind and cash benefits, however, the data on each type of care tends to be collected and managed separately by different public bodies or government departments, with the consequence being that people who receive both in-kind and cash benefits may be counted twice if we simply add up the number of recipients of in-kind benefits with the number of recipients of cash benefits. Graph </w:t>
      </w:r>
      <w:r w:rsidRPr="00617176">
        <w:fldChar w:fldCharType="begin"/>
      </w:r>
      <w:r w:rsidRPr="00617176">
        <w:instrText xml:space="preserve"> QUOTE "II.3.3"</w:instrText>
      </w:r>
      <w:r w:rsidRPr="00617176">
        <w:fldChar w:fldCharType="begin">
          <w:fldData xml:space="preserve">QwBSAE8AUwBTAFIARQBGAEUAUgBFAE4AQwBFACoARwBSAEEAUABIACoAOABkAGUANwAwADMAYgBl
AC0AMQAwAGUANQAtADQAYgA4AGQALQA4AGMAMwBhAC0AMQBmADcAMgAyADgANQA5AGUAYQBhADEA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II.3.3</w:t>
      </w:r>
      <w:r w:rsidRPr="00617176">
        <w:fldChar w:fldCharType="end"/>
      </w:r>
      <w:r w:rsidRPr="00617176">
        <w:t xml:space="preserve"> shows the overlap of different benefits in the provision of care in the EU by adding up the estimated coverage of in-kind (institutional and home care) and cash benefits. This leads to estimated coverage rates of above 100% in some age-categories (see also Graph </w:t>
      </w:r>
      <w:r w:rsidRPr="00617176">
        <w:fldChar w:fldCharType="begin"/>
      </w:r>
      <w:r w:rsidRPr="00617176">
        <w:instrText xml:space="preserve"> QUOTE "II.3.8"</w:instrText>
      </w:r>
      <w:r w:rsidRPr="00617176">
        <w:fldChar w:fldCharType="begin">
          <w:fldData xml:space="preserve">QwBSAE8AUwBTAFIARQBGAEUAUgBFAE4AQwBFACoARwBSAEEAUABIACoAOABhADUAMABkAGQAOQBm
AC0AYwA3ADIAMgAtADQAOABmADUALQA4ADIAMABkAC0AMAA4ADgANABhADcANwA4ADIAMAAyAGIA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II.3.8</w:t>
      </w:r>
      <w:r w:rsidRPr="00617176">
        <w:fldChar w:fldCharType="end"/>
      </w:r>
      <w:r w:rsidRPr="00617176">
        <w:t>). These overlaps complicate the estimation of the exact number of care recipients and the expenditure level due to the potential double-counting of recipients and expenditure. That is why, these factors are thoroughly taken into account in this projection exercise (</w:t>
      </w:r>
      <w:r w:rsidRPr="00617176">
        <w:rPr>
          <w:rStyle w:val="Referencafusnote"/>
        </w:rPr>
        <w:footnoteReference w:id="102"/>
      </w:r>
      <w:r w:rsidRPr="00617176">
        <w:t xml:space="preserve">). </w:t>
      </w:r>
    </w:p>
    <w:p w14:paraId="5F3A6C60" w14:textId="77777777" w:rsidR="00223A02" w:rsidRPr="00617176" w:rsidRDefault="00223A02" w:rsidP="00460C69">
      <w:r w:rsidRPr="00617176">
        <w:t xml:space="preserve">In order to project LTC expenditure two factors need to be taken into account. First, the ageing of the population, if not accompanied by a compensating improvement in health status, leads </w:t>
      </w:r>
      <w:r w:rsidRPr="00617176">
        <w:lastRenderedPageBreak/>
        <w:t xml:space="preserve">to an increase in the number of dependent elderly and LTC needs. Second, the availability of informal care may decline, increasing the need to resort to publicly financed formal care and thereby putting pressure on public expenditure on LTC. </w:t>
      </w:r>
    </w:p>
    <w:p w14:paraId="5F5C926A" w14:textId="77777777" w:rsidR="00223A02" w:rsidRPr="00617176" w:rsidRDefault="00223A02" w:rsidP="00460C69">
      <w:r w:rsidRPr="00617176">
        <w:t>Improving the efficiency of LTC systems is necessary in order to respond to the increasing need for care. These can include improving governance, targeting care at those that need it most and can least afford to pay it, ensuring availability of carers, supporting informal carers, as well as health promotion and rehabilitation (</w:t>
      </w:r>
      <w:r w:rsidRPr="00617176">
        <w:rPr>
          <w:rStyle w:val="Referencafusnote"/>
        </w:rPr>
        <w:footnoteReference w:id="103"/>
      </w:r>
      <w:r w:rsidRPr="00617176">
        <w:t xml:space="preserve">). </w:t>
      </w:r>
    </w:p>
    <w:p w14:paraId="7D69C9CA" w14:textId="77777777" w:rsidR="00223A02" w:rsidRPr="00617176" w:rsidRDefault="00223A02" w:rsidP="00460C69">
      <w:pPr>
        <w:pStyle w:val="NumberedHeading1"/>
        <w:tabs>
          <w:tab w:val="left" w:pos="567"/>
        </w:tabs>
      </w:pPr>
      <w:bookmarkStart w:id="211" w:name="_Toc511664443"/>
      <w:r w:rsidRPr="00617176">
        <w:t>3.2.</w:t>
      </w:r>
      <w:r w:rsidRPr="00617176">
        <w:tab/>
        <w:t>Determinants of long-term care expenditure</w:t>
      </w:r>
      <w:bookmarkEnd w:id="211"/>
      <w:r w:rsidRPr="00617176">
        <w:t xml:space="preserve"> </w:t>
      </w:r>
    </w:p>
    <w:p w14:paraId="5E6F500E" w14:textId="77777777" w:rsidR="00223A02" w:rsidRPr="00617176" w:rsidRDefault="00223A02" w:rsidP="00460C69">
      <w:pPr>
        <w:pStyle w:val="NumberedHeading2"/>
        <w:tabs>
          <w:tab w:val="left" w:pos="567"/>
        </w:tabs>
      </w:pPr>
      <w:r w:rsidRPr="00617176">
        <w:t>3.2.1.</w:t>
      </w:r>
      <w:r w:rsidRPr="00617176">
        <w:tab/>
        <w:t>Overview</w:t>
      </w:r>
    </w:p>
    <w:p w14:paraId="6F5F04B8" w14:textId="77777777" w:rsidR="00223A02" w:rsidRPr="00617176" w:rsidRDefault="00223A02" w:rsidP="00460C69">
      <w:r w:rsidRPr="00617176">
        <w:t xml:space="preserve">Public expenditure on LTC is dependent on several factors that affect the demand and supply of these services. Main factors include the dependency status of the population, the model of LTC provision (organisation and financing of the system, which shape the mix between formal, paid care and informal care) and availability of human resources. The rate of economic growth also plays a role, as does the progress in medical science and the development and use of new technologies. </w:t>
      </w:r>
    </w:p>
    <w:p w14:paraId="2B450CAB" w14:textId="77777777" w:rsidR="00223A02" w:rsidRPr="00617176" w:rsidRDefault="00223A02" w:rsidP="00460C69">
      <w:pPr>
        <w:pStyle w:val="NumberedHeading2"/>
        <w:tabs>
          <w:tab w:val="left" w:pos="567"/>
        </w:tabs>
      </w:pPr>
      <w:r w:rsidRPr="00617176">
        <w:lastRenderedPageBreak/>
        <w:t>3.2.2.</w:t>
      </w:r>
      <w:r w:rsidRPr="00617176">
        <w:tab/>
        <w:t>Demographic structure of the population</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11D5B6D7" w14:textId="77777777" w:rsidTr="00460C69">
        <w:trPr>
          <w:cantSplit/>
        </w:trPr>
        <w:tc>
          <w:tcPr>
            <w:tcW w:w="4110" w:type="dxa"/>
            <w:shd w:val="clear" w:color="auto" w:fill="auto"/>
          </w:tcPr>
          <w:p w14:paraId="1303BF7C" w14:textId="77777777" w:rsidR="00223A02" w:rsidRPr="00617176" w:rsidRDefault="00223A02" w:rsidP="00460C69">
            <w:pPr>
              <w:pStyle w:val="GraphTitle"/>
              <w:rPr>
                <w:b/>
              </w:rPr>
            </w:pPr>
            <w:r w:rsidRPr="00617176">
              <w:t>Graph II.3.4:</w:t>
            </w:r>
            <w:r w:rsidRPr="00617176">
              <w:rPr>
                <w:b/>
              </w:rPr>
              <w:tab/>
              <w:t>Median dependency rates by age-group for EU28, based on EU-SILC</w:t>
            </w:r>
          </w:p>
        </w:tc>
      </w:tr>
      <w:tr w:rsidR="00223A02" w:rsidRPr="00617176" w14:paraId="38BC9C93" w14:textId="77777777" w:rsidTr="00460C69">
        <w:trPr>
          <w:cantSplit/>
        </w:trPr>
        <w:tc>
          <w:tcPr>
            <w:tcW w:w="4110" w:type="dxa"/>
            <w:shd w:val="clear" w:color="auto" w:fill="auto"/>
          </w:tcPr>
          <w:p w14:paraId="4ED411D3" w14:textId="77777777" w:rsidR="00223A02" w:rsidRPr="00617176" w:rsidRDefault="00223A02" w:rsidP="00460C69">
            <w:pPr>
              <w:pStyle w:val="GraphShape"/>
              <w:rPr>
                <w:sz w:val="2"/>
              </w:rPr>
            </w:pPr>
            <w:r w:rsidRPr="00617176">
              <w:fldChar w:fldCharType="begin"/>
            </w:r>
            <w:r w:rsidRPr="009F3ED8">
              <w:instrText xml:space="preserve"> TC "</w:instrText>
            </w:r>
            <w:bookmarkStart w:id="212" w:name="_Toc511664691"/>
            <w:r w:rsidRPr="009F3ED8">
              <w:instrText>II.3.4.</w:instrText>
            </w:r>
            <w:r w:rsidRPr="009F3ED8">
              <w:tab/>
              <w:instrText>Median dependency rates by age-group for EU28, based on EU-SILC</w:instrText>
            </w:r>
            <w:bookmarkEnd w:id="212"/>
            <w:r w:rsidRPr="009F3ED8">
              <w:instrText xml:space="preserve">" \fgraph \l 5 </w:instrText>
            </w:r>
            <w:r w:rsidRPr="00617176">
              <w:fldChar w:fldCharType="end"/>
            </w:r>
            <w:r w:rsidRPr="00617176">
              <w:rPr>
                <w:noProof/>
                <w:sz w:val="2"/>
                <w:lang w:val="hr-HR" w:eastAsia="hr-HR"/>
              </w:rPr>
              <w:drawing>
                <wp:inline distT="0" distB="0" distL="0" distR="0" wp14:anchorId="2D6AC7A5" wp14:editId="7479D1BD">
                  <wp:extent cx="2597595" cy="1558684"/>
                  <wp:effectExtent l="0" t="0" r="0" b="3810"/>
                  <wp:docPr id="188" name="Picture 188" descr="&lt;nbr&gt;&lt;GETTEXTFROMWORD&gt;&lt;/nbr&gt;&#10;&lt;title&gt;&lt;GETTEXTFROMWORD&gt;&lt;/title&gt;&#10;&lt;id&gt;72120555-db06-4a91-9a54-430d0ebb4c25&lt;/id&gt;&#10;&lt;srcType&gt;EXCEL&lt;/srcType&gt;&#10;&lt;srcPath&gt;U:\Budgetary projections 2018\Reports\2018 AR\Tables_and_graphs\Part II Chapter 3\&lt;/srcPath&gt;&#10;&lt;srcName&gt;Tables &amp; charts - CHAP 3.xlsx&lt;/srcName&gt;&#10;&lt;type&gt;graph&lt;/type&gt;&#10; &lt;srcSheet&gt;dependency rates&lt;/srcSheet&gt;&#10; &lt;srcChartTitle&gt;Chart 1&lt;/srcChartTitl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3-26T12:08:13&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597595" cy="1558684"/>
                          </a:xfrm>
                          <a:prstGeom prst="rect">
                            <a:avLst/>
                          </a:prstGeom>
                          <a:noFill/>
                          <a:ln>
                            <a:noFill/>
                          </a:ln>
                        </pic:spPr>
                      </pic:pic>
                    </a:graphicData>
                  </a:graphic>
                </wp:inline>
              </w:drawing>
            </w:r>
          </w:p>
        </w:tc>
      </w:tr>
      <w:tr w:rsidR="00223A02" w:rsidRPr="00617176" w14:paraId="19879EEF" w14:textId="77777777" w:rsidTr="00460C69">
        <w:trPr>
          <w:cantSplit/>
        </w:trPr>
        <w:tc>
          <w:tcPr>
            <w:tcW w:w="4110" w:type="dxa"/>
            <w:shd w:val="clear" w:color="auto" w:fill="auto"/>
            <w:tcMar>
              <w:bottom w:w="240" w:type="dxa"/>
            </w:tcMar>
          </w:tcPr>
          <w:p w14:paraId="36CF93D6" w14:textId="77777777" w:rsidR="00223A02" w:rsidRDefault="00223A02" w:rsidP="00460C69">
            <w:pPr>
              <w:pStyle w:val="GraphFootnote"/>
              <w:keepNext/>
            </w:pPr>
            <w:r>
              <w:t>Notes: The dependency rates are based on EU-SILC data on "self-perceived longstanding severe limitation in activities because of health problems [for at least the last 6 months]".</w:t>
            </w:r>
          </w:p>
          <w:p w14:paraId="546749D0" w14:textId="77777777" w:rsidR="00223A02" w:rsidRPr="00617176" w:rsidRDefault="00223A02" w:rsidP="00460C69">
            <w:pPr>
              <w:pStyle w:val="GraphSource"/>
              <w:keepNext/>
            </w:pPr>
            <w:r w:rsidRPr="00617176">
              <w:rPr>
                <w:b/>
                <w:i/>
              </w:rPr>
              <w:t>Source:</w:t>
            </w:r>
            <w:r w:rsidRPr="00617176">
              <w:t xml:space="preserve"> European Commission, EPC. 2016 (base year) estimate.</w:t>
            </w:r>
          </w:p>
        </w:tc>
      </w:tr>
    </w:tbl>
    <w:p w14:paraId="02E8FFA9" w14:textId="77777777" w:rsidR="00223A02" w:rsidRPr="00617176" w:rsidRDefault="00223A02" w:rsidP="00460C69">
      <w:r w:rsidRPr="00617176">
        <w:t xml:space="preserve">The ageing of the population is a key element of future public expenditure on LTC. It is on the one hand the result of the demographic transition that results from the ageing of the baby boom cohorts and on the other the result of the increase of life expectancy and the decrease of fertility rates. The increasing share of and numbers of old and very old people is likely to lead to an increase in the number of people who will need and receive LTC. The prevalence of physical or mental disability increases with age (especially with very old age groups, 80+) and in many cases can lead to dependency, as shown in Graph </w:t>
      </w:r>
      <w:r w:rsidRPr="00617176">
        <w:fldChar w:fldCharType="begin"/>
      </w:r>
      <w:r w:rsidRPr="00617176">
        <w:instrText xml:space="preserve"> QUOTE "II.3.4"</w:instrText>
      </w:r>
      <w:r w:rsidRPr="00617176">
        <w:fldChar w:fldCharType="begin">
          <w:fldData xml:space="preserve">QwBSAE8AUwBTAFIARQBGAEUAUgBFAE4AQwBFACoARwBSAEEAUABIACoANwAyADEAMgAwADUANQA1
AC0AZABiADAANgAtADQAYQA5ADEALQA5AGEANQA0AC0ANAAzADAAZAAwAGUAYgBiADQAYwAyADUA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II.3.4</w:t>
      </w:r>
      <w:r w:rsidRPr="00617176">
        <w:fldChar w:fldCharType="end"/>
      </w:r>
      <w:r w:rsidRPr="00617176">
        <w:t xml:space="preserve">. The link between ageing and dependency is explored further in the next section. </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28863F2D" w14:textId="77777777" w:rsidTr="00460C69">
        <w:trPr>
          <w:cantSplit/>
        </w:trPr>
        <w:tc>
          <w:tcPr>
            <w:tcW w:w="4110" w:type="dxa"/>
            <w:shd w:val="clear" w:color="auto" w:fill="auto"/>
          </w:tcPr>
          <w:p w14:paraId="3FA498C9" w14:textId="77777777" w:rsidR="00223A02" w:rsidRPr="00617176" w:rsidRDefault="00223A02" w:rsidP="00460C69">
            <w:pPr>
              <w:pStyle w:val="GraphTitle"/>
              <w:rPr>
                <w:b/>
              </w:rPr>
            </w:pPr>
            <w:r w:rsidRPr="00617176">
              <w:lastRenderedPageBreak/>
              <w:t>Graph II.3.5:</w:t>
            </w:r>
            <w:r w:rsidRPr="00617176">
              <w:rPr>
                <w:b/>
              </w:rPr>
              <w:tab/>
              <w:t>Institutional care: Expenditure per recipient of long-term care services in institutional care, as % of GDP per capita</w:t>
            </w:r>
          </w:p>
        </w:tc>
      </w:tr>
      <w:tr w:rsidR="00223A02" w:rsidRPr="00617176" w14:paraId="4362CF06" w14:textId="77777777" w:rsidTr="00460C69">
        <w:trPr>
          <w:cantSplit/>
        </w:trPr>
        <w:tc>
          <w:tcPr>
            <w:tcW w:w="4110" w:type="dxa"/>
            <w:shd w:val="clear" w:color="auto" w:fill="auto"/>
          </w:tcPr>
          <w:p w14:paraId="413257E5" w14:textId="77777777" w:rsidR="00223A02" w:rsidRPr="00617176" w:rsidRDefault="00223A02" w:rsidP="00460C69">
            <w:pPr>
              <w:pStyle w:val="GraphShape"/>
              <w:rPr>
                <w:sz w:val="2"/>
              </w:rPr>
            </w:pPr>
            <w:r w:rsidRPr="00617176">
              <w:fldChar w:fldCharType="begin"/>
            </w:r>
            <w:r w:rsidRPr="009F3ED8">
              <w:instrText xml:space="preserve"> TC "</w:instrText>
            </w:r>
            <w:bookmarkStart w:id="213" w:name="_Toc511664692"/>
            <w:r w:rsidRPr="009F3ED8">
              <w:instrText>II.3.5.</w:instrText>
            </w:r>
            <w:r w:rsidRPr="009F3ED8">
              <w:tab/>
              <w:instrText>Institutional care: Expenditure per recipient of long-term care services in institutional care, as % of GDP per capita</w:instrText>
            </w:r>
            <w:bookmarkEnd w:id="213"/>
            <w:r w:rsidRPr="009F3ED8">
              <w:instrText xml:space="preserve">" \fgraph \l 5 </w:instrText>
            </w:r>
            <w:r w:rsidRPr="00617176">
              <w:fldChar w:fldCharType="end"/>
            </w:r>
            <w:r w:rsidRPr="00617176">
              <w:rPr>
                <w:noProof/>
                <w:sz w:val="2"/>
                <w:lang w:val="hr-HR" w:eastAsia="hr-HR"/>
              </w:rPr>
              <w:drawing>
                <wp:inline distT="0" distB="0" distL="0" distR="0" wp14:anchorId="007046D6" wp14:editId="6E5A26ED">
                  <wp:extent cx="2597595" cy="1620019"/>
                  <wp:effectExtent l="0" t="0" r="0" b="0"/>
                  <wp:docPr id="189" name="Picture 189" descr="&lt;nbr&gt;&lt;GETTEXTFROMWORD&gt;&lt;/nbr&gt;&#10;&lt;title&gt;&lt;GETTEXTFROMWORD&gt;&lt;/title&gt;&#10;&lt;id&gt;fc55126e-9a64-41c6-bb42-362813e6181c&lt;/id&gt;&#10;&lt;srcType&gt;EXCEL&lt;/srcType&gt;&#10;&lt;srcPath&gt;U:\Budgetary projections 2018\Reports\2018 AR\Tables_and_graphs\Part II Chapter 3\&lt;/srcPath&gt;&#10;&lt;srcName&gt;Tables &amp; charts - CHAP 3.xlsx&lt;/srcName&gt;&#10;&lt;type&gt;graph&lt;/type&gt;&#10; &lt;srcSheet&gt;Graph III.3.4 AR2018 IC&lt;/srcSheet&gt;&#10; &lt;srcChartTitle&gt;Chart 1&lt;/srcChartTitl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3-26T12:08:13&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597595" cy="1620019"/>
                          </a:xfrm>
                          <a:prstGeom prst="rect">
                            <a:avLst/>
                          </a:prstGeom>
                          <a:noFill/>
                          <a:ln>
                            <a:noFill/>
                          </a:ln>
                        </pic:spPr>
                      </pic:pic>
                    </a:graphicData>
                  </a:graphic>
                </wp:inline>
              </w:drawing>
            </w:r>
          </w:p>
        </w:tc>
      </w:tr>
      <w:tr w:rsidR="00223A02" w:rsidRPr="00617176" w14:paraId="762EF216" w14:textId="77777777" w:rsidTr="00460C69">
        <w:trPr>
          <w:cantSplit/>
        </w:trPr>
        <w:tc>
          <w:tcPr>
            <w:tcW w:w="4110" w:type="dxa"/>
            <w:shd w:val="clear" w:color="auto" w:fill="auto"/>
            <w:tcMar>
              <w:bottom w:w="240" w:type="dxa"/>
            </w:tcMar>
          </w:tcPr>
          <w:p w14:paraId="40ACE30F" w14:textId="77777777" w:rsidR="00223A02" w:rsidRDefault="00223A02" w:rsidP="00460C69">
            <w:pPr>
              <w:pStyle w:val="GraphFootnote"/>
              <w:keepNext/>
            </w:pPr>
            <w:r>
              <w:t>Notes:  EU15: Belgium, Denmark, Germany, Ireland, Greece, Spain, France, Italy, Luxembourg, Netherlands, Austria, Portugal, Finland, Sweden, United Kingdom.  NMS: New Member States: Bulgaria, Czech Republic, Estonia, Croatia, Cyprus, Latvia, Lithuania, Hungary, Malta, Poland, Romania, Slovenia and Slovakia.</w:t>
            </w:r>
          </w:p>
          <w:p w14:paraId="438F9409" w14:textId="77777777" w:rsidR="00223A02" w:rsidRPr="00617176" w:rsidRDefault="00223A02" w:rsidP="00460C69">
            <w:pPr>
              <w:pStyle w:val="GraphSource"/>
              <w:keepNext/>
            </w:pPr>
            <w:r w:rsidRPr="00617176">
              <w:rPr>
                <w:b/>
                <w:i/>
              </w:rPr>
              <w:t>Source:</w:t>
            </w:r>
            <w:r w:rsidRPr="00617176">
              <w:t xml:space="preserve"> European Commission, EPC. 2016 (base year) estimate.</w:t>
            </w:r>
          </w:p>
        </w:tc>
      </w:tr>
    </w:tbl>
    <w:p w14:paraId="020A2783" w14:textId="77777777" w:rsidR="00223A02" w:rsidRPr="00617176" w:rsidRDefault="00223A02" w:rsidP="00460C69">
      <w:r w:rsidRPr="00617176">
        <w:t xml:space="preserve">The age-related expenditure profiles used in the 2018 Ageing Report show that expenditure (spending per user as % of GDP per capita) does not register a relative increase in costs for LTC recipients for higher age-groups, which suggests that the LTC costs per recipient related to severe disability are relatively independent of age. However, it is possible that the type of LTC system and its coverage may also influence these results, since they vary noticeably for the EU15 countries (which tend to have more comprehensive LTC systems, and where there does seem to be some increase in costs for older users) and the New Member States (NMS) countries (which tend to have less extensive LTC systems, and where costs tend to be greater for younger recipients). Graphs </w:t>
      </w:r>
      <w:r w:rsidRPr="00617176">
        <w:fldChar w:fldCharType="begin"/>
      </w:r>
      <w:r w:rsidRPr="00617176">
        <w:instrText xml:space="preserve"> QUOTE "II.3.5"</w:instrText>
      </w:r>
      <w:r w:rsidRPr="00617176">
        <w:fldChar w:fldCharType="begin">
          <w:fldData xml:space="preserve">QwBSAE8AUwBTAFIARQBGAEUAUgBFAE4AQwBFACoARwBSAEEAUABIACoAZgBjADUANQAxADIANgBl
AC0AOQBhADYANAAtADQAMQBjADYALQBiAGIANAAyAC0AMwA2ADIAOAAxADMAZQA2ADEAOAAxAGMA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II.3.5</w:t>
      </w:r>
      <w:r w:rsidRPr="00617176">
        <w:fldChar w:fldCharType="end"/>
      </w:r>
      <w:r w:rsidRPr="00617176">
        <w:t xml:space="preserve">, </w:t>
      </w:r>
      <w:r w:rsidRPr="00617176">
        <w:fldChar w:fldCharType="begin"/>
      </w:r>
      <w:r w:rsidRPr="00617176">
        <w:instrText xml:space="preserve"> QUOTE "II.3.6"</w:instrText>
      </w:r>
      <w:r w:rsidRPr="00617176">
        <w:fldChar w:fldCharType="begin">
          <w:fldData xml:space="preserve">QwBSAE8AUwBTAFIARQBGAEUAUgBFAE4AQwBFACoARwBSAEEAUABIACoANAA5AGEAMABiADQAMQAz
AC0AOAAyADUANAAtADQAOQAyAGMALQBhADcAYQBkAC0AMAAzADUANQAwAGIAMQA5AGEAMgBiADMA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II.3.6</w:t>
      </w:r>
      <w:r w:rsidRPr="00617176">
        <w:fldChar w:fldCharType="end"/>
      </w:r>
      <w:r w:rsidRPr="00617176">
        <w:t xml:space="preserve"> and </w:t>
      </w:r>
      <w:r w:rsidRPr="00617176">
        <w:fldChar w:fldCharType="begin"/>
      </w:r>
      <w:r w:rsidRPr="00617176">
        <w:instrText xml:space="preserve"> QUOTE "II.3.7"</w:instrText>
      </w:r>
      <w:r w:rsidRPr="00617176">
        <w:fldChar w:fldCharType="begin">
          <w:fldData xml:space="preserve">QwBSAE8AUwBTAFIARQBGAEUAUgBFAE4AQwBFACoARwBSAEEAUABIACoAZgAwADkAMgA2AGQAMgA0
AC0ANABhAGIANwAtADQANgAxADEALQBiADkANAAxAC0AZQAwAGMAZQAzAGUAZQBlADMANAA0ADkA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II.3.7</w:t>
      </w:r>
      <w:r w:rsidRPr="00617176">
        <w:fldChar w:fldCharType="end"/>
      </w:r>
      <w:r w:rsidRPr="00617176">
        <w:t xml:space="preserve"> show the specific profiles for institutional care, home care and cash benefits. Annex IV contains a comparison of the overall age-cost profiles with those used in AR2015.  </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7543D16F" w14:textId="77777777" w:rsidTr="00460C69">
        <w:trPr>
          <w:cantSplit/>
        </w:trPr>
        <w:tc>
          <w:tcPr>
            <w:tcW w:w="4110" w:type="dxa"/>
            <w:shd w:val="clear" w:color="auto" w:fill="auto"/>
          </w:tcPr>
          <w:p w14:paraId="5A9A8742" w14:textId="77777777" w:rsidR="00223A02" w:rsidRPr="00617176" w:rsidRDefault="00223A02" w:rsidP="00460C69">
            <w:pPr>
              <w:pStyle w:val="GraphTitle"/>
              <w:rPr>
                <w:b/>
              </w:rPr>
            </w:pPr>
            <w:r w:rsidRPr="00617176">
              <w:lastRenderedPageBreak/>
              <w:t>Graph II.3.6:</w:t>
            </w:r>
            <w:r w:rsidRPr="00617176">
              <w:rPr>
                <w:b/>
              </w:rPr>
              <w:tab/>
              <w:t>Home care: Expenditure per recipient of long-term care services in home care, as % of GDP per capita</w:t>
            </w:r>
          </w:p>
        </w:tc>
      </w:tr>
      <w:tr w:rsidR="00223A02" w:rsidRPr="00617176" w14:paraId="69528FB1" w14:textId="77777777" w:rsidTr="00460C69">
        <w:trPr>
          <w:cantSplit/>
        </w:trPr>
        <w:tc>
          <w:tcPr>
            <w:tcW w:w="4110" w:type="dxa"/>
            <w:shd w:val="clear" w:color="auto" w:fill="auto"/>
          </w:tcPr>
          <w:p w14:paraId="45C673BA" w14:textId="77777777" w:rsidR="00223A02" w:rsidRPr="00617176" w:rsidRDefault="00223A02" w:rsidP="00460C69">
            <w:pPr>
              <w:pStyle w:val="GraphShape"/>
              <w:rPr>
                <w:sz w:val="2"/>
              </w:rPr>
            </w:pPr>
            <w:r w:rsidRPr="00617176">
              <w:fldChar w:fldCharType="begin"/>
            </w:r>
            <w:r w:rsidRPr="009F3ED8">
              <w:instrText xml:space="preserve"> TC "</w:instrText>
            </w:r>
            <w:bookmarkStart w:id="214" w:name="_Toc511664693"/>
            <w:r w:rsidRPr="009F3ED8">
              <w:instrText>II.3.6.</w:instrText>
            </w:r>
            <w:r w:rsidRPr="009F3ED8">
              <w:tab/>
              <w:instrText>Home care: Expenditure per recipient of long-term care services in home care, as % of GDP per capita</w:instrText>
            </w:r>
            <w:bookmarkEnd w:id="214"/>
            <w:r w:rsidRPr="009F3ED8">
              <w:instrText xml:space="preserve">" \fgraph \l 5 </w:instrText>
            </w:r>
            <w:r w:rsidRPr="00617176">
              <w:fldChar w:fldCharType="end"/>
            </w:r>
            <w:r w:rsidRPr="00617176">
              <w:rPr>
                <w:noProof/>
                <w:sz w:val="2"/>
                <w:lang w:val="hr-HR" w:eastAsia="hr-HR"/>
              </w:rPr>
              <w:drawing>
                <wp:inline distT="0" distB="0" distL="0" distR="0" wp14:anchorId="1394523B" wp14:editId="3C235150">
                  <wp:extent cx="2597595" cy="1620019"/>
                  <wp:effectExtent l="0" t="0" r="0" b="0"/>
                  <wp:docPr id="190" name="Picture 190" descr="&lt;nbr&gt;&lt;GETTEXTFROMWORD&gt;&lt;/nbr&gt;&#10;&lt;title&gt;&lt;GETTEXTFROMWORD&gt;&lt;/title&gt;&#10;&lt;id&gt;49a0b413-8254-492c-a7ad-03550b19a2b3&lt;/id&gt;&#10;&lt;srcType&gt;EXCEL&lt;/srcType&gt;&#10;&lt;srcPath&gt;U:\Budgetary projections 2018\Reports\2018 AR\Tables_and_graphs\Part II Chapter 3\&lt;/srcPath&gt;&#10;&lt;srcName&gt;Tables &amp; charts - CHAP 3.xlsx&lt;/srcName&gt;&#10;&lt;type&gt;graph&lt;/type&gt;&#10; &lt;srcSheet&gt;Graph III.3.5 AR2018 HC&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26T12:08:13&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597595" cy="1620019"/>
                          </a:xfrm>
                          <a:prstGeom prst="rect">
                            <a:avLst/>
                          </a:prstGeom>
                          <a:noFill/>
                          <a:ln>
                            <a:noFill/>
                          </a:ln>
                        </pic:spPr>
                      </pic:pic>
                    </a:graphicData>
                  </a:graphic>
                </wp:inline>
              </w:drawing>
            </w:r>
          </w:p>
        </w:tc>
      </w:tr>
      <w:tr w:rsidR="00223A02" w:rsidRPr="00617176" w14:paraId="2BDC4603" w14:textId="77777777" w:rsidTr="00460C69">
        <w:trPr>
          <w:cantSplit/>
        </w:trPr>
        <w:tc>
          <w:tcPr>
            <w:tcW w:w="4110" w:type="dxa"/>
            <w:shd w:val="clear" w:color="auto" w:fill="auto"/>
            <w:tcMar>
              <w:bottom w:w="240" w:type="dxa"/>
            </w:tcMar>
          </w:tcPr>
          <w:p w14:paraId="1F5F7370" w14:textId="77777777" w:rsidR="00223A02" w:rsidRPr="00617176" w:rsidRDefault="00223A02" w:rsidP="00460C69">
            <w:pPr>
              <w:pStyle w:val="GraphSource"/>
              <w:keepNext/>
            </w:pPr>
            <w:r w:rsidRPr="00617176">
              <w:rPr>
                <w:b/>
                <w:i/>
              </w:rPr>
              <w:t>Source:</w:t>
            </w:r>
            <w:r w:rsidRPr="00617176">
              <w:t xml:space="preserve"> European Commission, EPC. 2016 (base year) estimate.</w:t>
            </w:r>
          </w:p>
        </w:tc>
      </w:tr>
    </w:tbl>
    <w:p w14:paraId="3C76AF04" w14:textId="77777777" w:rsidR="00223A02" w:rsidRPr="00617176" w:rsidRDefault="00223A02" w:rsidP="00460C69">
      <w:r w:rsidRPr="00617176">
        <w:t xml:space="preserve">Overall, in contrast to health care, where higher spending as a consequence of ageing is partly due to increasing age-cost profiles, ageing affects LTC spending mainly through increases in the number of dependent people. </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16E54321" w14:textId="77777777" w:rsidTr="00460C69">
        <w:trPr>
          <w:cantSplit/>
        </w:trPr>
        <w:tc>
          <w:tcPr>
            <w:tcW w:w="4110" w:type="dxa"/>
            <w:shd w:val="clear" w:color="auto" w:fill="auto"/>
          </w:tcPr>
          <w:p w14:paraId="302502B2" w14:textId="77777777" w:rsidR="00223A02" w:rsidRPr="00617176" w:rsidRDefault="00223A02" w:rsidP="00460C69">
            <w:pPr>
              <w:pStyle w:val="GraphTitle"/>
              <w:rPr>
                <w:b/>
              </w:rPr>
            </w:pPr>
            <w:r w:rsidRPr="00617176">
              <w:t>Graph II.3.7:</w:t>
            </w:r>
            <w:r w:rsidRPr="00617176">
              <w:rPr>
                <w:b/>
              </w:rPr>
              <w:tab/>
              <w:t>Cash benefits: Expenditure per recipient of long-term care cash benefits care, as % of GDP per capita</w:t>
            </w:r>
          </w:p>
        </w:tc>
      </w:tr>
      <w:tr w:rsidR="00223A02" w:rsidRPr="00617176" w14:paraId="4952E955" w14:textId="77777777" w:rsidTr="00460C69">
        <w:trPr>
          <w:cantSplit/>
        </w:trPr>
        <w:tc>
          <w:tcPr>
            <w:tcW w:w="4110" w:type="dxa"/>
            <w:shd w:val="clear" w:color="auto" w:fill="auto"/>
          </w:tcPr>
          <w:p w14:paraId="744D0201" w14:textId="77777777" w:rsidR="00223A02" w:rsidRPr="00617176" w:rsidRDefault="00223A02" w:rsidP="00460C69">
            <w:pPr>
              <w:pStyle w:val="GraphShape"/>
              <w:rPr>
                <w:sz w:val="2"/>
              </w:rPr>
            </w:pPr>
            <w:r w:rsidRPr="00617176">
              <w:fldChar w:fldCharType="begin"/>
            </w:r>
            <w:r w:rsidRPr="009F3ED8">
              <w:instrText xml:space="preserve"> TC "</w:instrText>
            </w:r>
            <w:bookmarkStart w:id="215" w:name="_Toc511664694"/>
            <w:r w:rsidRPr="009F3ED8">
              <w:instrText>II.3.7.</w:instrText>
            </w:r>
            <w:r w:rsidRPr="009F3ED8">
              <w:tab/>
              <w:instrText>Cash benefits: Expenditure per recipient of long-term care cash benefits care, as % of GDP per capita</w:instrText>
            </w:r>
            <w:bookmarkEnd w:id="215"/>
            <w:r w:rsidRPr="009F3ED8">
              <w:instrText xml:space="preserve">" \fgraph \l 5 </w:instrText>
            </w:r>
            <w:r w:rsidRPr="00617176">
              <w:fldChar w:fldCharType="end"/>
            </w:r>
            <w:r w:rsidRPr="00617176">
              <w:rPr>
                <w:noProof/>
                <w:sz w:val="2"/>
                <w:lang w:val="hr-HR" w:eastAsia="hr-HR"/>
              </w:rPr>
              <w:drawing>
                <wp:inline distT="0" distB="0" distL="0" distR="0" wp14:anchorId="31F34686" wp14:editId="5CE56210">
                  <wp:extent cx="2597595" cy="1620019"/>
                  <wp:effectExtent l="0" t="0" r="0" b="0"/>
                  <wp:docPr id="191" name="Picture 191" descr="&lt;nbr&gt;&lt;GETTEXTFROMWORD&gt;&lt;/nbr&gt;&#10;&lt;title&gt;&lt;GETTEXTFROMWORD&gt;&lt;/title&gt;&#10;&lt;id&gt;f0926d24-4ab7-4611-b941-e0ce3eee3449&lt;/id&gt;&#10;&lt;srcType&gt;EXCEL&lt;/srcType&gt;&#10;&lt;srcPath&gt;U:\Budgetary projections 2018\Reports\2018 AR\Tables_and_graphs\Part II Chapter 3\&lt;/srcPath&gt;&#10;&lt;srcName&gt;Tables &amp; charts - CHAP 3.xlsx&lt;/srcName&gt;&#10;&lt;type&gt;graph&lt;/type&gt;&#10; &lt;srcSheet&gt;Graph III.3.6 AR2016 CB&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26T12:08:13&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597595" cy="1620019"/>
                          </a:xfrm>
                          <a:prstGeom prst="rect">
                            <a:avLst/>
                          </a:prstGeom>
                          <a:noFill/>
                          <a:ln>
                            <a:noFill/>
                          </a:ln>
                        </pic:spPr>
                      </pic:pic>
                    </a:graphicData>
                  </a:graphic>
                </wp:inline>
              </w:drawing>
            </w:r>
          </w:p>
        </w:tc>
      </w:tr>
      <w:tr w:rsidR="00223A02" w:rsidRPr="00617176" w14:paraId="5F0F50ED" w14:textId="77777777" w:rsidTr="00460C69">
        <w:trPr>
          <w:cantSplit/>
        </w:trPr>
        <w:tc>
          <w:tcPr>
            <w:tcW w:w="4110" w:type="dxa"/>
            <w:shd w:val="clear" w:color="auto" w:fill="auto"/>
            <w:tcMar>
              <w:bottom w:w="240" w:type="dxa"/>
            </w:tcMar>
          </w:tcPr>
          <w:p w14:paraId="0CCE3D38" w14:textId="77777777" w:rsidR="00223A02" w:rsidRPr="00617176" w:rsidRDefault="00223A02" w:rsidP="00460C69">
            <w:pPr>
              <w:pStyle w:val="GraphSource"/>
              <w:keepNext/>
            </w:pPr>
            <w:r w:rsidRPr="00617176">
              <w:rPr>
                <w:b/>
                <w:i/>
              </w:rPr>
              <w:t>Source:</w:t>
            </w:r>
            <w:r w:rsidRPr="00617176">
              <w:t xml:space="preserve"> European Commission, EPC. 2016 (base year) estimate.</w:t>
            </w:r>
          </w:p>
        </w:tc>
      </w:tr>
    </w:tbl>
    <w:p w14:paraId="69A08E27" w14:textId="77777777" w:rsidR="00223A02" w:rsidRPr="00617176" w:rsidRDefault="00223A02" w:rsidP="00460C69">
      <w:pPr>
        <w:pStyle w:val="NumberedHeading2"/>
        <w:tabs>
          <w:tab w:val="left" w:pos="567"/>
        </w:tabs>
      </w:pPr>
      <w:r w:rsidRPr="00617176">
        <w:t>3.2.3.</w:t>
      </w:r>
      <w:r w:rsidRPr="00617176">
        <w:tab/>
        <w:t>Dependency rates - developments in health status</w:t>
      </w:r>
    </w:p>
    <w:p w14:paraId="4F7A6A40" w14:textId="77777777" w:rsidR="00223A02" w:rsidRPr="00617176" w:rsidRDefault="00223A02" w:rsidP="00460C69">
      <w:r w:rsidRPr="00617176">
        <w:t>The need for LTC does not arise from ageing itself; but it is instead a consequence of disability, sickness or frailty (</w:t>
      </w:r>
      <w:r w:rsidRPr="00617176">
        <w:rPr>
          <w:rStyle w:val="Referencafusnote"/>
        </w:rPr>
        <w:footnoteReference w:id="104"/>
      </w:r>
      <w:r w:rsidRPr="00617176">
        <w:t>) causing dependency on others.</w:t>
      </w:r>
    </w:p>
    <w:p w14:paraId="264AEB4C" w14:textId="77777777" w:rsidR="00223A02" w:rsidRPr="00617176" w:rsidRDefault="00223A02" w:rsidP="00460C69">
      <w:r w:rsidRPr="00617176">
        <w:lastRenderedPageBreak/>
        <w:t xml:space="preserve">As shown in the previous section, dependency rates are higher for older age groups and therefore, if dependency rates for each age group stay constant, as the ageing of the population increases the number of elderly people, we expect the number of people with dependency issues to increase. </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223A02" w:rsidRPr="00617176" w14:paraId="40B3604E" w14:textId="77777777" w:rsidTr="00460C69">
        <w:trPr>
          <w:cantSplit/>
        </w:trPr>
        <w:tc>
          <w:tcPr>
            <w:tcW w:w="8505" w:type="dxa"/>
            <w:shd w:val="clear" w:color="auto" w:fill="auto"/>
          </w:tcPr>
          <w:p w14:paraId="2331987B" w14:textId="77777777" w:rsidR="00223A02" w:rsidRPr="00617176" w:rsidRDefault="00223A02" w:rsidP="00460C69">
            <w:pPr>
              <w:pStyle w:val="GraphTitle"/>
              <w:rPr>
                <w:b/>
              </w:rPr>
            </w:pPr>
            <w:r w:rsidRPr="00617176">
              <w:lastRenderedPageBreak/>
              <w:fldChar w:fldCharType="begin"/>
            </w:r>
            <w:r w:rsidRPr="009F3ED8">
              <w:instrText xml:space="preserve"> TC "</w:instrText>
            </w:r>
            <w:bookmarkStart w:id="216" w:name="_Toc511664695"/>
            <w:r w:rsidRPr="009F3ED8">
              <w:instrText>II.3.8.</w:instrText>
            </w:r>
            <w:r w:rsidRPr="009F3ED8">
              <w:tab/>
              <w:instrText>Country-specific coverage rates of long-term care recipients, as % of dependent population</w:instrText>
            </w:r>
            <w:bookmarkEnd w:id="216"/>
            <w:r w:rsidRPr="009F3ED8">
              <w:instrText xml:space="preserve">" \fgraph \l 5 </w:instrText>
            </w:r>
            <w:r w:rsidRPr="00617176">
              <w:fldChar w:fldCharType="end"/>
            </w:r>
            <w:r w:rsidRPr="00617176">
              <w:t>Graph II.3.8:</w:t>
            </w:r>
            <w:r w:rsidRPr="00617176">
              <w:rPr>
                <w:b/>
              </w:rPr>
              <w:tab/>
              <w:t>Country-specific coverage rates of long-term care recipients, as % of dependent population</w:t>
            </w:r>
          </w:p>
        </w:tc>
      </w:tr>
      <w:tr w:rsidR="00223A02" w:rsidRPr="00617176" w14:paraId="705B8719" w14:textId="77777777" w:rsidTr="00460C69">
        <w:trPr>
          <w:cantSplit/>
        </w:trPr>
        <w:tc>
          <w:tcPr>
            <w:tcW w:w="8505" w:type="dxa"/>
            <w:shd w:val="clear" w:color="auto" w:fill="auto"/>
          </w:tcPr>
          <w:p w14:paraId="3C825DF6" w14:textId="77777777" w:rsidR="00223A02" w:rsidRPr="00617176" w:rsidRDefault="00223A02" w:rsidP="00460C69">
            <w:pPr>
              <w:pStyle w:val="GraphShape"/>
              <w:rPr>
                <w:sz w:val="2"/>
              </w:rPr>
            </w:pPr>
            <w:r w:rsidRPr="00617176">
              <w:rPr>
                <w:noProof/>
                <w:sz w:val="2"/>
                <w:lang w:val="hr-HR" w:eastAsia="hr-HR"/>
              </w:rPr>
              <w:drawing>
                <wp:inline distT="0" distB="0" distL="0" distR="0" wp14:anchorId="66EFE26B" wp14:editId="1BCDFE36">
                  <wp:extent cx="5400929" cy="3183110"/>
                  <wp:effectExtent l="0" t="0" r="0" b="0"/>
                  <wp:docPr id="448" name="Picture 448" descr="&lt;nbr&gt;&lt;GETTEXTFROMWORD&gt;&lt;/nbr&gt;&#10;&lt;title&gt;&lt;GETTEXTFROMWORD&gt;&lt;/title&gt;&#10;&lt;id&gt;8a50dd9f-c722-48f5-820d-0884a778202b&lt;/id&gt;&#10;&lt;srcType&gt;EXCEL&lt;/srcType&gt;&#10;&lt;srcPath&gt;U:\Budgetary projections 2018\Reports\2018 AR\Tables_and_graphs\Part II Chapter 3\&lt;/srcPath&gt;&#10;&lt;srcName&gt;Tables &amp; charts - CHAP 3.xlsx&lt;/srcName&gt;&#10;&lt;type&gt;graph&lt;/type&gt;&#10; &lt;srcSheet&gt;Graph II.3.7 Coverage&lt;/srcSheet&gt;&#10; &lt;srcChartTitle&gt;Chart 2&lt;/srcChartTitl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yes&lt;/float&gt;&#10;&lt;bottomShapePageNumber&gt;-1&lt;/bottomShapePageNumber&gt;&#10;&lt;version&gt;2&lt;/version&gt;&#10;&lt;scrFileTime&gt;2018-03-26T12:08:13&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400929" cy="3183110"/>
                          </a:xfrm>
                          <a:prstGeom prst="rect">
                            <a:avLst/>
                          </a:prstGeom>
                          <a:noFill/>
                          <a:ln>
                            <a:noFill/>
                          </a:ln>
                        </pic:spPr>
                      </pic:pic>
                    </a:graphicData>
                  </a:graphic>
                </wp:inline>
              </w:drawing>
            </w:r>
          </w:p>
        </w:tc>
      </w:tr>
      <w:tr w:rsidR="00223A02" w:rsidRPr="00617176" w14:paraId="5B41B708" w14:textId="77777777" w:rsidTr="00460C69">
        <w:trPr>
          <w:cantSplit/>
        </w:trPr>
        <w:tc>
          <w:tcPr>
            <w:tcW w:w="8505" w:type="dxa"/>
            <w:shd w:val="clear" w:color="auto" w:fill="auto"/>
          </w:tcPr>
          <w:p w14:paraId="025AB708" w14:textId="77777777" w:rsidR="00223A02" w:rsidRDefault="00223A02" w:rsidP="00460C69">
            <w:pPr>
              <w:pStyle w:val="GraphFootnote"/>
              <w:keepNext/>
            </w:pPr>
            <w:r>
              <w:t>Notes:  Coverage rates in the base year of 2016 in the EU and Norway; Coverage estimated as ratio between recipients and potentially dependent population; Recipient data, as provided by Member States; Coverage may be above 100%, as some recipients may receive cash benefits and in-kind benefits at the same time, which is not corrected for in this graph. Population of potentially dependent based on 2011-2015 average of EU-SILC data on "self-perceived longstanding limitation in activities because of health problems [for at least the last 6 months]" is used. It should be noted that the coverage for institutional care for Luxembourg is likely to be underestimated due to incomplete data.</w:t>
            </w:r>
          </w:p>
          <w:p w14:paraId="6D2C6593" w14:textId="77777777" w:rsidR="00223A02" w:rsidRPr="00617176" w:rsidRDefault="00223A02" w:rsidP="00460C69">
            <w:pPr>
              <w:pStyle w:val="GraphSource"/>
              <w:keepNext/>
            </w:pPr>
            <w:r w:rsidRPr="00617176">
              <w:rPr>
                <w:b/>
                <w:i/>
              </w:rPr>
              <w:t>Source:</w:t>
            </w:r>
            <w:r w:rsidRPr="00617176">
              <w:t xml:space="preserve">  European Commission, EPC. </w:t>
            </w:r>
          </w:p>
        </w:tc>
      </w:tr>
    </w:tbl>
    <w:p w14:paraId="03179DC7" w14:textId="77777777" w:rsidR="00223A02" w:rsidRPr="00617176" w:rsidRDefault="00223A02" w:rsidP="00460C69">
      <w:r w:rsidRPr="00617176">
        <w:t xml:space="preserve">However, population ageing can also have an additional effect on the number of dependents, in that the dependency rates for specific age groups may actually change as well. </w:t>
      </w:r>
    </w:p>
    <w:p w14:paraId="3C0C960A" w14:textId="77777777" w:rsidR="00223A02" w:rsidRPr="00617176" w:rsidRDefault="00223A02" w:rsidP="00460C69">
      <w:r w:rsidRPr="00617176">
        <w:t xml:space="preserve">Ageing of the population is the result of both reduced birth rates and increased longevity (i.e. increased life expectancy). Increased life expectancy results in an increase in the number of elderly people. However, as in health care, the impact depends on the extent to which longevity is accompanied by a corresponding improvement or worsening in the "quality" of life (and so whether the dependency rates for a specific age-group decrease or increase due to people living longer). It is not necessarily age per se but the dependency rates that determine LTC expenditure. </w:t>
      </w:r>
    </w:p>
    <w:p w14:paraId="49E4C0B2" w14:textId="77777777" w:rsidR="00223A02" w:rsidRPr="00617176" w:rsidRDefault="00223A02" w:rsidP="00460C69">
      <w:r w:rsidRPr="00617176">
        <w:t>Dependency does not equate disability, which relates to some functional impairment of an individual. Dependency relates instead to the inability to perform ADLs and IADLs and therefore requiring some external assistance. Therefore, it could be said that disability translates into dependency leading to the need for LTC.</w:t>
      </w:r>
    </w:p>
    <w:p w14:paraId="67C14CF2" w14:textId="77777777" w:rsidR="00223A02" w:rsidRPr="00617176" w:rsidRDefault="00223A02" w:rsidP="00460C69">
      <w:r w:rsidRPr="00617176">
        <w:t>The links between disability, dependency and demand/use of LTC are not straightforward. There are many people with some form of disability who can lead completely independent lives without the need for care services. Further, dependency as reported in EU-SILC also depends on a person’s perception of his or her ability to perform activities associated with daily living. On the one hand, survey data can underestimate some forms of disability (</w:t>
      </w:r>
      <w:r w:rsidRPr="00617176">
        <w:rPr>
          <w:rStyle w:val="Referencafusnote"/>
        </w:rPr>
        <w:footnoteReference w:id="105"/>
      </w:r>
      <w:r w:rsidRPr="00617176">
        <w:t xml:space="preserve">). On the other hand, disability data can be too inclusive and capture relatively minor difficulties in functioning that do not require the provision of LTC. </w:t>
      </w:r>
    </w:p>
    <w:p w14:paraId="7DB1C969" w14:textId="77777777" w:rsidR="00223A02" w:rsidRPr="00617176" w:rsidRDefault="00223A02" w:rsidP="00460C69">
      <w:r w:rsidRPr="00617176">
        <w:t xml:space="preserve">In order to minimise errors and in line with the usual eligibility conditions of public schemes, it is common to focus on disability levels categorized as "severe". For the purpose of these projections, </w:t>
      </w:r>
      <w:r w:rsidRPr="00617176">
        <w:lastRenderedPageBreak/>
        <w:t>the EU-SILC data on "self-perceived longstanding limitation in activities because of health problems [for at least the last 6 months]" is used. This is considered an adequate measure of dependency and is available for all EU Member States and Norway for people aged 15+ and by age group (</w:t>
      </w:r>
      <w:r w:rsidRPr="00617176">
        <w:rPr>
          <w:rStyle w:val="Referencafusnote"/>
        </w:rPr>
        <w:footnoteReference w:id="106"/>
      </w:r>
      <w:r w:rsidRPr="00617176">
        <w:t xml:space="preserve">). To further improve the reliability of the data, a four-year average is used. </w:t>
      </w:r>
    </w:p>
    <w:p w14:paraId="2888B7C2" w14:textId="77777777" w:rsidR="00223A02" w:rsidRPr="00617176" w:rsidRDefault="00223A02" w:rsidP="00460C69">
      <w:r w:rsidRPr="00617176">
        <w:t>As suggested above, a key question when projecting LTC expenditure is the impact on dependency rates of increased longevity. Recent empirical research has not come to a clear conclusion regarding this question. Some evidence suggests that specific causes of disability may become more prominent with increasing age (</w:t>
      </w:r>
      <w:r w:rsidRPr="00617176">
        <w:rPr>
          <w:rStyle w:val="Referencafusnote"/>
        </w:rPr>
        <w:footnoteReference w:id="107"/>
      </w:r>
      <w:r w:rsidRPr="00617176">
        <w:t>). In particular, the number of people with dementia (e.g. Alzheimer's disease) is expected to increase (</w:t>
      </w:r>
      <w:r w:rsidRPr="00617176">
        <w:rPr>
          <w:rStyle w:val="Referencafusnote"/>
        </w:rPr>
        <w:footnoteReference w:id="108"/>
      </w:r>
      <w:r w:rsidRPr="00617176">
        <w:t>). On the other hand, some studies have noted that the increase of life expectancy can lead to a postponement in the incidence of severe disability, leading to a reduction in the prevalence of severe disability for some age-groups (</w:t>
      </w:r>
      <w:r w:rsidRPr="00617176">
        <w:rPr>
          <w:rStyle w:val="Referencafusnote"/>
        </w:rPr>
        <w:footnoteReference w:id="109"/>
      </w:r>
      <w:r w:rsidRPr="00617176">
        <w:t>).</w:t>
      </w:r>
    </w:p>
    <w:p w14:paraId="1FFE55A3" w14:textId="77777777" w:rsidR="00223A02" w:rsidRPr="00617176" w:rsidRDefault="00223A02" w:rsidP="00460C69">
      <w:pPr>
        <w:pStyle w:val="Heading"/>
      </w:pPr>
      <w:r w:rsidRPr="00617176">
        <w:t>Patterns of long-term care provision</w:t>
      </w:r>
    </w:p>
    <w:p w14:paraId="7B27FE9E" w14:textId="77777777" w:rsidR="00223A02" w:rsidRPr="00617176" w:rsidRDefault="00223A02" w:rsidP="00460C69">
      <w:r w:rsidRPr="00617176">
        <w:t xml:space="preserve">Whether a country relies mainly on formal care or informal care and whether formal care is largely provided in institutions or at home are important determinants of public expenditure on LTC. </w:t>
      </w:r>
    </w:p>
    <w:p w14:paraId="485FDA46" w14:textId="77777777" w:rsidR="00223A02" w:rsidRPr="00617176" w:rsidRDefault="00223A02" w:rsidP="00460C69">
      <w:r w:rsidRPr="00617176">
        <w:t xml:space="preserve">Formal long-term care includes both in-kind care and cash benefits. In-kind long-term care is provided by professionals at home or in an institution (such as care centres and nursing homes). Cash benefits are payments which can be </w:t>
      </w:r>
      <w:r w:rsidRPr="00617176">
        <w:lastRenderedPageBreak/>
        <w:t>used to purchase formal care at home or in an institution or which can be paid to informal caregivers as income support.</w:t>
      </w:r>
    </w:p>
    <w:p w14:paraId="20459868" w14:textId="77777777" w:rsidR="00223A02" w:rsidRPr="00617176" w:rsidRDefault="00223A02" w:rsidP="00460C69">
      <w:r w:rsidRPr="00617176">
        <w:t xml:space="preserve">All EU Member States are involved in either the public provision and/or financing of formal LTC services (delivered by care assistants who are paid under some form of employment contract), although the degree to which this is the case varies across EU Member States. </w:t>
      </w:r>
    </w:p>
    <w:p w14:paraId="28F4939E" w14:textId="77777777" w:rsidR="00223A02" w:rsidRPr="00617176" w:rsidRDefault="00223A02" w:rsidP="00460C69">
      <w:r w:rsidRPr="00617176">
        <w:t>Indeed, a large proportion of LTC in the EU is actually provided by informal carers such as family members and friends – mainly spouses and children. Informal care is in principle not paid and there is no formalised contract, even though an informal care giver may receive income transfers and, possibly, some payments from the person receiving care. Although it substitutes publicly-funded LTC, it should be noted that there are "opportunity costs" derived from informal care: the impact on labour market and productivity, as well as on carers' health status itself.</w:t>
      </w:r>
    </w:p>
    <w:p w14:paraId="49CFD2F7" w14:textId="77777777" w:rsidR="00223A02" w:rsidRPr="00617176" w:rsidRDefault="00223A02" w:rsidP="00460C69">
      <w:r w:rsidRPr="00617176">
        <w:t>Countries such as Denmark the Netherlands and Sweden rely mostly on formal care, while countries such as Bulgaria, Cyprus, Estonia, Lithuania, Latvia, Romania and Croatia rely almost exclusively on informal care.</w:t>
      </w:r>
    </w:p>
    <w:p w14:paraId="44DD1AE8" w14:textId="77777777" w:rsidR="00223A02" w:rsidRPr="00617176" w:rsidRDefault="00223A02" w:rsidP="00460C69">
      <w:r w:rsidRPr="00617176">
        <w:t xml:space="preserve">Pressure for increased public provision and financing of LTC services may grow substantially in coming decades as countries become richer, especially in those Member States where the bulk of LTC is currently provided informally. </w:t>
      </w:r>
    </w:p>
    <w:p w14:paraId="715E1390" w14:textId="77777777" w:rsidR="00223A02" w:rsidRPr="00617176" w:rsidRDefault="00223A02" w:rsidP="00460C69">
      <w:pPr>
        <w:pStyle w:val="NumberedHeading2"/>
        <w:tabs>
          <w:tab w:val="left" w:pos="567"/>
        </w:tabs>
      </w:pPr>
      <w:r w:rsidRPr="00617176">
        <w:t>3.2.4.</w:t>
      </w:r>
      <w:r w:rsidRPr="00617176">
        <w:tab/>
        <w:t>Care supply – availability of human resources</w:t>
      </w:r>
    </w:p>
    <w:p w14:paraId="412180FC" w14:textId="77777777" w:rsidR="00223A02" w:rsidRPr="00617176" w:rsidRDefault="00223A02" w:rsidP="00460C69">
      <w:r w:rsidRPr="00617176">
        <w:t xml:space="preserve">In the 2018 Ageing Report, similar to the report published in 2015, it is assumed that all those receiving home care, institutional care or cash benefits are dependent and that all persons deemed dependent receive either home care, institutional care, cash benefits or informal care. However, one should be aware that the provision of LTC is not as clear cut, be it for formal or for informal care. Further, the substitution effects between formal and informal care are not as straightforward. </w:t>
      </w:r>
    </w:p>
    <w:p w14:paraId="3D5E1F2F" w14:textId="77777777" w:rsidR="00223A02" w:rsidRPr="00617176" w:rsidRDefault="00223A02" w:rsidP="00460C69">
      <w:r w:rsidRPr="00617176">
        <w:lastRenderedPageBreak/>
        <w:t>Since at present, labour is the main input when providing LTC (</w:t>
      </w:r>
      <w:r w:rsidRPr="00617176">
        <w:rPr>
          <w:rStyle w:val="Referencafusnote"/>
        </w:rPr>
        <w:footnoteReference w:id="110"/>
      </w:r>
      <w:r w:rsidRPr="00617176">
        <w:t xml:space="preserve">), we focus on the workforce as a key factor in the projections. The formal care workforce is often associated with low recognition and salaries, which leads to relatively high staff turnover and staff shortages in some countries. In the future, population ageing will mean there will be fewer people of working age, and education trends may lead to a decline in the size of the low-skilled workforce (which may be relevant for some home-care services), potentially increasing staff shortages. These factors, combined with higher demand for formal provision of LTC may increase wages in the sector. As the cost of LTC is dominated by labour costs, changes in wage rates of LTC workers are likely to influence future costs of LTC. </w:t>
      </w:r>
    </w:p>
    <w:p w14:paraId="5EDF2D88" w14:textId="77777777" w:rsidR="00223A02" w:rsidRPr="00617176" w:rsidRDefault="00223A02" w:rsidP="00460C69">
      <w:r w:rsidRPr="00617176">
        <w:t>Member States with more comprehensive LTC service provision have attempted to deal with staff shortages by developing policies to attract migrants. Differences in pay and working conditions among Member States influence the inflow of migrant workers, who are mainly female. However, while this can help mitigate short-term shortages, the extent to which migrants may compensate for staff shortages in the longer term is unclear (particularly if high turnover persists), while they may generate staff shortages elsewhere.</w:t>
      </w:r>
    </w:p>
    <w:p w14:paraId="32E2A3FB" w14:textId="77777777" w:rsidR="00223A02" w:rsidRPr="00617176" w:rsidRDefault="00223A02" w:rsidP="00460C69">
      <w:r w:rsidRPr="00617176">
        <w:t xml:space="preserve">For those dependents that do not receive (publicly financed) formal care (in kind or in cash) it is assumed that they receive informal care or privately funded care. The provision of care increases with age, to reach a peak in the age cohorts 45-60. </w:t>
      </w:r>
    </w:p>
    <w:p w14:paraId="3BB9AB67" w14:textId="77777777" w:rsidR="00223A02" w:rsidRPr="00617176" w:rsidRDefault="00223A02" w:rsidP="00460C69">
      <w:r w:rsidRPr="00617176">
        <w:t>Two dimensions should be taken into account: the future availability of potential informal carers and their propensity to provide care.</w:t>
      </w:r>
    </w:p>
    <w:p w14:paraId="5CF15260" w14:textId="77777777" w:rsidR="00223A02" w:rsidRPr="00617176" w:rsidRDefault="00223A02" w:rsidP="00460C69">
      <w:r w:rsidRPr="00617176">
        <w:rPr>
          <w:i/>
        </w:rPr>
        <w:t>Availability of potential informal caregivers</w:t>
      </w:r>
      <w:r w:rsidRPr="00617176">
        <w:t xml:space="preserve">: Key variables affecting the future availability of potential informal carers are the future numbers of elderly who will have children who live near enough to provide care (i.e. co-residence or geographical proximity), and the future numbers of people who will be living with their spouse (the spouse tends to be the prime provider of long-term </w:t>
      </w:r>
      <w:r w:rsidRPr="00617176">
        <w:lastRenderedPageBreak/>
        <w:t>care in many cases). The FELICIE (</w:t>
      </w:r>
      <w:r w:rsidRPr="00617176">
        <w:rPr>
          <w:rStyle w:val="Referencafusnote"/>
        </w:rPr>
        <w:footnoteReference w:id="111"/>
      </w:r>
      <w:r w:rsidRPr="00617176">
        <w:t xml:space="preserve">) projections suggest there may be an increase in the availability of informal caregivers. Indeed, the 85 years-old and more, both males and females, are expected to live more frequently with a partner in 2030 than in 2000. </w:t>
      </w:r>
    </w:p>
    <w:p w14:paraId="30F2236A" w14:textId="77777777" w:rsidR="00223A02" w:rsidRPr="00617176" w:rsidRDefault="00223A02" w:rsidP="00460C69">
      <w:r w:rsidRPr="00617176">
        <w:rPr>
          <w:i/>
        </w:rPr>
        <w:t>Propensity to provide care</w:t>
      </w:r>
      <w:r w:rsidRPr="00617176">
        <w:t xml:space="preserve">: The propensity to provide care will be affected by the participation in the labour market (particularly that of women, who tend to be the main carers at present), as well as the ability/willingness to provide care. </w:t>
      </w:r>
    </w:p>
    <w:p w14:paraId="54455A9F" w14:textId="77777777" w:rsidR="00223A02" w:rsidRPr="00617176" w:rsidRDefault="00223A02" w:rsidP="00460C69">
      <w:r w:rsidRPr="00617176">
        <w:t>Following current trends, increasing labour participation by women and new family structures may mean that providing informal care may become more difficult.</w:t>
      </w:r>
    </w:p>
    <w:p w14:paraId="03B259AF" w14:textId="77777777" w:rsidR="00223A02" w:rsidRPr="00617176" w:rsidRDefault="00223A02" w:rsidP="00460C69">
      <w:r w:rsidRPr="00617176">
        <w:t>Similarly, the ability to provide care is likely to decrease due to population ageing as spouses, children and relatives themselves become older and frailer. It should be noted that providing care may have negative consequences for the carer in cases of intensive caring:  there may be a negative impact on the carer's health status, reducing their ability to care and to participate in the labour market (</w:t>
      </w:r>
      <w:r w:rsidRPr="00617176">
        <w:rPr>
          <w:rStyle w:val="Referencafusnote"/>
        </w:rPr>
        <w:footnoteReference w:id="112"/>
      </w:r>
      <w:r w:rsidRPr="00617176">
        <w:t>).</w:t>
      </w:r>
    </w:p>
    <w:p w14:paraId="6C2752D5" w14:textId="77777777" w:rsidR="00223A02" w:rsidRPr="00617176" w:rsidRDefault="00223A02" w:rsidP="00460C69">
      <w:r w:rsidRPr="00617176">
        <w:t>In summary, the current institutional arrangements for the provision and financing of LTC by the public sector may be under strong pressure in the future if the availability of informal carers and their propensity to provide care diminish.</w:t>
      </w:r>
    </w:p>
    <w:p w14:paraId="3BA1A16D" w14:textId="77777777" w:rsidR="00223A02" w:rsidRPr="00617176" w:rsidRDefault="00223A02" w:rsidP="00460C69">
      <w:r w:rsidRPr="00617176">
        <w:t xml:space="preserve">The impact is nevertheless uncertain and depends on whether informal and home care are complements or substitutes. In case of complementarity, a decreasing supply of informal carers will reduce the demand for home care, increasing the demand for residential care. This is because a lack of informal carers will force dependents to move to institutional care. If informal care is a substitute for formal home care, a shortage of informal carers could lead to an increase in demand for home care. </w:t>
      </w:r>
    </w:p>
    <w:p w14:paraId="42BAA9BD" w14:textId="77777777" w:rsidR="00223A02" w:rsidRPr="00617176" w:rsidRDefault="00223A02" w:rsidP="00460C69">
      <w:r w:rsidRPr="00617176">
        <w:lastRenderedPageBreak/>
        <w:t>Recent evidence from a group of EU countries suggests that informal care and home care are indeed substitutes, although the extent to which this is the case depends on the country (</w:t>
      </w:r>
      <w:r w:rsidRPr="00617176">
        <w:rPr>
          <w:rStyle w:val="Referencafusnote"/>
        </w:rPr>
        <w:footnoteReference w:id="113"/>
      </w:r>
      <w:r w:rsidRPr="00617176">
        <w:t>).</w:t>
      </w:r>
    </w:p>
    <w:p w14:paraId="0E0E9B05" w14:textId="77777777" w:rsidR="00223A02" w:rsidRPr="00617176" w:rsidRDefault="00223A02" w:rsidP="00460C69">
      <w:pPr>
        <w:pStyle w:val="NumberedHeading2"/>
        <w:tabs>
          <w:tab w:val="left" w:pos="567"/>
        </w:tabs>
      </w:pPr>
      <w:r w:rsidRPr="00617176">
        <w:t>3.2.5.</w:t>
      </w:r>
      <w:r w:rsidRPr="00617176">
        <w:tab/>
        <w:t xml:space="preserve">Accounting for country specific policies </w:t>
      </w:r>
    </w:p>
    <w:p w14:paraId="615DBCBF" w14:textId="77777777" w:rsidR="00223A02" w:rsidRPr="00617176" w:rsidRDefault="00223A02" w:rsidP="00460C69">
      <w:r w:rsidRPr="00617176">
        <w:t xml:space="preserve">LTC policy reforms may change the projected path of LTC expenditure through a variety of channels. While some of the reforms may have a fiscal impact in the short term already, such as wage increases of care personnel or budget caps, others may have a long-term impact, such as changing treatment guidelines or the eligibility criteria to receive LTC benefits. </w:t>
      </w:r>
    </w:p>
    <w:p w14:paraId="641ED27C" w14:textId="77777777" w:rsidR="00223A02" w:rsidRPr="00617176" w:rsidRDefault="00223A02" w:rsidP="00460C69">
      <w:r w:rsidRPr="00617176">
        <w:t xml:space="preserve">The impact of these reforms on future LTC expenditure is explicitly modelled in this projection exercise and discussed further in section 3.4.1. </w:t>
      </w:r>
    </w:p>
    <w:p w14:paraId="0D7DDCDB" w14:textId="77777777" w:rsidR="00223A02" w:rsidRPr="00617176" w:rsidRDefault="00223A02" w:rsidP="00460C69">
      <w:r w:rsidRPr="00617176">
        <w:t xml:space="preserve">In addition, institutional specificities in France, Germany and Slovenia are an important determinant for projecting LTC expenditure. Their implementation in the projections is described in section 3.4.2. </w:t>
      </w:r>
    </w:p>
    <w:p w14:paraId="308E7010" w14:textId="77777777" w:rsidR="00223A02" w:rsidRPr="00617176" w:rsidRDefault="00223A02" w:rsidP="00460C69">
      <w:pPr>
        <w:pStyle w:val="NumberedHeading1"/>
        <w:tabs>
          <w:tab w:val="left" w:pos="567"/>
        </w:tabs>
      </w:pPr>
      <w:bookmarkStart w:id="217" w:name="_Toc511664444"/>
      <w:r w:rsidRPr="00617176">
        <w:t>3.3.</w:t>
      </w:r>
      <w:r w:rsidRPr="00617176">
        <w:tab/>
        <w:t>Overview of the projection methodology</w:t>
      </w:r>
      <w:bookmarkEnd w:id="217"/>
    </w:p>
    <w:p w14:paraId="636DD99F" w14:textId="77777777" w:rsidR="00223A02" w:rsidRPr="00617176" w:rsidRDefault="00223A02" w:rsidP="00460C69">
      <w:pPr>
        <w:pStyle w:val="NumberedHeading2"/>
        <w:tabs>
          <w:tab w:val="left" w:pos="567"/>
        </w:tabs>
      </w:pPr>
      <w:r w:rsidRPr="00617176">
        <w:t>3.3.1.</w:t>
      </w:r>
      <w:r w:rsidRPr="00617176">
        <w:tab/>
        <w:t xml:space="preserve">The model </w:t>
      </w:r>
    </w:p>
    <w:p w14:paraId="0842915E" w14:textId="77777777" w:rsidR="00223A02" w:rsidRPr="00617176" w:rsidRDefault="00223A02" w:rsidP="00460C69">
      <w:r w:rsidRPr="00617176">
        <w:t>The macro-simulation model captures the effect of demographic and non-demographic variables on future public expenditure on long-term care. The model includes many of the described drivers of care, based on data availability considerations (</w:t>
      </w:r>
      <w:r w:rsidRPr="00617176">
        <w:rPr>
          <w:rStyle w:val="Referencafusnote"/>
        </w:rPr>
        <w:footnoteReference w:id="114"/>
      </w:r>
      <w:r w:rsidRPr="00617176">
        <w:t xml:space="preserve">). </w:t>
      </w:r>
    </w:p>
    <w:p w14:paraId="7CCF6623" w14:textId="77777777" w:rsidR="00223A02" w:rsidRPr="00617176" w:rsidRDefault="00223A02" w:rsidP="00460C69">
      <w:r w:rsidRPr="00617176">
        <w:br w:type="column"/>
      </w:r>
      <w:r w:rsidRPr="00617176">
        <w:lastRenderedPageBreak/>
        <w:t xml:space="preserve">The methodology proposes sensitivity analysis for key assumptions based on a series of scenarios estimating changes in: </w:t>
      </w:r>
    </w:p>
    <w:p w14:paraId="3B8E4640" w14:textId="77777777" w:rsidR="00223A02" w:rsidRPr="00617176" w:rsidRDefault="00223A02" w:rsidP="00223A02">
      <w:pPr>
        <w:pStyle w:val="Grafikeoznake"/>
        <w:numPr>
          <w:ilvl w:val="0"/>
          <w:numId w:val="1"/>
        </w:numPr>
      </w:pPr>
      <w:r w:rsidRPr="00617176">
        <w:t xml:space="preserve">the future relative numbers of </w:t>
      </w:r>
      <w:r w:rsidRPr="00617176">
        <w:rPr>
          <w:u w:val="single"/>
        </w:rPr>
        <w:t>elderly people</w:t>
      </w:r>
      <w:r w:rsidRPr="00617176">
        <w:t>, reflecting changes in the population projections;</w:t>
      </w:r>
    </w:p>
    <w:p w14:paraId="5C29D0B4" w14:textId="77777777" w:rsidR="00223A02" w:rsidRPr="00617176" w:rsidRDefault="00223A02" w:rsidP="00223A02">
      <w:pPr>
        <w:pStyle w:val="Grafikeoznake"/>
        <w:numPr>
          <w:ilvl w:val="0"/>
          <w:numId w:val="1"/>
        </w:numPr>
      </w:pPr>
      <w:r w:rsidRPr="00617176">
        <w:t xml:space="preserve">the future numbers of </w:t>
      </w:r>
      <w:r w:rsidRPr="00617176">
        <w:rPr>
          <w:u w:val="single"/>
        </w:rPr>
        <w:t>dependent</w:t>
      </w:r>
      <w:r w:rsidRPr="00617176">
        <w:t xml:space="preserve"> elderly people, by applying changes to the prevalence rates of dependency;</w:t>
      </w:r>
    </w:p>
    <w:p w14:paraId="4B385FDC" w14:textId="77777777" w:rsidR="00223A02" w:rsidRPr="00617176" w:rsidRDefault="00223A02" w:rsidP="00223A02">
      <w:pPr>
        <w:pStyle w:val="Grafikeoznake"/>
        <w:numPr>
          <w:ilvl w:val="0"/>
          <w:numId w:val="1"/>
        </w:numPr>
      </w:pPr>
      <w:r w:rsidRPr="00617176">
        <w:t xml:space="preserve">the </w:t>
      </w:r>
      <w:r w:rsidRPr="00617176">
        <w:rPr>
          <w:u w:val="single"/>
        </w:rPr>
        <w:t>balance</w:t>
      </w:r>
      <w:r w:rsidRPr="00617176">
        <w:t xml:space="preserve"> between </w:t>
      </w:r>
      <w:r w:rsidRPr="00617176">
        <w:rPr>
          <w:u w:val="single"/>
        </w:rPr>
        <w:t>formal and informal care</w:t>
      </w:r>
      <w:r w:rsidRPr="00617176">
        <w:t xml:space="preserve"> provision;</w:t>
      </w:r>
    </w:p>
    <w:p w14:paraId="4CC245ED" w14:textId="77777777" w:rsidR="00223A02" w:rsidRPr="00617176" w:rsidRDefault="00223A02" w:rsidP="00223A02">
      <w:pPr>
        <w:pStyle w:val="Grafikeoznake"/>
        <w:numPr>
          <w:ilvl w:val="0"/>
          <w:numId w:val="1"/>
        </w:numPr>
      </w:pPr>
      <w:r w:rsidRPr="00617176">
        <w:t xml:space="preserve">the </w:t>
      </w:r>
      <w:r w:rsidRPr="00617176">
        <w:rPr>
          <w:u w:val="single"/>
        </w:rPr>
        <w:t>balance</w:t>
      </w:r>
      <w:r w:rsidRPr="00617176">
        <w:t xml:space="preserve"> between </w:t>
      </w:r>
      <w:r w:rsidRPr="00617176">
        <w:rPr>
          <w:u w:val="single"/>
        </w:rPr>
        <w:t>home care and institutional care</w:t>
      </w:r>
      <w:r w:rsidRPr="00617176">
        <w:t xml:space="preserve"> within the formal care system; and</w:t>
      </w:r>
    </w:p>
    <w:p w14:paraId="5401681E" w14:textId="77777777" w:rsidR="00223A02" w:rsidRPr="00617176" w:rsidRDefault="00223A02" w:rsidP="00223A02">
      <w:pPr>
        <w:pStyle w:val="Grafikeoznake"/>
        <w:numPr>
          <w:ilvl w:val="0"/>
          <w:numId w:val="1"/>
        </w:numPr>
      </w:pPr>
      <w:r w:rsidRPr="00617176">
        <w:t xml:space="preserve"> the </w:t>
      </w:r>
      <w:r w:rsidRPr="00617176">
        <w:rPr>
          <w:u w:val="single"/>
        </w:rPr>
        <w:t>unit costs</w:t>
      </w:r>
      <w:r w:rsidRPr="00617176">
        <w:t xml:space="preserve"> of care.</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223A02" w:rsidRPr="00617176" w14:paraId="1BE43343" w14:textId="77777777" w:rsidTr="00460C69">
        <w:trPr>
          <w:cantSplit/>
        </w:trPr>
        <w:tc>
          <w:tcPr>
            <w:tcW w:w="8505" w:type="dxa"/>
            <w:shd w:val="clear" w:color="auto" w:fill="auto"/>
          </w:tcPr>
          <w:p w14:paraId="55042AA1" w14:textId="77777777" w:rsidR="00223A02" w:rsidRPr="00617176" w:rsidRDefault="00223A02" w:rsidP="00460C69">
            <w:pPr>
              <w:pStyle w:val="GraphTitle"/>
              <w:rPr>
                <w:b/>
              </w:rPr>
            </w:pPr>
            <w:r w:rsidRPr="00617176">
              <w:lastRenderedPageBreak/>
              <w:fldChar w:fldCharType="begin"/>
            </w:r>
            <w:r w:rsidRPr="009F3ED8">
              <w:instrText xml:space="preserve"> TC "</w:instrText>
            </w:r>
            <w:bookmarkStart w:id="218" w:name="_Toc511664696"/>
            <w:r w:rsidRPr="009F3ED8">
              <w:instrText>II.3.9.</w:instrText>
            </w:r>
            <w:r w:rsidRPr="009F3ED8">
              <w:tab/>
              <w:instrText>Schematic presentation of the projection methodology</w:instrText>
            </w:r>
            <w:bookmarkEnd w:id="218"/>
            <w:r w:rsidRPr="009F3ED8">
              <w:instrText xml:space="preserve">" \fgraph \l 5 </w:instrText>
            </w:r>
            <w:r w:rsidRPr="00617176">
              <w:fldChar w:fldCharType="end"/>
            </w:r>
            <w:r w:rsidRPr="00617176">
              <w:t>Graph II.3.9:</w:t>
            </w:r>
            <w:r w:rsidRPr="00617176">
              <w:rPr>
                <w:b/>
              </w:rPr>
              <w:tab/>
              <w:t>Schematic presentation of the projection methodology</w:t>
            </w:r>
          </w:p>
        </w:tc>
      </w:tr>
      <w:tr w:rsidR="00223A02" w:rsidRPr="00617176" w14:paraId="43F5E20F" w14:textId="77777777" w:rsidTr="00460C69">
        <w:trPr>
          <w:cantSplit/>
        </w:trPr>
        <w:tc>
          <w:tcPr>
            <w:tcW w:w="8505" w:type="dxa"/>
            <w:shd w:val="clear" w:color="auto" w:fill="auto"/>
          </w:tcPr>
          <w:p w14:paraId="1C8F63D7" w14:textId="77777777" w:rsidR="00223A02" w:rsidRPr="00617176" w:rsidRDefault="00223A02" w:rsidP="00460C69">
            <w:pPr>
              <w:pStyle w:val="GraphShape"/>
              <w:rPr>
                <w:sz w:val="2"/>
              </w:rPr>
            </w:pPr>
            <w:r w:rsidRPr="00617176">
              <w:rPr>
                <w:noProof/>
                <w:sz w:val="2"/>
                <w:lang w:val="hr-HR" w:eastAsia="hr-HR"/>
              </w:rPr>
              <w:drawing>
                <wp:inline distT="0" distB="0" distL="0" distR="0" wp14:anchorId="489E2134" wp14:editId="756C9B95">
                  <wp:extent cx="5400929" cy="1942556"/>
                  <wp:effectExtent l="0" t="0" r="9525" b="635"/>
                  <wp:docPr id="472" name="Picture 472" descr="&lt;nbr&gt;&lt;GETTEXTFROMWORD&gt;&lt;/nbr&gt;&#10;&lt;title&gt;&lt;GETTEXTFROMWORD&gt;&lt;/title&gt;&#10;&lt;id&gt;02d46e47-4d28-4dd5-a48d-a66831cc3e28&lt;/id&gt;&#10;&lt;srcType&gt;IMAGE&lt;/srcType&gt;&#10;&lt;srcPath&gt;U:\Budgetary projections 2018\Reports\2018 AR\Tables_and_graphs\Part II Chapter 3\&lt;/srcPath&gt;&#10;&lt;srcName&gt;Graph II.3.9.GIF&lt;/srcName&gt;&#10;&lt;type&gt;graph&lt;/typ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3-26T11:53:37&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5400929" cy="1942556"/>
                          </a:xfrm>
                          <a:prstGeom prst="rect">
                            <a:avLst/>
                          </a:prstGeom>
                          <a:noFill/>
                          <a:ln>
                            <a:noFill/>
                          </a:ln>
                        </pic:spPr>
                      </pic:pic>
                    </a:graphicData>
                  </a:graphic>
                </wp:inline>
              </w:drawing>
            </w:r>
          </w:p>
        </w:tc>
      </w:tr>
      <w:tr w:rsidR="00223A02" w:rsidRPr="00617176" w14:paraId="68B7DF17" w14:textId="77777777" w:rsidTr="00460C69">
        <w:trPr>
          <w:cantSplit/>
        </w:trPr>
        <w:tc>
          <w:tcPr>
            <w:tcW w:w="8505" w:type="dxa"/>
            <w:shd w:val="clear" w:color="auto" w:fill="auto"/>
          </w:tcPr>
          <w:p w14:paraId="4AEE20B5" w14:textId="77777777" w:rsidR="00223A02" w:rsidRDefault="00223A02" w:rsidP="00460C69">
            <w:pPr>
              <w:pStyle w:val="GraphFootnote"/>
              <w:keepNext/>
            </w:pPr>
            <w:r>
              <w:t>Notes: The projections need to be viewed in the context of the overall projection exercise. Consequently, the common elements of all scenarios are the population projections provided by Eurostat for 2016 to 2070 and the baseline assumptions on labour force and macroeconomic variables agreed by the EC (DG ECFIN) and the EPC (AWG). The age and gender-specific profiles of public expenditure (on long-term care) per user are provided by Member States, or proxied by the EU-average. They are applied to the demographic projections provided by Eurostat to calculate nominal spending on long-term care. As for cash benefits, they are assumed to grow in line with GDP per capita; their actual unit cost is seldom available, and therefore could not be used in this projection exercise. Further, the necessary age and sex distribution of cash recipients has not been provided by a number of Member States.</w:t>
            </w:r>
          </w:p>
          <w:p w14:paraId="2C698FA1" w14:textId="77777777" w:rsidR="00223A02" w:rsidRPr="00617176" w:rsidRDefault="00223A02" w:rsidP="00460C69">
            <w:pPr>
              <w:pStyle w:val="GraphSource"/>
              <w:keepNext/>
            </w:pPr>
            <w:r w:rsidRPr="00617176">
              <w:rPr>
                <w:b/>
                <w:i/>
              </w:rPr>
              <w:t>Source:</w:t>
            </w:r>
            <w:r w:rsidRPr="00617176">
              <w:t xml:space="preserve">  European Commission, EPC. </w:t>
            </w:r>
          </w:p>
        </w:tc>
      </w:tr>
    </w:tbl>
    <w:p w14:paraId="70F659C2" w14:textId="77777777" w:rsidR="00223A02" w:rsidRPr="00617176" w:rsidRDefault="00223A02" w:rsidP="00460C69">
      <w:r w:rsidRPr="00617176">
        <w:t xml:space="preserve">These macro-simulation models split the whole population into groups which are assigned certain characteristics (e.g. age, gender, per capita expenditure, health status, type of care/support…). Changes in the (relative) size or features of these groups lead to expenditure changes over time. A schematic presentation of the methodology can be found in Graph </w:t>
      </w:r>
      <w:r w:rsidRPr="00617176">
        <w:fldChar w:fldCharType="begin"/>
      </w:r>
      <w:r w:rsidRPr="00617176">
        <w:instrText xml:space="preserve"> QUOTE "II.3.9"</w:instrText>
      </w:r>
      <w:r w:rsidRPr="00617176">
        <w:fldChar w:fldCharType="begin">
          <w:fldData xml:space="preserve">QwBSAE8AUwBTAFIARQBGAEUAUgBFAE4AQwBFACoARwBSAEEAUABIACoAMAAyAGQANAA2AGUANAA3
AC0ANABkADIAOAAtADQAZABkADUALQBhADQAOABkAC0AYQA2ADYAOAAzADEAYwBjADMAZQAyADgA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II.3.9</w:t>
      </w:r>
      <w:r w:rsidRPr="00617176">
        <w:fldChar w:fldCharType="end"/>
      </w:r>
      <w:r w:rsidRPr="00617176">
        <w:t>. A more detailed description can be retrieved in Annex IV.</w:t>
      </w:r>
    </w:p>
    <w:p w14:paraId="35DE509A" w14:textId="77777777" w:rsidR="00223A02" w:rsidRPr="00617176" w:rsidRDefault="00223A02" w:rsidP="00460C69">
      <w:r w:rsidRPr="00617176">
        <w:t>In past exercises it has been decided that the base-case long-term budgetary projections should illustrate the policy-neutral situation. This is the situation where future changes in government policy are not considered (</w:t>
      </w:r>
      <w:r w:rsidRPr="00617176">
        <w:rPr>
          <w:rStyle w:val="Referencafusnote"/>
        </w:rPr>
        <w:footnoteReference w:id="115"/>
      </w:r>
      <w:r w:rsidRPr="00617176">
        <w:t>). In other words, any potential future institutional or legal changes to the financing and organisation of long-term care systems are not reflected in the methodology used for projecting expenditure, except when specifically and clearly stated.</w:t>
      </w:r>
    </w:p>
    <w:p w14:paraId="2CC6F7CB" w14:textId="77777777" w:rsidR="00223A02" w:rsidRPr="00617176" w:rsidRDefault="00223A02" w:rsidP="00460C69">
      <w:r w:rsidRPr="00617176">
        <w:t>Pressure for increased public provision and financing of long-term care services may grow substantially in coming decades, especially in Member States where the bulk of long-term care is currently provided informally. Therefore, additional "policy scenarios" have been prepared to illustrate the impact of possible future policy changes on that matter, such as Member States deciding to provide more formal LTC services.</w:t>
      </w:r>
    </w:p>
    <w:p w14:paraId="681CE409" w14:textId="77777777" w:rsidR="00223A02" w:rsidRPr="00617176" w:rsidRDefault="00223A02" w:rsidP="00460C69">
      <w:pPr>
        <w:pStyle w:val="NumberedHeading2"/>
        <w:tabs>
          <w:tab w:val="left" w:pos="567"/>
        </w:tabs>
      </w:pPr>
      <w:r w:rsidRPr="00617176">
        <w:t>3.3.2.</w:t>
      </w:r>
      <w:r w:rsidRPr="00617176">
        <w:tab/>
        <w:t xml:space="preserve">Scenarios </w:t>
      </w:r>
    </w:p>
    <w:p w14:paraId="37651D70" w14:textId="77777777" w:rsidR="00223A02" w:rsidRPr="00617176" w:rsidRDefault="00223A02" w:rsidP="00460C69">
      <w:r w:rsidRPr="00617176">
        <w:t>This methodology allows for the examination of different scenarios regarding the evolution of dependency rates, unit costs and policy settings. Therefore, a series of scenarios and sensitivity tests can be used to assess the potential impact of each of the determinants on future public expenditure on long-term care. Building on the 2015 EC-EPC projections exercise (</w:t>
      </w:r>
      <w:r w:rsidRPr="00617176">
        <w:rPr>
          <w:rStyle w:val="Referencafusnote"/>
        </w:rPr>
        <w:footnoteReference w:id="116"/>
      </w:r>
      <w:r w:rsidRPr="00617176">
        <w:t xml:space="preserve">), the present exercise maintains most of the existing scenarios and sensitivity tests while attempting to improve the specification of the reference scenario. Table </w:t>
      </w:r>
      <w:r w:rsidRPr="00617176">
        <w:fldChar w:fldCharType="begin"/>
      </w:r>
      <w:r w:rsidRPr="00617176">
        <w:instrText xml:space="preserve"> QUOTE "II.3.1" </w:instrText>
      </w:r>
      <w:r w:rsidRPr="00617176">
        <w:fldChar w:fldCharType="separate"/>
      </w:r>
      <w:r w:rsidR="009F3ED8" w:rsidRPr="00617176">
        <w:t>II.3.1</w:t>
      </w:r>
      <w:r w:rsidRPr="00617176">
        <w:fldChar w:fldCharType="end"/>
      </w:r>
      <w:r w:rsidRPr="00617176">
        <w:t xml:space="preserve"> shows an overview of all baseline characteristics of the respective scenarios.</w:t>
      </w:r>
    </w:p>
    <w:p w14:paraId="3D27284E" w14:textId="77777777" w:rsidR="00223A02" w:rsidRPr="00617176" w:rsidRDefault="00223A02" w:rsidP="00460C69">
      <w:r w:rsidRPr="00617176">
        <w:t xml:space="preserve">The analysis tries to identify the impact of each quantifiable determinant separately, on the basis of hypothetical assumptions like an estimated guess or a "what if" situation. Therefore, the results of </w:t>
      </w:r>
      <w:r w:rsidRPr="00617176">
        <w:lastRenderedPageBreak/>
        <w:fldChar w:fldCharType="begin"/>
      </w:r>
      <w:r w:rsidRPr="009F3ED8">
        <w:instrText xml:space="preserve"> TC "</w:instrText>
      </w:r>
      <w:bookmarkStart w:id="219" w:name="_Toc511664563"/>
      <w:r w:rsidRPr="009F3ED8">
        <w:instrText>II.3.1.</w:instrText>
      </w:r>
      <w:r w:rsidRPr="009F3ED8">
        <w:tab/>
        <w:instrText>Overview of different scenarios used to project long-term care spending</w:instrText>
      </w:r>
      <w:bookmarkEnd w:id="219"/>
      <w:r w:rsidRPr="009F3ED8">
        <w:instrText xml:space="preserve">" \ftable \l 5 </w:instrText>
      </w:r>
      <w:r w:rsidRPr="00617176">
        <w:fldChar w:fldCharType="end"/>
      </w:r>
      <w:r w:rsidRPr="00617176">
        <w:t>the non-baseline scenario projections should not be interpreted as forecast of expenditure as for example particular policy/institutional settings in Member States are not taken into account.</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223A02" w:rsidRPr="00617176" w14:paraId="5B9D9B92" w14:textId="77777777" w:rsidTr="00460C69">
        <w:trPr>
          <w:cantSplit/>
          <w:trHeight w:val="20"/>
        </w:trPr>
        <w:tc>
          <w:tcPr>
            <w:tcW w:w="8505" w:type="dxa"/>
            <w:shd w:val="clear" w:color="auto" w:fill="auto"/>
          </w:tcPr>
          <w:p w14:paraId="22421147" w14:textId="77777777" w:rsidR="00223A02" w:rsidRPr="00617176" w:rsidRDefault="00223A02" w:rsidP="00460C69">
            <w:pPr>
              <w:pStyle w:val="SlimCell"/>
              <w:keepNext/>
            </w:pPr>
          </w:p>
        </w:tc>
      </w:tr>
      <w:tr w:rsidR="00223A02" w:rsidRPr="00617176" w14:paraId="0F2DFC0D" w14:textId="77777777" w:rsidTr="00460C69">
        <w:trPr>
          <w:cantSplit/>
        </w:trPr>
        <w:tc>
          <w:tcPr>
            <w:tcW w:w="8505" w:type="dxa"/>
            <w:shd w:val="clear" w:color="auto" w:fill="auto"/>
          </w:tcPr>
          <w:p w14:paraId="48661485" w14:textId="77777777" w:rsidR="00223A02" w:rsidRPr="00617176" w:rsidRDefault="00223A02" w:rsidP="00460C69">
            <w:pPr>
              <w:pStyle w:val="TableTitle"/>
              <w:rPr>
                <w:b/>
              </w:rPr>
            </w:pPr>
            <w:r w:rsidRPr="00617176">
              <w:t>Table II.3.1:</w:t>
            </w:r>
            <w:r w:rsidRPr="00617176">
              <w:rPr>
                <w:b/>
              </w:rPr>
              <w:tab/>
              <w:t>Overview of different scenarios used to project long-term care spending</w:t>
            </w:r>
          </w:p>
        </w:tc>
      </w:tr>
      <w:tr w:rsidR="00223A02" w:rsidRPr="00617176" w14:paraId="7CAAB1C9" w14:textId="77777777" w:rsidTr="00460C69">
        <w:trPr>
          <w:cantSplit/>
        </w:trPr>
        <w:tc>
          <w:tcPr>
            <w:tcW w:w="8505" w:type="dxa"/>
            <w:shd w:val="clear" w:color="auto" w:fill="auto"/>
          </w:tcPr>
          <w:p w14:paraId="722B2801" w14:textId="77777777" w:rsidR="00223A02" w:rsidRPr="00617176" w:rsidRDefault="00223A02" w:rsidP="00460C69">
            <w:pPr>
              <w:pStyle w:val="TableShape"/>
              <w:rPr>
                <w:sz w:val="2"/>
              </w:rPr>
            </w:pPr>
            <w:r w:rsidRPr="00617176">
              <w:rPr>
                <w:noProof/>
                <w:sz w:val="2"/>
                <w:lang w:val="hr-HR" w:eastAsia="hr-HR"/>
              </w:rPr>
              <w:drawing>
                <wp:inline distT="0" distB="0" distL="0" distR="0" wp14:anchorId="62999F35" wp14:editId="3A7DACAA">
                  <wp:extent cx="5400929" cy="3193018"/>
                  <wp:effectExtent l="0" t="0" r="0" b="7620"/>
                  <wp:docPr id="473" name="Picture 473" descr="&lt;nbr&gt;&lt;GETTEXTFROMWORD&gt;&lt;/nbr&gt;&#10;&lt;title&gt;&lt;GETTEXTFROMWORD&gt;&lt;/title&gt;&#10;&lt;id&gt;7a7d673b-a4ad-4a57-87fb-0e5f88a51aa4&lt;/id&gt;&#10;&lt;srcType&gt;EXCEL&lt;/srcType&gt;&#10;&lt;srcPath&gt;U:\Budgetary projections 2018\Reports\2018 AR\Tables_and_graphs\Part II Chapter 3\&lt;/srcPath&gt;&#10;&lt;srcName&gt;Tables &amp; charts - CHAP 3.xlsx&lt;/srcName&gt;&#10;&lt;type&gt;table&lt;/type&gt;&#10; &lt;srcSheet&gt;Scenarios Table&lt;/srcSheet&gt;&#10; &lt;srcRange&gt;R2C2:R9C13&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3-26T12:08:13&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400929" cy="3193018"/>
                          </a:xfrm>
                          <a:prstGeom prst="rect">
                            <a:avLst/>
                          </a:prstGeom>
                          <a:noFill/>
                          <a:ln>
                            <a:noFill/>
                          </a:ln>
                        </pic:spPr>
                      </pic:pic>
                    </a:graphicData>
                  </a:graphic>
                </wp:inline>
              </w:drawing>
            </w:r>
          </w:p>
        </w:tc>
      </w:tr>
      <w:tr w:rsidR="00223A02" w:rsidRPr="00617176" w14:paraId="35C818CE" w14:textId="77777777" w:rsidTr="00460C69">
        <w:trPr>
          <w:cantSplit/>
        </w:trPr>
        <w:tc>
          <w:tcPr>
            <w:tcW w:w="8505" w:type="dxa"/>
            <w:shd w:val="clear" w:color="auto" w:fill="auto"/>
          </w:tcPr>
          <w:p w14:paraId="3B735CF0" w14:textId="77777777" w:rsidR="00223A02" w:rsidRDefault="00223A02" w:rsidP="00460C69">
            <w:pPr>
              <w:pStyle w:val="TableFootnote"/>
            </w:pPr>
            <w:r>
              <w:t>Notes: * Referred to in the 2015 Ageing Report as the "constant disability scenario".</w:t>
            </w:r>
            <w:r>
              <w:br/>
              <w:t>** Unit cost development for the reference scenario also includes different country-specific assumptions for France, Germany and Slovenia.</w:t>
            </w:r>
          </w:p>
          <w:p w14:paraId="53C132D6" w14:textId="77777777" w:rsidR="00223A02" w:rsidRPr="00617176" w:rsidRDefault="00223A02" w:rsidP="00460C69">
            <w:pPr>
              <w:pStyle w:val="TableSource"/>
            </w:pPr>
            <w:r w:rsidRPr="00617176">
              <w:rPr>
                <w:b/>
                <w:i/>
              </w:rPr>
              <w:t>Source:</w:t>
            </w:r>
            <w:r w:rsidRPr="00617176">
              <w:t xml:space="preserve"> Commission services, EPC.</w:t>
            </w:r>
          </w:p>
        </w:tc>
      </w:tr>
      <w:tr w:rsidR="00223A02" w:rsidRPr="00617176" w14:paraId="50DB4929" w14:textId="77777777" w:rsidTr="00460C69">
        <w:trPr>
          <w:cantSplit/>
          <w:trHeight w:val="20"/>
        </w:trPr>
        <w:tc>
          <w:tcPr>
            <w:tcW w:w="8505" w:type="dxa"/>
            <w:shd w:val="clear" w:color="auto" w:fill="auto"/>
          </w:tcPr>
          <w:p w14:paraId="586C613D" w14:textId="77777777" w:rsidR="00223A02" w:rsidRPr="00617176" w:rsidRDefault="00223A02" w:rsidP="00460C69">
            <w:pPr>
              <w:pStyle w:val="SlimCell"/>
            </w:pPr>
          </w:p>
        </w:tc>
      </w:tr>
    </w:tbl>
    <w:p w14:paraId="0792883C" w14:textId="77777777" w:rsidR="00223A02" w:rsidRPr="00617176" w:rsidRDefault="00223A02" w:rsidP="00460C69">
      <w:r w:rsidRPr="00617176">
        <w:t xml:space="preserve">The scenarios used in these projections retain the methodology used for the 2015 Ageing Report, with the exception of the reference scenario, which has been updated (explained hereinafter). </w:t>
      </w:r>
    </w:p>
    <w:p w14:paraId="1B810D36" w14:textId="77777777" w:rsidR="00223A02" w:rsidRPr="00617176" w:rsidRDefault="00223A02" w:rsidP="00460C69">
      <w:r w:rsidRPr="00617176">
        <w:t xml:space="preserve">I. The </w:t>
      </w:r>
      <w:r w:rsidRPr="00617176">
        <w:rPr>
          <w:b/>
          <w:i/>
        </w:rPr>
        <w:t>"demographic scenario"</w:t>
      </w:r>
      <w:r w:rsidRPr="00617176">
        <w:t xml:space="preserve"> assumes that the base year shares of the dependent population who receive either informal care, formal care at home or institutional care are kept constant by age cohort over the projection period. Those constant shares are then applied to the projected changes in the dependent population. Thus, the dependent population evolves precisely in line with the total elderly population and all gains in life expectancy are spent in bad health/with disability. </w:t>
      </w:r>
    </w:p>
    <w:p w14:paraId="40E498EC" w14:textId="77777777" w:rsidR="00223A02" w:rsidRPr="00617176" w:rsidRDefault="00223A02" w:rsidP="00460C69">
      <w:r w:rsidRPr="00617176">
        <w:t xml:space="preserve">In Annex 4 the so-called “age-gender expenditure profiles”, i.e. the relationship between the age of an average individual and his/her demand for long-term care, are shown. The graph plots each age-gender specific average public spending on LTC </w:t>
      </w:r>
      <w:r w:rsidRPr="00617176">
        <w:rPr>
          <w:u w:val="single"/>
        </w:rPr>
        <w:t>per user</w:t>
      </w:r>
      <w:r w:rsidRPr="00617176">
        <w:t xml:space="preserve"> (and not per capita as in the case of health care) as a share of GDP per capita in the NMS and EU15, as used in this report. Over the projection period unit costs of care are assumed to evolve in line with GDP per capita.</w:t>
      </w:r>
    </w:p>
    <w:p w14:paraId="1CCB7A71" w14:textId="77777777" w:rsidR="00223A02" w:rsidRPr="00617176" w:rsidRDefault="00223A02" w:rsidP="00460C69">
      <w:r w:rsidRPr="00617176">
        <w:t xml:space="preserve">II. The </w:t>
      </w:r>
      <w:r w:rsidRPr="00617176">
        <w:rPr>
          <w:b/>
          <w:i/>
        </w:rPr>
        <w:t>"base case scenario"</w:t>
      </w:r>
      <w:r w:rsidRPr="00617176">
        <w:t xml:space="preserve"> amends unit cost growth assumptions of the </w:t>
      </w:r>
      <w:r w:rsidRPr="00617176">
        <w:rPr>
          <w:i/>
        </w:rPr>
        <w:t>"demographic scenario"</w:t>
      </w:r>
      <w:r w:rsidRPr="00617176">
        <w:t>.</w:t>
      </w:r>
    </w:p>
    <w:p w14:paraId="4524F952" w14:textId="77777777" w:rsidR="00223A02" w:rsidRPr="00617176" w:rsidRDefault="00223A02" w:rsidP="00460C69">
      <w:r w:rsidRPr="00617176">
        <w:t>Unit costs of in-kind care grow in line with GDP per worker, rather than GDP per capita. This reflects the highly labour-intensive nature of LTC and the fact that productivity gains are expected to be particularly slow in this sector, as the services are difficult to automate or re-engineer. Given the current deficit of formal care provision, the LTC market is expected to be supply-driven rather than demand-driven. Therefore wages are assumed to be the main driver for unit costs for in-kind benefits.</w:t>
      </w:r>
    </w:p>
    <w:p w14:paraId="367DA870" w14:textId="77777777" w:rsidR="00223A02" w:rsidRPr="00617176" w:rsidRDefault="00223A02" w:rsidP="00460C69">
      <w:r w:rsidRPr="00617176">
        <w:t>By contrast, unit costs for cash benefits are considered to be more related to a form of income support, so they are assumed to evolve in line with GDP per capita growth.</w:t>
      </w:r>
    </w:p>
    <w:p w14:paraId="0DB3AEE0" w14:textId="77777777" w:rsidR="00223A02" w:rsidRPr="00617176" w:rsidRDefault="00223A02" w:rsidP="00460C69">
      <w:r w:rsidRPr="00617176">
        <w:lastRenderedPageBreak/>
        <w:t xml:space="preserve">III. The </w:t>
      </w:r>
      <w:r w:rsidRPr="00617176">
        <w:rPr>
          <w:b/>
          <w:i/>
        </w:rPr>
        <w:t>"high life expectancy scenario"</w:t>
      </w:r>
      <w:r w:rsidRPr="00617176">
        <w:t xml:space="preserve"> models the budgetary impact of alternative demographic assumptions, according to which life expectancy is higher for all ages than in the </w:t>
      </w:r>
      <w:r w:rsidRPr="00617176">
        <w:rPr>
          <w:i/>
        </w:rPr>
        <w:t>"AWG reference scenario"</w:t>
      </w:r>
      <w:r w:rsidRPr="00617176">
        <w:t>. In this scenario, as in the health care and pension  models, it is assumed that life expectancy at birth is higher by two years.</w:t>
      </w:r>
    </w:p>
    <w:p w14:paraId="41488737" w14:textId="77777777" w:rsidR="00223A02" w:rsidRPr="00617176" w:rsidRDefault="00223A02" w:rsidP="00460C69">
      <w:r w:rsidRPr="00617176">
        <w:t>The rationale for examining the effect of longer lives is twofold. First, there is a marked increase in public expenditure with older age (i.e. 80 and more). In fact, the age profile for long-term care expenditure tends to be steeper at the highest age groups than that for health expenditure, and the share of institutionalised individuals increases sharply among persons aged over 80. Second, the higher age groups are also the part of the demographic projections which are likely to be the most uncertain.</w:t>
      </w:r>
    </w:p>
    <w:p w14:paraId="16781988" w14:textId="77777777" w:rsidR="00223A02" w:rsidRPr="00617176" w:rsidRDefault="00223A02" w:rsidP="00460C69">
      <w:r w:rsidRPr="00617176">
        <w:t xml:space="preserve">IV. The </w:t>
      </w:r>
      <w:r w:rsidRPr="00617176">
        <w:rPr>
          <w:b/>
          <w:i/>
        </w:rPr>
        <w:t>"healthy ageing scenario"</w:t>
      </w:r>
      <w:r w:rsidRPr="00617176">
        <w:t xml:space="preserve"> (referred to in the 2015 Ageing Report as the "constant disability scenario") reflects an alternative assumption about trends in age-specific ADL-dependency rates to model a relative decrease in morbidity. It is inspired by the so-called "</w:t>
      </w:r>
      <w:r w:rsidRPr="00617176">
        <w:rPr>
          <w:i/>
        </w:rPr>
        <w:t>relative compression of morbidity</w:t>
      </w:r>
      <w:r w:rsidRPr="00617176">
        <w:t>", and it is analogous to the "</w:t>
      </w:r>
      <w:r w:rsidRPr="00617176">
        <w:rPr>
          <w:i/>
        </w:rPr>
        <w:t>Healthy ageing</w:t>
      </w:r>
      <w:r w:rsidRPr="00617176">
        <w:t xml:space="preserve">" performed in the framework of health care expenditure projections. It assumes that the age-specific disability profile shifts in line with life-expectancy, and so the disability rate of a specific age group in the future is equal to that of a younger cohort today, with the shift corresponding to the shift in life-expectancy. This results in a gradual decrease over time in disability prevalence for each age cohort. </w:t>
      </w:r>
    </w:p>
    <w:p w14:paraId="18783400" w14:textId="77777777" w:rsidR="00223A02" w:rsidRPr="00617176" w:rsidRDefault="00223A02" w:rsidP="00460C69">
      <w:r w:rsidRPr="00617176">
        <w:t>V. Pressure for increased public financing and of LTC services may grow substantially in coming decades, especially in Member States where the bulk of long-term care is currently provided informally. The extent to which this will translate into (direct) public expenditure depends on future policy decisions on the funding of the LTC system and its institutional setting.</w:t>
      </w:r>
    </w:p>
    <w:p w14:paraId="566FA350" w14:textId="77777777" w:rsidR="00223A02" w:rsidRPr="00617176" w:rsidRDefault="00223A02" w:rsidP="00460C69">
      <w:r w:rsidRPr="00617176">
        <w:t xml:space="preserve">The </w:t>
      </w:r>
      <w:r w:rsidRPr="00617176">
        <w:rPr>
          <w:b/>
          <w:i/>
        </w:rPr>
        <w:t>"shift to formal care scenario"</w:t>
      </w:r>
      <w:r w:rsidRPr="00617176">
        <w:t xml:space="preserve"> policy-change scenario is run to assess the impact of a demand-driven increase in the (public) provision of formal care, replacing care provided in an informal setting. In particular, this scenario examines the budgetary impact of a progressive shift into the formal sector of care of 1 percentage point per year </w:t>
      </w:r>
      <w:r w:rsidRPr="00617176">
        <w:lastRenderedPageBreak/>
        <w:t xml:space="preserve">of dependent persons who have so far received only informal care. This extra shift takes place during the first ten years of the projection period only. </w:t>
      </w:r>
    </w:p>
    <w:p w14:paraId="13D92090" w14:textId="77777777" w:rsidR="00223A02" w:rsidRPr="00617176" w:rsidRDefault="00223A02" w:rsidP="00460C69">
      <w:r w:rsidRPr="00617176">
        <w:t>The shift from informal to formal care maintains the current shares of home care and institutional care in total formal care. In other words, if currently 10% of the dependents receiving formal care receive care at home, the shift/increase will also go for 10% to home care (and 90% to institutional care).</w:t>
      </w:r>
    </w:p>
    <w:p w14:paraId="0BC2E864" w14:textId="77777777" w:rsidR="00223A02" w:rsidRPr="00617176" w:rsidRDefault="00223A02" w:rsidP="00460C69">
      <w:r w:rsidRPr="00617176">
        <w:t>This reflects the possible pressure for increased public provision of LTC services over time, particularly in those countries that rely the most on informal care.</w:t>
      </w:r>
    </w:p>
    <w:p w14:paraId="4F5A0105" w14:textId="77777777" w:rsidR="00223A02" w:rsidRPr="00617176" w:rsidRDefault="00223A02" w:rsidP="00460C69">
      <w:r w:rsidRPr="00617176">
        <w:t xml:space="preserve">VI. The </w:t>
      </w:r>
      <w:r w:rsidRPr="00617176">
        <w:rPr>
          <w:b/>
          <w:i/>
        </w:rPr>
        <w:t>"coverage convergence scenario"</w:t>
      </w:r>
      <w:r w:rsidRPr="00617176">
        <w:t xml:space="preserve"> scenario assumes that growing expectations of the populations and the exchange of best practices will lead to an expansion of publicly financed formal care provision into those groups of population that relied on informal care until then. Note that "formal coverage" covers any of the three types of formal long-term care: institutional care, formal home care, and cash benefits. The remaining number of "dependent" people is assumed to receive informal care. </w:t>
      </w:r>
    </w:p>
    <w:p w14:paraId="4AE5FB9A" w14:textId="77777777" w:rsidR="00223A02" w:rsidRPr="00617176" w:rsidRDefault="00223A02" w:rsidP="00460C69">
      <w:r w:rsidRPr="00617176">
        <w:t xml:space="preserve">This scenario should also be considered as a policy-change scenario, as it assumes a considerable shift in the current long-term care provision policy, while aiming to take into account the high diversity of country-specific current care-mix. </w:t>
      </w:r>
    </w:p>
    <w:p w14:paraId="73F2142A" w14:textId="77777777" w:rsidR="00223A02" w:rsidRPr="00617176" w:rsidRDefault="00223A02" w:rsidP="00460C69">
      <w:r w:rsidRPr="00617176">
        <w:t>It assumes a coverage convergence to the EU28 average by 2070. More specifically, the Member States where the formal coverage rate – i.e. referring to any of the three types of formal care described above – is below the EU28 average in the starting year are assumed to converge to this average by 2070.</w:t>
      </w:r>
    </w:p>
    <w:p w14:paraId="28FC8B91" w14:textId="77777777" w:rsidR="00223A02" w:rsidRPr="00617176" w:rsidRDefault="00223A02" w:rsidP="00460C69">
      <w:r w:rsidRPr="00617176">
        <w:t xml:space="preserve">VII. While convergence in LTC systems across EU Member States can occur in terms of coverage, it can also occur in terms of the quantity and quality of services provided and therefore in unit costs, particularly as living standards converge (as they do given the macroeconomic assumptions used in the projections). </w:t>
      </w:r>
    </w:p>
    <w:p w14:paraId="7B82FA56" w14:textId="77777777" w:rsidR="00223A02" w:rsidRPr="00617176" w:rsidRDefault="00223A02" w:rsidP="00460C69">
      <w:r w:rsidRPr="00617176">
        <w:lastRenderedPageBreak/>
        <w:t xml:space="preserve">The </w:t>
      </w:r>
      <w:r w:rsidRPr="00617176">
        <w:rPr>
          <w:b/>
          <w:i/>
        </w:rPr>
        <w:t>"cost convergence scenario"</w:t>
      </w:r>
      <w:r w:rsidRPr="00617176">
        <w:t xml:space="preserve"> is a policy change scenario that models upward convergence to the EU average of the relative cost profiles (as a proportion of GDP per capita) for those countries that in the base year are below the EU average. This is applied to every type of formal coverage (home care, institutional care and cash benefits). </w:t>
      </w:r>
    </w:p>
    <w:p w14:paraId="6ACAAC14" w14:textId="77777777" w:rsidR="00223A02" w:rsidRPr="00617176" w:rsidRDefault="00223A02" w:rsidP="00460C69">
      <w:r w:rsidRPr="00617176">
        <w:t xml:space="preserve">VIII. The </w:t>
      </w:r>
      <w:r w:rsidRPr="00617176">
        <w:rPr>
          <w:b/>
          <w:i/>
        </w:rPr>
        <w:t>"cost and coverage convergence scenario"</w:t>
      </w:r>
      <w:r w:rsidRPr="00617176">
        <w:t xml:space="preserve"> combines the coverage convergence scenario and the cost convergence scenario, as described in the sections above. </w:t>
      </w:r>
    </w:p>
    <w:p w14:paraId="7C385866" w14:textId="77777777" w:rsidR="00223A02" w:rsidRPr="00617176" w:rsidRDefault="00223A02" w:rsidP="00460C69">
      <w:r w:rsidRPr="00617176">
        <w:t xml:space="preserve">The new "cost and coverage convergence scenario" proposes a balanced and plausible hypothesis of how the same pressures may lead to convergences in both cost and coverage of services. </w:t>
      </w:r>
    </w:p>
    <w:p w14:paraId="18A438DE" w14:textId="77777777" w:rsidR="00223A02" w:rsidRPr="00617176" w:rsidRDefault="00223A02" w:rsidP="00460C69">
      <w:r w:rsidRPr="00617176">
        <w:t xml:space="preserve">IX. The </w:t>
      </w:r>
      <w:r w:rsidRPr="00617176">
        <w:rPr>
          <w:b/>
          <w:i/>
        </w:rPr>
        <w:t>"AWG reference scenario</w:t>
      </w:r>
      <w:r w:rsidRPr="00617176">
        <w:t xml:space="preserve">" combines the assumptions of the "demographic" and the "healthy ageing" scenarios. This scenario is used in the multilateral budgetary surveillance at EU level. Specifically, it is assumed that half of the projected gains in life expectancy are spent without disability (i.e. demanding care), taking thus an intermediate position between the </w:t>
      </w:r>
      <w:r w:rsidRPr="00617176">
        <w:rPr>
          <w:i/>
        </w:rPr>
        <w:t>"demographic"</w:t>
      </w:r>
      <w:r w:rsidRPr="00617176">
        <w:t xml:space="preserve"> and </w:t>
      </w:r>
      <w:r w:rsidRPr="00617176">
        <w:rPr>
          <w:i/>
        </w:rPr>
        <w:t>"healthy ageing"</w:t>
      </w:r>
      <w:r w:rsidRPr="00617176">
        <w:t xml:space="preserve"> scenario assumptions.</w:t>
      </w:r>
    </w:p>
    <w:p w14:paraId="6F266135" w14:textId="77777777" w:rsidR="00223A02" w:rsidRPr="00617176" w:rsidRDefault="00223A02" w:rsidP="00460C69">
      <w:r w:rsidRPr="00617176">
        <w:t xml:space="preserve">A new assumption has been added to this scenario in the present set of projections. The income-elasticity of LTC expenditure, which was assumed to be 1 in past projection exercises, is now assumed to be 1.1 in the base year (2016), converging to unity by 2070. This additional assumption is applied only to those countries below the top quartile according to expenditure as a proportion of GDP in the base year. This is expected to take into account the fact that, as countries become richer, they are likely to spend a larger proportion of their GDP on LTC. At the same time, it is considered that this effect will be weaker or non-existent in those countries that already have a comprehensive LTC system, where the focus is likely to be on reducing costs rather than on increasing the services provided. </w:t>
      </w:r>
    </w:p>
    <w:p w14:paraId="2E6C0FD0" w14:textId="77777777" w:rsidR="00223A02" w:rsidRPr="00617176" w:rsidRDefault="00223A02" w:rsidP="00460C69">
      <w:r w:rsidRPr="00617176">
        <w:t>Due to this and to the fact that GDP projections include some degree of catching-up, this leads to some convergence in LTC expenditure as a proportion of GDP, albeit more moderate than in the cost and coverage convergence scenario.</w:t>
      </w:r>
    </w:p>
    <w:p w14:paraId="02A76539" w14:textId="77777777" w:rsidR="00223A02" w:rsidRPr="00617176" w:rsidRDefault="00223A02" w:rsidP="00460C69">
      <w:r w:rsidRPr="00617176">
        <w:lastRenderedPageBreak/>
        <w:t xml:space="preserve">X. The </w:t>
      </w:r>
      <w:r w:rsidRPr="00617176">
        <w:rPr>
          <w:b/>
          <w:i/>
        </w:rPr>
        <w:t>"AWG risk scenario"</w:t>
      </w:r>
      <w:r w:rsidRPr="00617176">
        <w:t xml:space="preserve"> keeps the assumption that half of the future gains in life expectancy are spent with no care-demanding disability, as in the </w:t>
      </w:r>
      <w:r w:rsidRPr="00617176">
        <w:rPr>
          <w:i/>
        </w:rPr>
        <w:t>"AWG reference scenario"</w:t>
      </w:r>
      <w:r w:rsidRPr="00617176">
        <w:t xml:space="preserve">. In addition, it combines it with the </w:t>
      </w:r>
      <w:r w:rsidRPr="00617176">
        <w:rPr>
          <w:i/>
        </w:rPr>
        <w:t>"cost and coverage convergence scenario"</w:t>
      </w:r>
      <w:r w:rsidRPr="00617176">
        <w:t xml:space="preserve"> by assuming convergence upwards of unit costs to the EU-average as well as coverage convergence upwards to the EU-average. </w:t>
      </w:r>
    </w:p>
    <w:p w14:paraId="6AE2FA32" w14:textId="77777777" w:rsidR="00223A02" w:rsidRPr="00617176" w:rsidRDefault="00223A02" w:rsidP="00460C69">
      <w:r w:rsidRPr="00617176">
        <w:t xml:space="preserve">In comparison to the "AWG reference scenario", this scenario thus captures the impact of additional cost drivers to demography and health status, i.e. the possible effect of a convergence in coverage and in real living standards on LTC spending. </w:t>
      </w:r>
    </w:p>
    <w:p w14:paraId="20A53CBD" w14:textId="77777777" w:rsidR="00223A02" w:rsidRPr="00617176" w:rsidRDefault="00223A02" w:rsidP="00460C69">
      <w:r w:rsidRPr="00617176">
        <w:t xml:space="preserve">XI. </w:t>
      </w:r>
      <w:r w:rsidRPr="00617176">
        <w:rPr>
          <w:b/>
          <w:i/>
        </w:rPr>
        <w:t>"The Total factor productivity risk scenario"</w:t>
      </w:r>
      <w:r w:rsidRPr="00617176">
        <w:t xml:space="preserve">. As in the previous 2015 Ageing Report, a productivity risk scenario has been included, assuming lower Total Factor Productivity (TFP) growth (cf. volume 1 of the 2018 Ageing Report for more details on this alternative scenario). In the </w:t>
      </w:r>
      <w:r w:rsidRPr="00617176">
        <w:rPr>
          <w:i/>
        </w:rPr>
        <w:t>"AWG reference scenario"</w:t>
      </w:r>
      <w:r w:rsidRPr="00617176">
        <w:t xml:space="preserve"> country-specific TFP growth rates converge to 1% by 2045, whereas in this TFP scenario, growth rates would converge to 0.8%. </w:t>
      </w:r>
    </w:p>
    <w:p w14:paraId="7E17F0B4" w14:textId="77777777" w:rsidR="00223A02" w:rsidRPr="00617176" w:rsidRDefault="00223A02" w:rsidP="00460C69">
      <w:pPr>
        <w:pStyle w:val="NumberedHeading1"/>
        <w:tabs>
          <w:tab w:val="left" w:pos="567"/>
        </w:tabs>
      </w:pPr>
      <w:bookmarkStart w:id="220" w:name="_Toc511664445"/>
      <w:r w:rsidRPr="00617176">
        <w:t>3.4.</w:t>
      </w:r>
      <w:r w:rsidRPr="00617176">
        <w:tab/>
        <w:t>Projection results</w:t>
      </w:r>
      <w:bookmarkEnd w:id="220"/>
    </w:p>
    <w:p w14:paraId="777A259E" w14:textId="77777777" w:rsidR="00223A02" w:rsidRPr="00617176" w:rsidRDefault="00223A02" w:rsidP="00460C69">
      <w:pPr>
        <w:pStyle w:val="NumberedHeading2"/>
        <w:tabs>
          <w:tab w:val="left" w:pos="567"/>
        </w:tabs>
      </w:pPr>
      <w:r w:rsidRPr="00617176">
        <w:t>3.4.1.</w:t>
      </w:r>
      <w:r w:rsidRPr="00617176">
        <w:tab/>
        <w:t xml:space="preserve">Country specific policy reforms </w:t>
      </w:r>
    </w:p>
    <w:p w14:paraId="240224E6" w14:textId="77777777" w:rsidR="00223A02" w:rsidRPr="00617176" w:rsidRDefault="00223A02" w:rsidP="00460C69">
      <w:r w:rsidRPr="00617176">
        <w:t>In the past years, many countries have undertaken policy reforms in LTC, e.g.:</w:t>
      </w:r>
    </w:p>
    <w:p w14:paraId="014E40D5" w14:textId="77777777" w:rsidR="00223A02" w:rsidRPr="00617176" w:rsidRDefault="00223A02" w:rsidP="00460C69">
      <w:r w:rsidRPr="00617176">
        <w:t xml:space="preserve">In Germany the Ministry of Health has strengthened LTC with three interlaced laws: Pflegestärkungsgesetz (PSG) I-III, which have increased premiums as well as improved services. Each year 1.3 billion EUR of these additional funds are invested in the LTC provident fund until 2034, with the rest (3.7 billion EUR per year) in improved services for dependents. PSG I has significantly increased services for dependants from January 2015 onwards and has increased the number of caregivers in institutional care, as well as setting up an LTC provident fund for demographic sustainable financing. PSG II redefines care levels and care assessment methods based on individual care demands; including dementia. PSG III strengthens the local coordination and provision of care and focuses on counselling.  </w:t>
      </w:r>
    </w:p>
    <w:p w14:paraId="3219E47A" w14:textId="77777777" w:rsidR="00223A02" w:rsidRPr="00617176" w:rsidRDefault="00223A02" w:rsidP="00460C69">
      <w:r w:rsidRPr="00617176">
        <w:lastRenderedPageBreak/>
        <w:t xml:space="preserve">In Portugal, the authorities have continued rolling out the ongoing implementation of the RNCCI (National Network of Continuous Integrated Care), with an increase in the quantity of inpatient and home care provided each year. Pilots for paediatric integrated care within RNCCI began in 2016 and pilots on Mental Health integrated care, within RNCCI. Taken together with policies related to culture of care, optimisation of acute hospital beds through early discharge and involvement of communities in this new organisation, the implementation of these reforms in LTC resulted in an overall expenditure increase in this area. </w:t>
      </w:r>
    </w:p>
    <w:p w14:paraId="265EDF89" w14:textId="77777777" w:rsidR="00223A02" w:rsidRPr="00617176" w:rsidRDefault="00223A02" w:rsidP="00460C69">
      <w:r w:rsidRPr="00617176">
        <w:t xml:space="preserve">It becomes clear that the fiscal impact of some of those reforms is not easy to estimate.  However, as far as budgeted changes in long-term care spending are concerned, many countries have estimated potential budgetary effects on LTC spending triggered by legislated LTC reforms. </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725F693B" w14:textId="77777777" w:rsidTr="00460C69">
        <w:trPr>
          <w:cantSplit/>
          <w:trHeight w:val="20"/>
        </w:trPr>
        <w:tc>
          <w:tcPr>
            <w:tcW w:w="4110" w:type="dxa"/>
            <w:shd w:val="clear" w:color="auto" w:fill="auto"/>
          </w:tcPr>
          <w:p w14:paraId="20B24720" w14:textId="77777777" w:rsidR="00223A02" w:rsidRPr="00617176" w:rsidRDefault="00223A02" w:rsidP="00460C69">
            <w:pPr>
              <w:pStyle w:val="SlimCell"/>
              <w:keepNext/>
            </w:pPr>
          </w:p>
        </w:tc>
      </w:tr>
      <w:tr w:rsidR="00223A02" w:rsidRPr="00617176" w14:paraId="4309CAE5" w14:textId="77777777" w:rsidTr="00460C69">
        <w:trPr>
          <w:cantSplit/>
        </w:trPr>
        <w:tc>
          <w:tcPr>
            <w:tcW w:w="4110" w:type="dxa"/>
            <w:shd w:val="clear" w:color="auto" w:fill="auto"/>
          </w:tcPr>
          <w:p w14:paraId="5154F362" w14:textId="77777777" w:rsidR="00223A02" w:rsidRPr="00617176" w:rsidRDefault="00223A02" w:rsidP="00460C69">
            <w:pPr>
              <w:pStyle w:val="TableTitle"/>
              <w:rPr>
                <w:b/>
              </w:rPr>
            </w:pPr>
            <w:r w:rsidRPr="00617176">
              <w:t>Table II.3.2:</w:t>
            </w:r>
            <w:r w:rsidRPr="00617176">
              <w:rPr>
                <w:b/>
              </w:rPr>
              <w:tab/>
              <w:t>Long-term care reforms with direct budget impact taken into account in the projections</w:t>
            </w:r>
          </w:p>
        </w:tc>
      </w:tr>
      <w:tr w:rsidR="00223A02" w:rsidRPr="00617176" w14:paraId="106106B1" w14:textId="77777777" w:rsidTr="00460C69">
        <w:trPr>
          <w:cantSplit/>
        </w:trPr>
        <w:tc>
          <w:tcPr>
            <w:tcW w:w="4110" w:type="dxa"/>
            <w:shd w:val="clear" w:color="auto" w:fill="auto"/>
          </w:tcPr>
          <w:p w14:paraId="69B99A4A" w14:textId="77777777" w:rsidR="00223A02" w:rsidRPr="00617176" w:rsidRDefault="00223A02" w:rsidP="00460C69">
            <w:pPr>
              <w:pStyle w:val="TableShape"/>
              <w:rPr>
                <w:sz w:val="2"/>
              </w:rPr>
            </w:pPr>
            <w:r w:rsidRPr="00617176">
              <w:fldChar w:fldCharType="begin"/>
            </w:r>
            <w:r w:rsidRPr="009F3ED8">
              <w:instrText xml:space="preserve"> TC "</w:instrText>
            </w:r>
            <w:bookmarkStart w:id="221" w:name="_Toc511664564"/>
            <w:r w:rsidRPr="009F3ED8">
              <w:instrText>II.3.2.</w:instrText>
            </w:r>
            <w:r w:rsidRPr="009F3ED8">
              <w:tab/>
              <w:instrText>Long-term care reforms with direct budget impact taken into account in the projections</w:instrText>
            </w:r>
            <w:bookmarkEnd w:id="221"/>
            <w:r w:rsidRPr="009F3ED8">
              <w:instrText xml:space="preserve">" \ftable \l 5 </w:instrText>
            </w:r>
            <w:r w:rsidRPr="00617176">
              <w:fldChar w:fldCharType="end"/>
            </w:r>
            <w:r w:rsidRPr="00617176">
              <w:rPr>
                <w:noProof/>
                <w:sz w:val="2"/>
                <w:lang w:val="hr-HR" w:eastAsia="hr-HR"/>
              </w:rPr>
              <w:drawing>
                <wp:inline distT="0" distB="0" distL="0" distR="0" wp14:anchorId="0255CBA1" wp14:editId="3071991C">
                  <wp:extent cx="2597595" cy="2116161"/>
                  <wp:effectExtent l="0" t="0" r="0" b="0"/>
                  <wp:docPr id="474" name="Picture 474" descr="&lt;nbr&gt;&lt;GETTEXTFROMWORD&gt;&lt;/nbr&gt;&#10;&lt;title&gt;&lt;GETTEXTFROMWORD&gt;&lt;/title&gt;&#10;&lt;id&gt;ce0222e9-755a-458b-8e39-cb4269eb9890&lt;/id&gt;&#10;&lt;srcType&gt;EXCEL&lt;/srcType&gt;&#10;&lt;srcPath&gt;U:\Budgetary projections 2018\Reports\2018 AR\Tables_and_graphs\Part II Chapter 3\&lt;/srcPath&gt;&#10;&lt;srcName&gt;Additional tables and charts - CHAP 3.xls&lt;/srcName&gt;&#10;&lt;type&gt;table&lt;/type&gt;&#10; &lt;srcSheet&gt;Table II.3.1&lt;/srcSheet&gt;&#10; &lt;srcRange&gt;R2C2:R8C3&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597595" cy="2116161"/>
                          </a:xfrm>
                          <a:prstGeom prst="rect">
                            <a:avLst/>
                          </a:prstGeom>
                          <a:noFill/>
                          <a:ln>
                            <a:noFill/>
                          </a:ln>
                        </pic:spPr>
                      </pic:pic>
                    </a:graphicData>
                  </a:graphic>
                </wp:inline>
              </w:drawing>
            </w:r>
          </w:p>
        </w:tc>
      </w:tr>
      <w:tr w:rsidR="00223A02" w:rsidRPr="00617176" w14:paraId="4256B0A5" w14:textId="77777777" w:rsidTr="00460C69">
        <w:trPr>
          <w:cantSplit/>
        </w:trPr>
        <w:tc>
          <w:tcPr>
            <w:tcW w:w="4110" w:type="dxa"/>
            <w:shd w:val="clear" w:color="auto" w:fill="auto"/>
          </w:tcPr>
          <w:p w14:paraId="754A66CD" w14:textId="77777777" w:rsidR="00223A02" w:rsidRPr="00617176" w:rsidRDefault="00223A02" w:rsidP="00460C69">
            <w:pPr>
              <w:pStyle w:val="TableSource"/>
            </w:pPr>
            <w:r w:rsidRPr="00617176">
              <w:rPr>
                <w:b/>
                <w:i/>
              </w:rPr>
              <w:t>Source:</w:t>
            </w:r>
            <w:r w:rsidRPr="00617176">
              <w:t xml:space="preserve"> European Commission, EPC.</w:t>
            </w:r>
          </w:p>
        </w:tc>
      </w:tr>
      <w:tr w:rsidR="00223A02" w:rsidRPr="00617176" w14:paraId="73DC87B8" w14:textId="77777777" w:rsidTr="00460C69">
        <w:trPr>
          <w:cantSplit/>
          <w:trHeight w:val="20"/>
        </w:trPr>
        <w:tc>
          <w:tcPr>
            <w:tcW w:w="4110" w:type="dxa"/>
            <w:shd w:val="clear" w:color="auto" w:fill="auto"/>
            <w:tcMar>
              <w:bottom w:w="240" w:type="dxa"/>
            </w:tcMar>
          </w:tcPr>
          <w:p w14:paraId="12C3929F" w14:textId="77777777" w:rsidR="00223A02" w:rsidRPr="00617176" w:rsidRDefault="00223A02" w:rsidP="00460C69">
            <w:pPr>
              <w:pStyle w:val="SlimCell"/>
            </w:pPr>
          </w:p>
        </w:tc>
      </w:tr>
    </w:tbl>
    <w:p w14:paraId="6E4F9341" w14:textId="77777777" w:rsidR="00223A02" w:rsidRPr="00617176" w:rsidRDefault="00223A02" w:rsidP="00460C69">
      <w:r w:rsidRPr="00617176">
        <w:t xml:space="preserve">Table </w:t>
      </w:r>
      <w:r w:rsidRPr="00617176">
        <w:fldChar w:fldCharType="begin"/>
      </w:r>
      <w:r w:rsidRPr="00617176">
        <w:instrText xml:space="preserve"> QUOTE "II.3.2"</w:instrText>
      </w:r>
      <w:r w:rsidRPr="00617176">
        <w:fldChar w:fldCharType="begin">
          <w:fldData xml:space="preserve">QwBSAE8AUwBTAFIARQBGAEUAUgBFAE4AQwBFACoAVABBAEIATABFACoAYwBlADAAMgAyADIAZQA5
AC0ANwA1ADUAYQAtADQANQA4AGIALQA4AGUAMwA5AC0AYwBiADQAMgA2ADkAZQBiADkAOAA5ADAA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II.3.2</w:t>
      </w:r>
      <w:r w:rsidRPr="00617176">
        <w:fldChar w:fldCharType="end"/>
      </w:r>
      <w:r w:rsidRPr="00617176">
        <w:t xml:space="preserve"> shows that 6 countries provided information regarding the budgetary effects of policy reforms. In all cases, the impact of reforms was modelled as a percentage change of long-term care expenditure relative to the base year of projections, differentiated for the areas of institutional care, home care and cash benefits where applicable and upon agreement with the respective Member States.</w:t>
      </w:r>
    </w:p>
    <w:p w14:paraId="7DD116BA" w14:textId="77777777" w:rsidR="00223A02" w:rsidRPr="00617176" w:rsidRDefault="00223A02" w:rsidP="00460C69">
      <w:pPr>
        <w:pStyle w:val="NumberedHeading2"/>
        <w:tabs>
          <w:tab w:val="left" w:pos="567"/>
        </w:tabs>
      </w:pPr>
      <w:r w:rsidRPr="00617176">
        <w:lastRenderedPageBreak/>
        <w:t>3.4.2.</w:t>
      </w:r>
      <w:r w:rsidRPr="00617176">
        <w:tab/>
        <w:t>Accounting for institutional specificities</w:t>
      </w:r>
    </w:p>
    <w:p w14:paraId="5961CFFC" w14:textId="77777777" w:rsidR="00223A02" w:rsidRPr="00617176" w:rsidRDefault="00223A02" w:rsidP="00460C69">
      <w:r w:rsidRPr="00617176">
        <w:t>As described in the health care chapter in section 2.3.4, Germany's specific set-up of insurance combining social health insurance with private health insurance implies a reduced burden of ageing within the SHI scheme in future. As for health care projections, this is taken into account in the same way for estimating LTC projections (</w:t>
      </w:r>
      <w:r w:rsidRPr="00617176">
        <w:rPr>
          <w:rStyle w:val="Referencafusnote"/>
        </w:rPr>
        <w:footnoteReference w:id="117"/>
      </w:r>
      <w:r w:rsidRPr="00617176">
        <w:t>).</w:t>
      </w:r>
    </w:p>
    <w:p w14:paraId="1874DE7A" w14:textId="77777777" w:rsidR="00223A02" w:rsidRPr="00617176" w:rsidRDefault="00223A02" w:rsidP="00460C69">
      <w:r w:rsidRPr="00617176">
        <w:t xml:space="preserve">Additionally, several EU MS have specific legislation to regulate the indexation of LTC benefits. The impact of country-specific legislation has been taken into account in the </w:t>
      </w:r>
      <w:r w:rsidRPr="00617176">
        <w:rPr>
          <w:i/>
        </w:rPr>
        <w:t>"AWG reference scenario"</w:t>
      </w:r>
      <w:r w:rsidRPr="00617176">
        <w:t xml:space="preserve"> of the Ageing Report.</w:t>
      </w:r>
    </w:p>
    <w:p w14:paraId="56879F53" w14:textId="77777777" w:rsidR="00223A02" w:rsidRPr="00617176" w:rsidRDefault="00223A02" w:rsidP="00460C69">
      <w:r w:rsidRPr="00617176">
        <w:t>In the case of Germany, this relates to the impact of German legislation on the ceiling of LTC expenditure. According to the standard assumptions (explained below), unit costs are indexed to GDP per hours worked or GDP per capita. Under current rules in Germany, both in-kind and cash long-term care benefits are indexed to prices. With contribution rates indexed by inflation, LTC expenditure shares would be almost unchanged until 2070. The difference between the amounts financed by the State and the costs of long term care are either recovered by private insurance or are paid by the beneficiaries themselves. The German government is required by law to check every three years the need and extent of adjusting LTC benefits according to inflation.</w:t>
      </w:r>
    </w:p>
    <w:p w14:paraId="2BF8050D" w14:textId="77777777" w:rsidR="00223A02" w:rsidRPr="00617176" w:rsidRDefault="00223A02" w:rsidP="00460C69">
      <w:r w:rsidRPr="00617176">
        <w:t>For France, this relates to the fact that the majority of cash benefits are legislated to be indexed according to prices.</w:t>
      </w:r>
    </w:p>
    <w:p w14:paraId="64E68BA7" w14:textId="77777777" w:rsidR="00223A02" w:rsidRPr="00617176" w:rsidRDefault="00223A02" w:rsidP="00460C69">
      <w:r w:rsidRPr="00617176">
        <w:t xml:space="preserve">For Slovenia, this relates to the fact that all cash benefits are legislated to be indexed according to prices. </w:t>
      </w:r>
    </w:p>
    <w:p w14:paraId="7B886DE4" w14:textId="77777777" w:rsidR="00223A02" w:rsidRPr="00617176" w:rsidRDefault="00223A02" w:rsidP="00460C69">
      <w:r w:rsidRPr="00617176">
        <w:t xml:space="preserve">Although this legislation binds these states to these indexations methodology, there are limits to the extent to which it can be taken into account in the projection. In an extreme case, indexing all benefits to prices for the duration of the projection period could lead to a large reduction in real-terms expenditure per capita. This would represent a de </w:t>
      </w:r>
      <w:r w:rsidRPr="00617176">
        <w:lastRenderedPageBreak/>
        <w:t>facto policy change scenario and break the no-policy change scenario requirement.</w:t>
      </w:r>
    </w:p>
    <w:p w14:paraId="3BECB712" w14:textId="77777777" w:rsidR="00223A02" w:rsidRPr="00617176" w:rsidRDefault="00223A02" w:rsidP="00460C69">
      <w:r w:rsidRPr="00617176">
        <w:t xml:space="preserve">To account for this legislation and the financial precaution principle while preserving the realism of the projections, the following assumptions are used for the </w:t>
      </w:r>
      <w:r w:rsidRPr="00617176">
        <w:rPr>
          <w:i/>
        </w:rPr>
        <w:t>"AWG reference scenario"</w:t>
      </w:r>
      <w:r w:rsidRPr="00617176">
        <w:t xml:space="preserve"> projections:</w:t>
      </w:r>
    </w:p>
    <w:p w14:paraId="0337EF1B" w14:textId="77777777" w:rsidR="00223A02" w:rsidRPr="00617176" w:rsidRDefault="00223A02" w:rsidP="00223A02">
      <w:pPr>
        <w:pStyle w:val="ListDash"/>
        <w:numPr>
          <w:ilvl w:val="0"/>
          <w:numId w:val="4"/>
        </w:numPr>
      </w:pPr>
      <w:r w:rsidRPr="00617176">
        <w:t>For Germany (</w:t>
      </w:r>
      <w:r w:rsidRPr="00617176">
        <w:rPr>
          <w:rStyle w:val="Referencafusnote"/>
        </w:rPr>
        <w:footnoteReference w:id="118"/>
      </w:r>
      <w:r w:rsidRPr="00617176">
        <w:t>), 2/3 of in-kind benefit expenditure are indexed in line with the Ageing Report standard assumptions and the remaining 1/3 in line with prices. For cash benefits, 2/3 of expenditure will be indexed in line with prices and the remaining 1/3 in line with AR standard assumptions. This applies for the entire projection period.</w:t>
      </w:r>
    </w:p>
    <w:p w14:paraId="13DC8FD1" w14:textId="77777777" w:rsidR="00223A02" w:rsidRPr="00617176" w:rsidRDefault="00223A02" w:rsidP="00223A02">
      <w:pPr>
        <w:pStyle w:val="ListDash"/>
        <w:numPr>
          <w:ilvl w:val="0"/>
          <w:numId w:val="4"/>
        </w:numPr>
      </w:pPr>
      <w:r w:rsidRPr="00617176">
        <w:t>For France, price indexation would be applied to cash benefit expenditure, with the rest being indexed according to standard assumptions. This applies for the entire projection period.</w:t>
      </w:r>
    </w:p>
    <w:p w14:paraId="0F85F077" w14:textId="77777777" w:rsidR="00223A02" w:rsidRPr="00617176" w:rsidRDefault="00223A02" w:rsidP="00223A02">
      <w:pPr>
        <w:pStyle w:val="ListDash"/>
        <w:numPr>
          <w:ilvl w:val="0"/>
          <w:numId w:val="4"/>
        </w:numPr>
      </w:pPr>
      <w:r w:rsidRPr="00617176">
        <w:t>For Slovenia, price indexation is applied to cash benefit expenditure, with the rest being indexed according to standard assumptions. This applies for the first 10 years of the projection.</w:t>
      </w:r>
    </w:p>
    <w:p w14:paraId="2066BDCE" w14:textId="77777777" w:rsidR="00223A02" w:rsidRPr="00617176" w:rsidRDefault="00223A02" w:rsidP="00460C69">
      <w:r w:rsidRPr="00617176">
        <w:t xml:space="preserve">Table </w:t>
      </w:r>
      <w:r w:rsidRPr="00617176">
        <w:fldChar w:fldCharType="begin"/>
      </w:r>
      <w:r w:rsidRPr="00617176">
        <w:instrText xml:space="preserve"> QUOTE "II.3.3"</w:instrText>
      </w:r>
      <w:r w:rsidRPr="00617176">
        <w:fldChar w:fldCharType="begin">
          <w:fldData xml:space="preserve">QwBSAE8AUwBTAFIARQBGAEUAUgBFAE4AQwBFACoAVABBAEIATABFACoANwBlADAAOABhAGEAYQAw
AC0AYwA4ADcAMQAtADQAYgA4ADUALQBhAGEAMgAzAC0AMAA1ADkAMAA0ADYAZAAzADQAOAA3AGUA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II.3.3</w:t>
      </w:r>
      <w:r w:rsidRPr="00617176">
        <w:fldChar w:fldCharType="end"/>
      </w:r>
      <w:r w:rsidRPr="00617176">
        <w:t xml:space="preserve"> shows the quantified impact of these indexations assumptions by comparing the 2018 AWG reference scenario projections using these country-specific indexation assumptions with alternative projections using standard indexation assumptions.</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3F98548D" w14:textId="77777777" w:rsidTr="00460C69">
        <w:trPr>
          <w:cantSplit/>
          <w:trHeight w:val="20"/>
        </w:trPr>
        <w:tc>
          <w:tcPr>
            <w:tcW w:w="4110" w:type="dxa"/>
            <w:shd w:val="clear" w:color="auto" w:fill="auto"/>
          </w:tcPr>
          <w:p w14:paraId="208C40A2" w14:textId="77777777" w:rsidR="00223A02" w:rsidRPr="00617176" w:rsidRDefault="00223A02" w:rsidP="00460C69">
            <w:pPr>
              <w:pStyle w:val="SlimCell"/>
              <w:keepNext/>
            </w:pPr>
          </w:p>
        </w:tc>
      </w:tr>
      <w:tr w:rsidR="00223A02" w:rsidRPr="00617176" w14:paraId="145B2290" w14:textId="77777777" w:rsidTr="00460C69">
        <w:trPr>
          <w:cantSplit/>
        </w:trPr>
        <w:tc>
          <w:tcPr>
            <w:tcW w:w="4110" w:type="dxa"/>
            <w:shd w:val="clear" w:color="auto" w:fill="auto"/>
          </w:tcPr>
          <w:p w14:paraId="51F08CEC" w14:textId="77777777" w:rsidR="00223A02" w:rsidRPr="00617176" w:rsidRDefault="00223A02" w:rsidP="00460C69">
            <w:pPr>
              <w:pStyle w:val="TableTitle"/>
              <w:rPr>
                <w:b/>
              </w:rPr>
            </w:pPr>
            <w:r w:rsidRPr="00617176">
              <w:t>Table II.3.3:</w:t>
            </w:r>
            <w:r w:rsidRPr="00617176">
              <w:rPr>
                <w:b/>
              </w:rPr>
              <w:tab/>
              <w:t>Projections with country-specific indexation vs standard indexation</w:t>
            </w:r>
          </w:p>
        </w:tc>
      </w:tr>
      <w:tr w:rsidR="00223A02" w:rsidRPr="00617176" w14:paraId="2F7A2C6D" w14:textId="77777777" w:rsidTr="00460C69">
        <w:trPr>
          <w:cantSplit/>
        </w:trPr>
        <w:tc>
          <w:tcPr>
            <w:tcW w:w="4110" w:type="dxa"/>
            <w:shd w:val="clear" w:color="auto" w:fill="auto"/>
          </w:tcPr>
          <w:p w14:paraId="0749A636" w14:textId="77777777" w:rsidR="00223A02" w:rsidRPr="00617176" w:rsidRDefault="00223A02" w:rsidP="00460C69">
            <w:pPr>
              <w:pStyle w:val="TableShape"/>
              <w:rPr>
                <w:sz w:val="2"/>
              </w:rPr>
            </w:pPr>
            <w:r w:rsidRPr="00617176">
              <w:fldChar w:fldCharType="begin"/>
            </w:r>
            <w:r w:rsidRPr="009F3ED8">
              <w:instrText xml:space="preserve"> TC "</w:instrText>
            </w:r>
            <w:bookmarkStart w:id="222" w:name="_Toc511664565"/>
            <w:r w:rsidRPr="009F3ED8">
              <w:instrText>II.3.3.</w:instrText>
            </w:r>
            <w:r w:rsidRPr="009F3ED8">
              <w:tab/>
              <w:instrText>Projections with country-specific indexation vs standard indexation</w:instrText>
            </w:r>
            <w:bookmarkEnd w:id="222"/>
            <w:r w:rsidRPr="009F3ED8">
              <w:instrText xml:space="preserve">" \ftable \l 5 </w:instrText>
            </w:r>
            <w:r w:rsidRPr="00617176">
              <w:fldChar w:fldCharType="end"/>
            </w:r>
            <w:r w:rsidRPr="00617176">
              <w:rPr>
                <w:noProof/>
                <w:sz w:val="2"/>
                <w:lang w:val="hr-HR" w:eastAsia="hr-HR"/>
              </w:rPr>
              <w:drawing>
                <wp:inline distT="0" distB="0" distL="0" distR="0" wp14:anchorId="110B94CE" wp14:editId="04584DD9">
                  <wp:extent cx="2597595" cy="999513"/>
                  <wp:effectExtent l="0" t="0" r="0" b="0"/>
                  <wp:docPr id="475" name="Picture 475" descr="&lt;nbr&gt;&lt;GETTEXTFROMWORD&gt;&lt;/nbr&gt;&#10;&lt;title&gt;&lt;GETTEXTFROMWORD&gt;&lt;/title&gt;&#10;&lt;id&gt;7e08aaa0-c871-4b85-aa23-059046d3487e&lt;/id&gt;&#10;&lt;srcType&gt;EXCEL&lt;/srcType&gt;&#10;&lt;srcPath&gt;U:\Budgetary projections 2018\Reports\2018 AR\Tables_and_graphs\Part II Chapter 3\&lt;/srcPath&gt;&#10;&lt;srcName&gt;Additional tables and charts - CHAP 3.xls&lt;/srcName&gt;&#10;&lt;type&gt;table&lt;/type&gt;&#10; &lt;srcSheet&gt;Table II.3.2 Country-Specific&lt;/srcSheet&gt;&#10; &lt;srcRange&gt;R2C2:R9C6&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16T17:04:38&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597595" cy="999513"/>
                          </a:xfrm>
                          <a:prstGeom prst="rect">
                            <a:avLst/>
                          </a:prstGeom>
                          <a:noFill/>
                          <a:ln>
                            <a:noFill/>
                          </a:ln>
                        </pic:spPr>
                      </pic:pic>
                    </a:graphicData>
                  </a:graphic>
                </wp:inline>
              </w:drawing>
            </w:r>
          </w:p>
        </w:tc>
      </w:tr>
      <w:tr w:rsidR="00223A02" w:rsidRPr="00617176" w14:paraId="1517B083" w14:textId="77777777" w:rsidTr="00460C69">
        <w:trPr>
          <w:cantSplit/>
        </w:trPr>
        <w:tc>
          <w:tcPr>
            <w:tcW w:w="4110" w:type="dxa"/>
            <w:shd w:val="clear" w:color="auto" w:fill="auto"/>
          </w:tcPr>
          <w:p w14:paraId="7D071E05" w14:textId="77777777" w:rsidR="00223A02" w:rsidRPr="00617176" w:rsidRDefault="00223A02" w:rsidP="00460C69">
            <w:pPr>
              <w:pStyle w:val="TableSource"/>
            </w:pPr>
            <w:r w:rsidRPr="00617176">
              <w:rPr>
                <w:b/>
                <w:i/>
              </w:rPr>
              <w:t>Source:</w:t>
            </w:r>
            <w:r w:rsidRPr="00617176">
              <w:t xml:space="preserve"> Commission services.</w:t>
            </w:r>
          </w:p>
        </w:tc>
      </w:tr>
      <w:tr w:rsidR="00223A02" w:rsidRPr="00617176" w14:paraId="2037605E" w14:textId="77777777" w:rsidTr="00460C69">
        <w:trPr>
          <w:cantSplit/>
          <w:trHeight w:val="20"/>
        </w:trPr>
        <w:tc>
          <w:tcPr>
            <w:tcW w:w="4110" w:type="dxa"/>
            <w:shd w:val="clear" w:color="auto" w:fill="auto"/>
            <w:tcMar>
              <w:bottom w:w="240" w:type="dxa"/>
            </w:tcMar>
          </w:tcPr>
          <w:p w14:paraId="48DB4D75" w14:textId="77777777" w:rsidR="00223A02" w:rsidRPr="00617176" w:rsidRDefault="00223A02" w:rsidP="00460C69">
            <w:pPr>
              <w:pStyle w:val="SlimCell"/>
            </w:pPr>
          </w:p>
        </w:tc>
      </w:tr>
    </w:tbl>
    <w:p w14:paraId="0778A7FB" w14:textId="77777777" w:rsidR="00223A02" w:rsidRPr="00617176" w:rsidRDefault="00223A02" w:rsidP="00460C69">
      <w:pPr>
        <w:pStyle w:val="NumberedHeading2"/>
        <w:tabs>
          <w:tab w:val="left" w:pos="567"/>
        </w:tabs>
      </w:pPr>
      <w:r w:rsidRPr="00617176">
        <w:lastRenderedPageBreak/>
        <w:t>3.4.3.</w:t>
      </w:r>
      <w:r w:rsidRPr="00617176">
        <w:tab/>
        <w:t>Changes in demography and health status</w:t>
      </w:r>
    </w:p>
    <w:p w14:paraId="3AD0F3A5" w14:textId="77777777" w:rsidR="00223A02" w:rsidRPr="00617176" w:rsidRDefault="00223A02" w:rsidP="00460C69">
      <w:r w:rsidRPr="00617176">
        <w:t>Results of four no policy change scenarios are presented and discussed first. These scenarios capture varying assumptions that the isolated effects of ageing, health status and the labour intensity of LTC have on expenditure.</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465EA744" w14:textId="77777777" w:rsidTr="00460C69">
        <w:trPr>
          <w:cantSplit/>
          <w:trHeight w:val="20"/>
        </w:trPr>
        <w:tc>
          <w:tcPr>
            <w:tcW w:w="4110" w:type="dxa"/>
            <w:shd w:val="clear" w:color="auto" w:fill="auto"/>
          </w:tcPr>
          <w:p w14:paraId="7D1FC1E7" w14:textId="77777777" w:rsidR="00223A02" w:rsidRPr="00617176" w:rsidRDefault="00223A02" w:rsidP="00460C69">
            <w:pPr>
              <w:pStyle w:val="SlimCell"/>
              <w:keepNext/>
            </w:pPr>
          </w:p>
        </w:tc>
      </w:tr>
      <w:tr w:rsidR="00223A02" w:rsidRPr="00617176" w14:paraId="169E7DEF" w14:textId="77777777" w:rsidTr="00460C69">
        <w:trPr>
          <w:cantSplit/>
        </w:trPr>
        <w:tc>
          <w:tcPr>
            <w:tcW w:w="4110" w:type="dxa"/>
            <w:shd w:val="clear" w:color="auto" w:fill="auto"/>
          </w:tcPr>
          <w:p w14:paraId="3843A85B" w14:textId="77777777" w:rsidR="00223A02" w:rsidRPr="00617176" w:rsidRDefault="00223A02" w:rsidP="00460C69">
            <w:pPr>
              <w:pStyle w:val="TableTitle"/>
              <w:rPr>
                <w:b/>
              </w:rPr>
            </w:pPr>
            <w:r w:rsidRPr="00617176">
              <w:t>Table II.3.4:</w:t>
            </w:r>
            <w:r w:rsidRPr="00617176">
              <w:rPr>
                <w:b/>
              </w:rPr>
              <w:tab/>
              <w:t>Demographic scenario, projected public expenditure on long-term care as % of GDP</w:t>
            </w:r>
          </w:p>
        </w:tc>
      </w:tr>
      <w:tr w:rsidR="00223A02" w:rsidRPr="00617176" w14:paraId="366E3BA1" w14:textId="77777777" w:rsidTr="00460C69">
        <w:trPr>
          <w:cantSplit/>
        </w:trPr>
        <w:tc>
          <w:tcPr>
            <w:tcW w:w="4110" w:type="dxa"/>
            <w:shd w:val="clear" w:color="auto" w:fill="auto"/>
          </w:tcPr>
          <w:p w14:paraId="5951E941" w14:textId="77777777" w:rsidR="00223A02" w:rsidRPr="00617176" w:rsidRDefault="00223A02" w:rsidP="00460C69">
            <w:pPr>
              <w:pStyle w:val="TableShape"/>
              <w:rPr>
                <w:sz w:val="2"/>
              </w:rPr>
            </w:pPr>
            <w:r w:rsidRPr="00617176">
              <w:fldChar w:fldCharType="begin"/>
            </w:r>
            <w:r w:rsidRPr="009F3ED8">
              <w:instrText xml:space="preserve"> TC "</w:instrText>
            </w:r>
            <w:bookmarkStart w:id="223" w:name="_Toc511664566"/>
            <w:r w:rsidRPr="009F3ED8">
              <w:instrText>II.3.4.</w:instrText>
            </w:r>
            <w:r w:rsidRPr="009F3ED8">
              <w:tab/>
              <w:instrText>Demographic scenario, projected public expenditure on long-term care as % of GDP</w:instrText>
            </w:r>
            <w:bookmarkEnd w:id="223"/>
            <w:r w:rsidRPr="009F3ED8">
              <w:instrText xml:space="preserve">" \ftable \l 5 </w:instrText>
            </w:r>
            <w:r w:rsidRPr="00617176">
              <w:fldChar w:fldCharType="end"/>
            </w:r>
            <w:r w:rsidRPr="00617176">
              <w:rPr>
                <w:noProof/>
                <w:sz w:val="2"/>
                <w:lang w:val="hr-HR" w:eastAsia="hr-HR"/>
              </w:rPr>
              <w:drawing>
                <wp:inline distT="0" distB="0" distL="0" distR="0" wp14:anchorId="4AAF3B59" wp14:editId="3F84A40B">
                  <wp:extent cx="2597595" cy="4078593"/>
                  <wp:effectExtent l="0" t="0" r="0" b="0"/>
                  <wp:docPr id="476" name="Picture 476" descr="&lt;nbr&gt;&lt;GETTEXTFROMWORD&gt;&lt;/nbr&gt;&#10;&lt;title&gt;&lt;GETTEXTFROMWORD&gt;&lt;/title&gt;&#10;&lt;id&gt;96a713ec-b983-4631-a119-3e920d91ffc6&lt;/id&gt;&#10;&lt;srcType&gt;EXCEL&lt;/srcType&gt;&#10;&lt;srcPath&gt;U:\Budgetary projections 2018\Reports\2018 AR\Tables_and_graphs\Part II Chapter 3\&lt;/srcPath&gt;&#10;&lt;srcName&gt;Additional tables and charts - CHAP 3.xls&lt;/srcName&gt;&#10;&lt;type&gt;table&lt;/type&gt;&#10; &lt;srcSheet&gt;Table II.3.2 demo&lt;/srcSheet&gt;&#10; &lt;srcRange&gt;R2C2:R36C6&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597595" cy="4078593"/>
                          </a:xfrm>
                          <a:prstGeom prst="rect">
                            <a:avLst/>
                          </a:prstGeom>
                          <a:noFill/>
                          <a:ln>
                            <a:noFill/>
                          </a:ln>
                        </pic:spPr>
                      </pic:pic>
                    </a:graphicData>
                  </a:graphic>
                </wp:inline>
              </w:drawing>
            </w:r>
          </w:p>
        </w:tc>
      </w:tr>
      <w:tr w:rsidR="00223A02" w:rsidRPr="00617176" w14:paraId="16891B28" w14:textId="77777777" w:rsidTr="00460C69">
        <w:trPr>
          <w:cantSplit/>
        </w:trPr>
        <w:tc>
          <w:tcPr>
            <w:tcW w:w="4110" w:type="dxa"/>
            <w:shd w:val="clear" w:color="auto" w:fill="auto"/>
          </w:tcPr>
          <w:p w14:paraId="3DF2613C" w14:textId="77777777" w:rsidR="00223A02" w:rsidRPr="00617176" w:rsidRDefault="00223A02" w:rsidP="00460C69">
            <w:pPr>
              <w:pStyle w:val="TableSource"/>
            </w:pPr>
            <w:r w:rsidRPr="00617176">
              <w:rPr>
                <w:b/>
                <w:i/>
              </w:rPr>
              <w:t>Source:</w:t>
            </w:r>
            <w:r w:rsidRPr="00617176">
              <w:t xml:space="preserve"> Commission services, EPC.</w:t>
            </w:r>
          </w:p>
        </w:tc>
      </w:tr>
      <w:tr w:rsidR="00223A02" w:rsidRPr="00617176" w14:paraId="4A3D1457" w14:textId="77777777" w:rsidTr="00460C69">
        <w:trPr>
          <w:cantSplit/>
          <w:trHeight w:val="20"/>
        </w:trPr>
        <w:tc>
          <w:tcPr>
            <w:tcW w:w="4110" w:type="dxa"/>
            <w:shd w:val="clear" w:color="auto" w:fill="auto"/>
            <w:tcMar>
              <w:bottom w:w="240" w:type="dxa"/>
            </w:tcMar>
          </w:tcPr>
          <w:p w14:paraId="24E397A3" w14:textId="77777777" w:rsidR="00223A02" w:rsidRPr="00617176" w:rsidRDefault="00223A02" w:rsidP="00460C69">
            <w:pPr>
              <w:pStyle w:val="SlimCell"/>
            </w:pPr>
          </w:p>
        </w:tc>
      </w:tr>
    </w:tbl>
    <w:p w14:paraId="24423C6D" w14:textId="77777777" w:rsidR="00223A02" w:rsidRPr="00617176" w:rsidRDefault="00223A02" w:rsidP="00460C69">
      <w:r w:rsidRPr="00617176">
        <w:t xml:space="preserve">The </w:t>
      </w:r>
      <w:r w:rsidRPr="00617176">
        <w:rPr>
          <w:b/>
          <w:i/>
        </w:rPr>
        <w:t>"demographic scenario"</w:t>
      </w:r>
      <w:r w:rsidRPr="00617176">
        <w:t xml:space="preserve"> aims to isolate the size effect of an ageing population on public expenditure on LTC; for all types of LTC services, expenditure per user grows in line with GDP per capita.</w:t>
      </w:r>
    </w:p>
    <w:p w14:paraId="1C14EDE1" w14:textId="77777777" w:rsidR="00223A02" w:rsidRPr="00617176" w:rsidRDefault="00223A02" w:rsidP="00460C69">
      <w:r w:rsidRPr="00617176">
        <w:t xml:space="preserve">Graph </w:t>
      </w:r>
      <w:r w:rsidRPr="00617176">
        <w:fldChar w:fldCharType="begin"/>
      </w:r>
      <w:r w:rsidRPr="00617176">
        <w:instrText xml:space="preserve"> QUOTE "II.3.10"</w:instrText>
      </w:r>
      <w:r w:rsidRPr="00617176">
        <w:fldChar w:fldCharType="begin">
          <w:fldData xml:space="preserve">QwBSAE8AUwBTAFIARQBGAEUAUgBFAE4AQwBFACoARwBSAEEAUABIACoAMQA1AGUAMABkADQAZgBl
AC0AZgA2AGUAMgAtADQAZgA4AGUALQBiAGMANgBhAC0AOQA1ADcAYQA0ADUAOQBmAGUAOAA3ADcA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II.3.10</w:t>
      </w:r>
      <w:r w:rsidRPr="00617176">
        <w:fldChar w:fldCharType="end"/>
      </w:r>
      <w:r w:rsidRPr="00617176">
        <w:t xml:space="preserve"> shows the projected increase in public expenditure in this scenario from 2016 to 2070, while Table </w:t>
      </w:r>
      <w:r w:rsidRPr="00617176">
        <w:fldChar w:fldCharType="begin"/>
      </w:r>
      <w:r w:rsidRPr="00617176">
        <w:instrText xml:space="preserve"> QUOTE "II.3.4"</w:instrText>
      </w:r>
      <w:r w:rsidRPr="00617176">
        <w:fldChar w:fldCharType="begin">
          <w:fldData xml:space="preserve">QwBSAE8AUwBTAFIARQBGAEUAUgBFAE4AQwBFACoAVABBAEIATABFACoAOQA2AGEANwAxADMAZQBj
AC0AYgA5ADgAMwAtADQANgAzADEALQBhADEAMQA5AC0AMwBlADkAMgAwAGQAOQAxAGYAZgBjADYA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II.3.4</w:t>
      </w:r>
      <w:r w:rsidRPr="00617176">
        <w:fldChar w:fldCharType="end"/>
      </w:r>
      <w:r w:rsidRPr="00617176">
        <w:t xml:space="preserve"> shows projected expenditure levels. For the EU, public expenditure on LTC is projected to increase by 1.3 pps. of GDP i.e. from 1.6% in 2016 to 2.9 % of GDP in 2070. This is equivalent to an increase of expenditure by </w:t>
      </w:r>
      <w:r w:rsidRPr="00617176">
        <w:lastRenderedPageBreak/>
        <w:t xml:space="preserve">81%. The projected increase ranges from 0.1 pps. of GDP in Latvia, Greece and Bulgaria to 2.7 pps. in the Netherlands, and 3.1 pps. in Norway.  </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30B6C99A" w14:textId="77777777" w:rsidTr="00460C69">
        <w:trPr>
          <w:cantSplit/>
        </w:trPr>
        <w:tc>
          <w:tcPr>
            <w:tcW w:w="4110" w:type="dxa"/>
            <w:shd w:val="clear" w:color="auto" w:fill="auto"/>
          </w:tcPr>
          <w:p w14:paraId="69F680C4" w14:textId="77777777" w:rsidR="00223A02" w:rsidRPr="00617176" w:rsidRDefault="00223A02" w:rsidP="00460C69">
            <w:pPr>
              <w:pStyle w:val="GraphTitle"/>
              <w:rPr>
                <w:b/>
              </w:rPr>
            </w:pPr>
            <w:r w:rsidRPr="00617176">
              <w:t>Graph II.3.10:</w:t>
            </w:r>
            <w:r w:rsidRPr="00617176">
              <w:rPr>
                <w:b/>
              </w:rPr>
              <w:tab/>
              <w:t>Demographic scenario, current and projected levels of public expenditure on LTC as % of GDP; 2016-2070</w:t>
            </w:r>
          </w:p>
        </w:tc>
      </w:tr>
      <w:tr w:rsidR="00223A02" w:rsidRPr="00617176" w14:paraId="74E75F58" w14:textId="77777777" w:rsidTr="00460C69">
        <w:trPr>
          <w:cantSplit/>
        </w:trPr>
        <w:tc>
          <w:tcPr>
            <w:tcW w:w="4110" w:type="dxa"/>
            <w:shd w:val="clear" w:color="auto" w:fill="auto"/>
          </w:tcPr>
          <w:p w14:paraId="6F60F016" w14:textId="77777777" w:rsidR="00223A02" w:rsidRPr="00617176" w:rsidRDefault="00223A02" w:rsidP="00460C69">
            <w:pPr>
              <w:pStyle w:val="GraphShape"/>
              <w:rPr>
                <w:sz w:val="2"/>
              </w:rPr>
            </w:pPr>
            <w:r w:rsidRPr="00617176">
              <w:fldChar w:fldCharType="begin"/>
            </w:r>
            <w:r w:rsidRPr="009F3ED8">
              <w:instrText xml:space="preserve"> TC "</w:instrText>
            </w:r>
            <w:bookmarkStart w:id="224" w:name="_Toc511664697"/>
            <w:r w:rsidRPr="009F3ED8">
              <w:instrText>II.3.10.</w:instrText>
            </w:r>
            <w:r w:rsidRPr="009F3ED8">
              <w:tab/>
              <w:instrText>Demographic scenario, current and projected levels of public expenditure on LTC as % of GDP; 2016-2070</w:instrText>
            </w:r>
            <w:bookmarkEnd w:id="224"/>
            <w:r w:rsidRPr="009F3ED8">
              <w:instrText xml:space="preserve">" \fgraph \l 5 </w:instrText>
            </w:r>
            <w:r w:rsidRPr="00617176">
              <w:fldChar w:fldCharType="end"/>
            </w:r>
            <w:r w:rsidRPr="00617176">
              <w:rPr>
                <w:noProof/>
                <w:sz w:val="2"/>
                <w:lang w:val="hr-HR" w:eastAsia="hr-HR"/>
              </w:rPr>
              <w:drawing>
                <wp:inline distT="0" distB="0" distL="0" distR="0" wp14:anchorId="5E960440" wp14:editId="3C2DE550">
                  <wp:extent cx="2597595" cy="4584065"/>
                  <wp:effectExtent l="0" t="0" r="0" b="6985"/>
                  <wp:docPr id="477" name="Picture 477" descr="&lt;nbr&gt;&lt;GETTEXTFROMWORD&gt;&lt;/nbr&gt;&#10;&lt;title&gt;&lt;GETTEXTFROMWORD&gt;&lt;/title&gt;&#10;&lt;id&gt;15e0d4fe-f6e2-4f8e-bc6a-957a459fe877&lt;/id&gt;&#10;&lt;srcType&gt;EXCEL&lt;/srcType&gt;&#10;&lt;srcPath&gt;U:\Budgetary projections 2018\Reports\2018 AR\Tables_and_graphs\Part II Chapter 3\&lt;/srcPath&gt;&#10;&lt;srcName&gt;Additional tables and charts - CHAP 3.xls&lt;/srcName&gt;&#10;&lt;type&gt;graph&lt;/type&gt;&#10; &lt;srcSheet&gt;Graph II.3.9&lt;/srcSheet&gt;&#10; &lt;srcChartTitle&gt;Chart 1&lt;/srcChartTitl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597595" cy="4584065"/>
                          </a:xfrm>
                          <a:prstGeom prst="rect">
                            <a:avLst/>
                          </a:prstGeom>
                          <a:noFill/>
                          <a:ln>
                            <a:noFill/>
                          </a:ln>
                        </pic:spPr>
                      </pic:pic>
                    </a:graphicData>
                  </a:graphic>
                </wp:inline>
              </w:drawing>
            </w:r>
          </w:p>
        </w:tc>
      </w:tr>
      <w:tr w:rsidR="00223A02" w:rsidRPr="00617176" w14:paraId="13BACE3E" w14:textId="77777777" w:rsidTr="00460C69">
        <w:trPr>
          <w:cantSplit/>
        </w:trPr>
        <w:tc>
          <w:tcPr>
            <w:tcW w:w="4110" w:type="dxa"/>
            <w:shd w:val="clear" w:color="auto" w:fill="auto"/>
            <w:tcMar>
              <w:bottom w:w="240" w:type="dxa"/>
            </w:tcMar>
          </w:tcPr>
          <w:p w14:paraId="6B41ADC6" w14:textId="77777777" w:rsidR="00223A02" w:rsidRDefault="00223A02" w:rsidP="00460C69">
            <w:pPr>
              <w:pStyle w:val="GraphFootnote"/>
              <w:keepNext/>
            </w:pPr>
            <w:r>
              <w:t>Notes: Public expenditure on LTC is defined as long-term nursing care category HC.3 and social care category HCR.1 based on the methodology of the System of Health Accounts 2011. Where the latter category is not available, a proxy is constructed from ESSPROS data. The level of expenditure in 2016 is the first year of projected expenditure based on the latest available data.</w:t>
            </w:r>
          </w:p>
          <w:p w14:paraId="51B47A0B" w14:textId="77777777" w:rsidR="00223A02" w:rsidRPr="00617176" w:rsidRDefault="00223A02" w:rsidP="00460C69">
            <w:pPr>
              <w:pStyle w:val="GraphSource"/>
              <w:keepNext/>
            </w:pPr>
            <w:r w:rsidRPr="00617176">
              <w:rPr>
                <w:b/>
                <w:i/>
              </w:rPr>
              <w:t>Source:</w:t>
            </w:r>
            <w:r w:rsidRPr="00617176">
              <w:t xml:space="preserve"> European Commission, EPC.</w:t>
            </w:r>
          </w:p>
        </w:tc>
      </w:tr>
    </w:tbl>
    <w:p w14:paraId="0086D6A0" w14:textId="77777777" w:rsidR="00223A02" w:rsidRPr="00617176" w:rsidRDefault="00223A02" w:rsidP="00460C69">
      <w:r w:rsidRPr="00617176">
        <w:t xml:space="preserve">The </w:t>
      </w:r>
      <w:r w:rsidRPr="00617176">
        <w:rPr>
          <w:b/>
          <w:i/>
        </w:rPr>
        <w:t>"base case scenario"</w:t>
      </w:r>
      <w:r w:rsidRPr="00617176">
        <w:t xml:space="preserve"> additionally focuses on the highly labour-intensive characteristic of the long-term care services by letting in-kind LTC benefits profile grow in line with GDP per hours worked. This is the common assumption to all scenarios – except in the </w:t>
      </w:r>
      <w:r w:rsidRPr="00617176">
        <w:rPr>
          <w:i/>
        </w:rPr>
        <w:t>"demographic scenario"</w:t>
      </w:r>
      <w:r w:rsidRPr="00617176">
        <w:t xml:space="preserve"> .</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09D57B0D" w14:textId="77777777" w:rsidTr="00460C69">
        <w:trPr>
          <w:cantSplit/>
          <w:trHeight w:val="20"/>
        </w:trPr>
        <w:tc>
          <w:tcPr>
            <w:tcW w:w="4110" w:type="dxa"/>
            <w:shd w:val="clear" w:color="auto" w:fill="auto"/>
          </w:tcPr>
          <w:p w14:paraId="4FE47125" w14:textId="77777777" w:rsidR="00223A02" w:rsidRPr="00617176" w:rsidRDefault="00223A02" w:rsidP="00460C69">
            <w:pPr>
              <w:pStyle w:val="SlimCell"/>
              <w:keepNext/>
            </w:pPr>
          </w:p>
        </w:tc>
      </w:tr>
      <w:tr w:rsidR="00223A02" w:rsidRPr="00617176" w14:paraId="3768A0D4" w14:textId="77777777" w:rsidTr="00460C69">
        <w:trPr>
          <w:cantSplit/>
        </w:trPr>
        <w:tc>
          <w:tcPr>
            <w:tcW w:w="4110" w:type="dxa"/>
            <w:shd w:val="clear" w:color="auto" w:fill="auto"/>
          </w:tcPr>
          <w:p w14:paraId="5DDE6229" w14:textId="77777777" w:rsidR="00223A02" w:rsidRPr="00617176" w:rsidRDefault="00223A02" w:rsidP="00460C69">
            <w:pPr>
              <w:pStyle w:val="TableTitle"/>
              <w:rPr>
                <w:b/>
              </w:rPr>
            </w:pPr>
            <w:r w:rsidRPr="00617176">
              <w:t>Table II.3.5:</w:t>
            </w:r>
            <w:r w:rsidRPr="00617176">
              <w:rPr>
                <w:b/>
              </w:rPr>
              <w:tab/>
              <w:t>Base case scenario, projected public expenditure on long-term care as % of GDP</w:t>
            </w:r>
          </w:p>
        </w:tc>
      </w:tr>
      <w:tr w:rsidR="00223A02" w:rsidRPr="00617176" w14:paraId="35AFF0AD" w14:textId="77777777" w:rsidTr="00460C69">
        <w:trPr>
          <w:cantSplit/>
        </w:trPr>
        <w:tc>
          <w:tcPr>
            <w:tcW w:w="4110" w:type="dxa"/>
            <w:shd w:val="clear" w:color="auto" w:fill="auto"/>
          </w:tcPr>
          <w:p w14:paraId="43EEA800" w14:textId="77777777" w:rsidR="00223A02" w:rsidRPr="00617176" w:rsidRDefault="00223A02" w:rsidP="00460C69">
            <w:pPr>
              <w:pStyle w:val="TableShape"/>
              <w:rPr>
                <w:sz w:val="2"/>
              </w:rPr>
            </w:pPr>
            <w:r w:rsidRPr="00617176">
              <w:fldChar w:fldCharType="begin"/>
            </w:r>
            <w:r w:rsidRPr="009F3ED8">
              <w:instrText xml:space="preserve"> TC "</w:instrText>
            </w:r>
            <w:bookmarkStart w:id="225" w:name="_Toc511664567"/>
            <w:r w:rsidRPr="009F3ED8">
              <w:instrText>II.3.5.</w:instrText>
            </w:r>
            <w:r w:rsidRPr="009F3ED8">
              <w:tab/>
              <w:instrText>Base case scenario, projected public expenditure on long-term care as % of GDP</w:instrText>
            </w:r>
            <w:bookmarkEnd w:id="225"/>
            <w:r w:rsidRPr="009F3ED8">
              <w:instrText xml:space="preserve">" \ftable \l 5 </w:instrText>
            </w:r>
            <w:r w:rsidRPr="00617176">
              <w:fldChar w:fldCharType="end"/>
            </w:r>
            <w:r w:rsidRPr="00617176">
              <w:rPr>
                <w:noProof/>
                <w:sz w:val="2"/>
                <w:lang w:val="hr-HR" w:eastAsia="hr-HR"/>
              </w:rPr>
              <w:drawing>
                <wp:inline distT="0" distB="0" distL="0" distR="0" wp14:anchorId="47C314A4" wp14:editId="21FBA49B">
                  <wp:extent cx="2597595" cy="4078593"/>
                  <wp:effectExtent l="0" t="0" r="0" b="0"/>
                  <wp:docPr id="478" name="Picture 478" descr="&lt;nbr&gt;&lt;GETTEXTFROMWORD&gt;&lt;/nbr&gt;&#10;&lt;title&gt;&lt;GETTEXTFROMWORD&gt;&lt;/title&gt;&#10;&lt;id&gt;80914633-4d3d-49ec-ad74-86bfeee569e8&lt;/id&gt;&#10;&lt;srcType&gt;EXCEL&lt;/srcType&gt;&#10;&lt;srcPath&gt;U:\Budgetary projections 2018\Reports\2018 AR\Tables_and_graphs\Part II Chapter 3\&lt;/srcPath&gt;&#10;&lt;srcName&gt;Additional tables and charts - CHAP 3.xls&lt;/srcName&gt;&#10;&lt;type&gt;table&lt;/type&gt;&#10; &lt;srcSheet&gt;Table II.3.3 basecase&lt;/srcSheet&gt;&#10; &lt;srcRange&gt;R2C2:R36C6&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597595" cy="4078593"/>
                          </a:xfrm>
                          <a:prstGeom prst="rect">
                            <a:avLst/>
                          </a:prstGeom>
                          <a:noFill/>
                          <a:ln>
                            <a:noFill/>
                          </a:ln>
                        </pic:spPr>
                      </pic:pic>
                    </a:graphicData>
                  </a:graphic>
                </wp:inline>
              </w:drawing>
            </w:r>
          </w:p>
        </w:tc>
      </w:tr>
      <w:tr w:rsidR="00223A02" w:rsidRPr="00617176" w14:paraId="53878008" w14:textId="77777777" w:rsidTr="00460C69">
        <w:trPr>
          <w:cantSplit/>
        </w:trPr>
        <w:tc>
          <w:tcPr>
            <w:tcW w:w="4110" w:type="dxa"/>
            <w:shd w:val="clear" w:color="auto" w:fill="auto"/>
          </w:tcPr>
          <w:p w14:paraId="39B0ED2C" w14:textId="77777777" w:rsidR="00223A02" w:rsidRPr="00617176" w:rsidRDefault="00223A02" w:rsidP="00460C69">
            <w:pPr>
              <w:pStyle w:val="TableSource"/>
            </w:pPr>
            <w:r w:rsidRPr="00617176">
              <w:rPr>
                <w:b/>
                <w:i/>
              </w:rPr>
              <w:t>Source:</w:t>
            </w:r>
            <w:r w:rsidRPr="00617176">
              <w:t xml:space="preserve"> Commission services, EPC.</w:t>
            </w:r>
          </w:p>
        </w:tc>
      </w:tr>
      <w:tr w:rsidR="00223A02" w:rsidRPr="00617176" w14:paraId="278FC34A" w14:textId="77777777" w:rsidTr="00460C69">
        <w:trPr>
          <w:cantSplit/>
          <w:trHeight w:val="20"/>
        </w:trPr>
        <w:tc>
          <w:tcPr>
            <w:tcW w:w="4110" w:type="dxa"/>
            <w:shd w:val="clear" w:color="auto" w:fill="auto"/>
            <w:tcMar>
              <w:bottom w:w="240" w:type="dxa"/>
            </w:tcMar>
          </w:tcPr>
          <w:p w14:paraId="1047A4F3" w14:textId="77777777" w:rsidR="00223A02" w:rsidRPr="00617176" w:rsidRDefault="00223A02" w:rsidP="00460C69">
            <w:pPr>
              <w:pStyle w:val="SlimCell"/>
            </w:pPr>
          </w:p>
        </w:tc>
      </w:tr>
    </w:tbl>
    <w:p w14:paraId="5143AC86" w14:textId="77777777" w:rsidR="00223A02" w:rsidRPr="00617176" w:rsidRDefault="00223A02" w:rsidP="00460C69">
      <w:r w:rsidRPr="00617176">
        <w:t xml:space="preserve">Table </w:t>
      </w:r>
      <w:r w:rsidRPr="00617176">
        <w:fldChar w:fldCharType="begin"/>
      </w:r>
      <w:r w:rsidRPr="00617176">
        <w:instrText xml:space="preserve"> QUOTE "II.3.5"</w:instrText>
      </w:r>
      <w:r w:rsidRPr="00617176">
        <w:fldChar w:fldCharType="begin">
          <w:fldData xml:space="preserve">QwBSAE8AUwBTAFIARQBGAEUAUgBFAE4AQwBFACoAVABBAEIATABFACoAOAAwADkAMQA0ADYAMwAz
AC0ANABkADMAZAAtADQAOQBlAGMALQBhAGQANwA0AC0AOAA2AGIAZgBlAGUAZQA1ADYAOQBlADgA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II.3.5</w:t>
      </w:r>
      <w:r w:rsidRPr="00617176">
        <w:fldChar w:fldCharType="end"/>
      </w:r>
      <w:r w:rsidRPr="00617176">
        <w:t xml:space="preserve"> presents the projected expenditure for the base case scenario. When LTC in-kind costs evolve in line with labour productivity, public expenditure is projected to increase on average by 1.4 pps. of GDP. This is slightly higher than in the </w:t>
      </w:r>
      <w:r w:rsidRPr="00617176">
        <w:rPr>
          <w:i/>
        </w:rPr>
        <w:t>"demographic scenario"</w:t>
      </w:r>
      <w:r w:rsidRPr="00617176">
        <w:t xml:space="preserve">. </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70AECBD0" w14:textId="77777777" w:rsidTr="00460C69">
        <w:trPr>
          <w:cantSplit/>
          <w:trHeight w:val="20"/>
        </w:trPr>
        <w:tc>
          <w:tcPr>
            <w:tcW w:w="4110" w:type="dxa"/>
            <w:shd w:val="clear" w:color="auto" w:fill="auto"/>
          </w:tcPr>
          <w:p w14:paraId="2C3E64D3" w14:textId="77777777" w:rsidR="00223A02" w:rsidRPr="00617176" w:rsidRDefault="00223A02" w:rsidP="00460C69">
            <w:pPr>
              <w:pStyle w:val="SlimCell"/>
              <w:keepNext/>
            </w:pPr>
          </w:p>
        </w:tc>
      </w:tr>
      <w:tr w:rsidR="00223A02" w:rsidRPr="00617176" w14:paraId="039468DE" w14:textId="77777777" w:rsidTr="00460C69">
        <w:trPr>
          <w:cantSplit/>
        </w:trPr>
        <w:tc>
          <w:tcPr>
            <w:tcW w:w="4110" w:type="dxa"/>
            <w:shd w:val="clear" w:color="auto" w:fill="auto"/>
          </w:tcPr>
          <w:p w14:paraId="7CCDF09B" w14:textId="77777777" w:rsidR="00223A02" w:rsidRPr="00617176" w:rsidRDefault="00223A02" w:rsidP="00460C69">
            <w:pPr>
              <w:pStyle w:val="TableTitle"/>
              <w:rPr>
                <w:b/>
              </w:rPr>
            </w:pPr>
            <w:r w:rsidRPr="00617176">
              <w:t>Table II.3.6:</w:t>
            </w:r>
            <w:r w:rsidRPr="00617176">
              <w:rPr>
                <w:b/>
              </w:rPr>
              <w:tab/>
              <w:t>High life expectancy scenario, projected public expenditure on long-term care as % of GDP</w:t>
            </w:r>
          </w:p>
        </w:tc>
      </w:tr>
      <w:tr w:rsidR="00223A02" w:rsidRPr="00617176" w14:paraId="44B1AB01" w14:textId="77777777" w:rsidTr="00460C69">
        <w:trPr>
          <w:cantSplit/>
        </w:trPr>
        <w:tc>
          <w:tcPr>
            <w:tcW w:w="4110" w:type="dxa"/>
            <w:shd w:val="clear" w:color="auto" w:fill="auto"/>
          </w:tcPr>
          <w:p w14:paraId="6F87B82E" w14:textId="77777777" w:rsidR="00223A02" w:rsidRPr="00617176" w:rsidRDefault="00223A02" w:rsidP="00460C69">
            <w:pPr>
              <w:pStyle w:val="TableShape"/>
              <w:rPr>
                <w:sz w:val="2"/>
              </w:rPr>
            </w:pPr>
            <w:r w:rsidRPr="00617176">
              <w:fldChar w:fldCharType="begin"/>
            </w:r>
            <w:r w:rsidRPr="009F3ED8">
              <w:instrText xml:space="preserve"> TC "</w:instrText>
            </w:r>
            <w:bookmarkStart w:id="226" w:name="_Toc511664568"/>
            <w:r w:rsidRPr="009F3ED8">
              <w:instrText>II.3.6.</w:instrText>
            </w:r>
            <w:r w:rsidRPr="009F3ED8">
              <w:tab/>
              <w:instrText>High life expectancy scenario, projected public expenditure on long-term care as % of GDP</w:instrText>
            </w:r>
            <w:bookmarkEnd w:id="226"/>
            <w:r w:rsidRPr="009F3ED8">
              <w:instrText xml:space="preserve">" \ftable \l 5 </w:instrText>
            </w:r>
            <w:r w:rsidRPr="00617176">
              <w:fldChar w:fldCharType="end"/>
            </w:r>
            <w:r w:rsidRPr="00617176">
              <w:rPr>
                <w:noProof/>
                <w:sz w:val="2"/>
                <w:lang w:val="hr-HR" w:eastAsia="hr-HR"/>
              </w:rPr>
              <w:drawing>
                <wp:inline distT="0" distB="0" distL="0" distR="0" wp14:anchorId="4DE69DA8" wp14:editId="233B1D96">
                  <wp:extent cx="2597595" cy="4078593"/>
                  <wp:effectExtent l="0" t="0" r="0" b="0"/>
                  <wp:docPr id="479" name="Picture 479" descr="&lt;nbr&gt;&lt;GETTEXTFROMWORD&gt;&lt;/nbr&gt;&#10;&lt;title&gt;&lt;GETTEXTFROMWORD&gt;&lt;/title&gt;&#10;&lt;id&gt;96418ef8-cc7a-460f-a5aa-9e15c4cbe424&lt;/id&gt;&#10;&lt;srcType&gt;EXCEL&lt;/srcType&gt;&#10;&lt;srcPath&gt;U:\Budgetary projections 2018\Reports\2018 AR\Tables_and_graphs\Part II Chapter 3\&lt;/srcPath&gt;&#10;&lt;srcName&gt;Additional tables and charts - CHAP 3.xls&lt;/srcName&gt;&#10;&lt;type&gt;table&lt;/type&gt;&#10; &lt;srcSheet&gt;Table II.3.4 HLE&lt;/srcSheet&gt;&#10; &lt;srcRange&gt;R2C2:R36C6&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597595" cy="4078593"/>
                          </a:xfrm>
                          <a:prstGeom prst="rect">
                            <a:avLst/>
                          </a:prstGeom>
                          <a:noFill/>
                          <a:ln>
                            <a:noFill/>
                          </a:ln>
                        </pic:spPr>
                      </pic:pic>
                    </a:graphicData>
                  </a:graphic>
                </wp:inline>
              </w:drawing>
            </w:r>
          </w:p>
        </w:tc>
      </w:tr>
      <w:tr w:rsidR="00223A02" w:rsidRPr="00617176" w14:paraId="0EB3C6BC" w14:textId="77777777" w:rsidTr="00460C69">
        <w:trPr>
          <w:cantSplit/>
        </w:trPr>
        <w:tc>
          <w:tcPr>
            <w:tcW w:w="4110" w:type="dxa"/>
            <w:shd w:val="clear" w:color="auto" w:fill="auto"/>
          </w:tcPr>
          <w:p w14:paraId="6EFA2D96" w14:textId="77777777" w:rsidR="00223A02" w:rsidRPr="00617176" w:rsidRDefault="00223A02" w:rsidP="00460C69">
            <w:pPr>
              <w:pStyle w:val="TableSource"/>
            </w:pPr>
            <w:r w:rsidRPr="00617176">
              <w:rPr>
                <w:b/>
                <w:i/>
              </w:rPr>
              <w:t>Source:</w:t>
            </w:r>
            <w:r w:rsidRPr="00617176">
              <w:t xml:space="preserve"> Commission services, EPC.</w:t>
            </w:r>
          </w:p>
        </w:tc>
      </w:tr>
      <w:tr w:rsidR="00223A02" w:rsidRPr="00617176" w14:paraId="0A8E5E4B" w14:textId="77777777" w:rsidTr="00460C69">
        <w:trPr>
          <w:cantSplit/>
          <w:trHeight w:val="20"/>
        </w:trPr>
        <w:tc>
          <w:tcPr>
            <w:tcW w:w="4110" w:type="dxa"/>
            <w:shd w:val="clear" w:color="auto" w:fill="auto"/>
            <w:tcMar>
              <w:bottom w:w="240" w:type="dxa"/>
            </w:tcMar>
          </w:tcPr>
          <w:p w14:paraId="21DBDBDC" w14:textId="77777777" w:rsidR="00223A02" w:rsidRPr="00617176" w:rsidRDefault="00223A02" w:rsidP="00460C69">
            <w:pPr>
              <w:pStyle w:val="SlimCell"/>
            </w:pPr>
          </w:p>
        </w:tc>
      </w:tr>
    </w:tbl>
    <w:p w14:paraId="12C40EC8" w14:textId="77777777" w:rsidR="00223A02" w:rsidRPr="00617176" w:rsidRDefault="00223A02" w:rsidP="00460C69">
      <w:r w:rsidRPr="00617176">
        <w:t xml:space="preserve">These results are due to the fact that, for most countries, the growth in GDP per hours worked is higher than the growth in GDP per capita for most or all of the projection period. The smallest expenditure increase is observed for Greece (+0.1 pps.) and the largest projected increases are observed for the Netherlands (+3.0 pps.) and Norway (+3.9 pps.). </w:t>
      </w:r>
    </w:p>
    <w:p w14:paraId="0677D697" w14:textId="77777777" w:rsidR="00223A02" w:rsidRPr="00617176" w:rsidRDefault="00223A02" w:rsidP="00460C69">
      <w:r w:rsidRPr="00617176">
        <w:t xml:space="preserve">The </w:t>
      </w:r>
      <w:r w:rsidRPr="00617176">
        <w:rPr>
          <w:b/>
          <w:i/>
        </w:rPr>
        <w:t>"high life expectancy scenario"</w:t>
      </w:r>
      <w:r w:rsidRPr="00617176">
        <w:t xml:space="preserve"> assumes that life expectancy in 2070 is higher by two years than in the</w:t>
      </w:r>
      <w:r w:rsidRPr="00617176">
        <w:rPr>
          <w:i/>
        </w:rPr>
        <w:t xml:space="preserve"> "base case scenario"</w:t>
      </w:r>
      <w:r w:rsidRPr="00617176">
        <w:t>.</w:t>
      </w:r>
    </w:p>
    <w:p w14:paraId="3E7020B8" w14:textId="77777777" w:rsidR="00223A02" w:rsidRPr="00617176" w:rsidRDefault="00223A02" w:rsidP="00460C69">
      <w:r w:rsidRPr="00617176">
        <w:t xml:space="preserve">Table </w:t>
      </w:r>
      <w:r w:rsidRPr="00617176">
        <w:fldChar w:fldCharType="begin"/>
      </w:r>
      <w:r w:rsidRPr="00617176">
        <w:instrText xml:space="preserve"> QUOTE "II.3.6"</w:instrText>
      </w:r>
      <w:r w:rsidRPr="00617176">
        <w:fldChar w:fldCharType="begin">
          <w:fldData xml:space="preserve">QwBSAE8AUwBTAFIARQBGAEUAUgBFAE4AQwBFACoAVABBAEIATABFACoAOQA2ADQAMQA4AGUAZgA4
AC0AYwBjADcAYQAtADQANgAwAGYALQBhADUAYQBhAC0AOQBlADEANQBjADQAYwBiAGUANAAyADQA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II.3.6</w:t>
      </w:r>
      <w:r w:rsidRPr="00617176">
        <w:fldChar w:fldCharType="end"/>
      </w:r>
      <w:r w:rsidRPr="00617176">
        <w:t xml:space="preserve"> presents the projected expenditure for this scenario. As the assumed two extra years of increase in life expectancy (at birth) would imply an increased period of time within which care needs to be provided, public expenditure would increase by 0.4 pps. above the </w:t>
      </w:r>
      <w:r w:rsidRPr="00617176">
        <w:rPr>
          <w:i/>
        </w:rPr>
        <w:t>"base case scenario"</w:t>
      </w:r>
      <w:r w:rsidRPr="00617176">
        <w:t xml:space="preserve">. </w:t>
      </w:r>
    </w:p>
    <w:p w14:paraId="6EA3FFB8" w14:textId="77777777" w:rsidR="00223A02" w:rsidRPr="00617176" w:rsidRDefault="00223A02" w:rsidP="00460C69"/>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2DFB2645" w14:textId="77777777" w:rsidTr="00460C69">
        <w:trPr>
          <w:cantSplit/>
          <w:trHeight w:val="20"/>
        </w:trPr>
        <w:tc>
          <w:tcPr>
            <w:tcW w:w="4110" w:type="dxa"/>
            <w:shd w:val="clear" w:color="auto" w:fill="auto"/>
          </w:tcPr>
          <w:p w14:paraId="24961D9F" w14:textId="77777777" w:rsidR="00223A02" w:rsidRPr="00617176" w:rsidRDefault="00223A02" w:rsidP="00460C69">
            <w:pPr>
              <w:pStyle w:val="SlimCell"/>
              <w:keepNext/>
            </w:pPr>
          </w:p>
        </w:tc>
      </w:tr>
      <w:tr w:rsidR="00223A02" w:rsidRPr="00617176" w14:paraId="3E51F1A0" w14:textId="77777777" w:rsidTr="00460C69">
        <w:trPr>
          <w:cantSplit/>
        </w:trPr>
        <w:tc>
          <w:tcPr>
            <w:tcW w:w="4110" w:type="dxa"/>
            <w:shd w:val="clear" w:color="auto" w:fill="auto"/>
          </w:tcPr>
          <w:p w14:paraId="16F7DFD0" w14:textId="77777777" w:rsidR="00223A02" w:rsidRPr="00617176" w:rsidRDefault="00223A02" w:rsidP="00460C69">
            <w:pPr>
              <w:pStyle w:val="TableTitle"/>
              <w:rPr>
                <w:b/>
              </w:rPr>
            </w:pPr>
            <w:r w:rsidRPr="00617176">
              <w:t>Table II.3.7:</w:t>
            </w:r>
            <w:r w:rsidRPr="00617176">
              <w:rPr>
                <w:b/>
              </w:rPr>
              <w:tab/>
              <w:t>Healthy ageing scenario, projected public expenditure on long-term care as % of GDP</w:t>
            </w:r>
          </w:p>
        </w:tc>
      </w:tr>
      <w:tr w:rsidR="00223A02" w:rsidRPr="00617176" w14:paraId="28AC71FC" w14:textId="77777777" w:rsidTr="00460C69">
        <w:trPr>
          <w:cantSplit/>
        </w:trPr>
        <w:tc>
          <w:tcPr>
            <w:tcW w:w="4110" w:type="dxa"/>
            <w:shd w:val="clear" w:color="auto" w:fill="auto"/>
          </w:tcPr>
          <w:p w14:paraId="68AF5067" w14:textId="77777777" w:rsidR="00223A02" w:rsidRPr="00617176" w:rsidRDefault="00223A02" w:rsidP="00460C69">
            <w:pPr>
              <w:pStyle w:val="TableShape"/>
              <w:rPr>
                <w:sz w:val="2"/>
              </w:rPr>
            </w:pPr>
            <w:r w:rsidRPr="00617176">
              <w:fldChar w:fldCharType="begin"/>
            </w:r>
            <w:r w:rsidRPr="009F3ED8">
              <w:instrText xml:space="preserve"> TC "</w:instrText>
            </w:r>
            <w:bookmarkStart w:id="227" w:name="_Toc511664569"/>
            <w:r w:rsidRPr="009F3ED8">
              <w:instrText>II.3.7.</w:instrText>
            </w:r>
            <w:r w:rsidRPr="009F3ED8">
              <w:tab/>
              <w:instrText>Healthy ageing scenario, projected public expenditure on long-term care as % of GDP</w:instrText>
            </w:r>
            <w:bookmarkEnd w:id="227"/>
            <w:r w:rsidRPr="009F3ED8">
              <w:instrText xml:space="preserve">" \ftable \l 5 </w:instrText>
            </w:r>
            <w:r w:rsidRPr="00617176">
              <w:fldChar w:fldCharType="end"/>
            </w:r>
            <w:r w:rsidRPr="00617176">
              <w:rPr>
                <w:noProof/>
                <w:sz w:val="2"/>
                <w:lang w:val="hr-HR" w:eastAsia="hr-HR"/>
              </w:rPr>
              <w:drawing>
                <wp:inline distT="0" distB="0" distL="0" distR="0" wp14:anchorId="2DEAB805" wp14:editId="20A257F5">
                  <wp:extent cx="2597595" cy="4078593"/>
                  <wp:effectExtent l="0" t="0" r="0" b="0"/>
                  <wp:docPr id="736" name="Picture 736" descr="&lt;nbr&gt;&lt;GETTEXTFROMWORD&gt;&lt;/nbr&gt;&#10;&lt;title&gt;&lt;GETTEXTFROMWORD&gt;&lt;/title&gt;&#10;&lt;id&gt;dfaa048b-5ef9-422c-80d2-c8f0600b5d32&lt;/id&gt;&#10;&lt;srcType&gt;EXCEL&lt;/srcType&gt;&#10;&lt;srcPath&gt;U:\Budgetary projections 2018\Reports\2018 AR\Tables_and_graphs\Part II Chapter 3\&lt;/srcPath&gt;&#10;&lt;srcName&gt;Additional tables and charts - CHAP 3.xls&lt;/srcName&gt;&#10;&lt;type&gt;table&lt;/type&gt;&#10; &lt;srcSheet&gt;Table II.3.5 constdis&lt;/srcSheet&gt;&#10; &lt;srcRange&gt;R2C2:R36C6&lt;/srcRang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597595" cy="4078593"/>
                          </a:xfrm>
                          <a:prstGeom prst="rect">
                            <a:avLst/>
                          </a:prstGeom>
                          <a:noFill/>
                          <a:ln>
                            <a:noFill/>
                          </a:ln>
                        </pic:spPr>
                      </pic:pic>
                    </a:graphicData>
                  </a:graphic>
                </wp:inline>
              </w:drawing>
            </w:r>
          </w:p>
        </w:tc>
      </w:tr>
      <w:tr w:rsidR="00223A02" w:rsidRPr="00617176" w14:paraId="310BECE1" w14:textId="77777777" w:rsidTr="00460C69">
        <w:trPr>
          <w:cantSplit/>
        </w:trPr>
        <w:tc>
          <w:tcPr>
            <w:tcW w:w="4110" w:type="dxa"/>
            <w:shd w:val="clear" w:color="auto" w:fill="auto"/>
          </w:tcPr>
          <w:p w14:paraId="7A9D9FF8" w14:textId="77777777" w:rsidR="00223A02" w:rsidRDefault="00223A02" w:rsidP="00460C69">
            <w:pPr>
              <w:pStyle w:val="TableFootnote"/>
            </w:pPr>
            <w:r>
              <w:t>Note: This scenario was referred to in the 2015 Ageing Report as the "constant disability scenario".</w:t>
            </w:r>
          </w:p>
          <w:p w14:paraId="0C0EDB9E" w14:textId="77777777" w:rsidR="00223A02" w:rsidRPr="00617176" w:rsidRDefault="00223A02" w:rsidP="00460C69">
            <w:pPr>
              <w:pStyle w:val="TableSource"/>
            </w:pPr>
            <w:r w:rsidRPr="00617176">
              <w:rPr>
                <w:b/>
                <w:i/>
              </w:rPr>
              <w:t>Source:</w:t>
            </w:r>
            <w:r w:rsidRPr="00617176">
              <w:t xml:space="preserve"> Commission services, EPC.</w:t>
            </w:r>
          </w:p>
        </w:tc>
      </w:tr>
      <w:tr w:rsidR="00223A02" w:rsidRPr="00617176" w14:paraId="456BB81F" w14:textId="77777777" w:rsidTr="00460C69">
        <w:trPr>
          <w:cantSplit/>
          <w:trHeight w:val="20"/>
        </w:trPr>
        <w:tc>
          <w:tcPr>
            <w:tcW w:w="4110" w:type="dxa"/>
            <w:shd w:val="clear" w:color="auto" w:fill="auto"/>
            <w:tcMar>
              <w:bottom w:w="240" w:type="dxa"/>
            </w:tcMar>
          </w:tcPr>
          <w:p w14:paraId="318B3B39" w14:textId="77777777" w:rsidR="00223A02" w:rsidRPr="00617176" w:rsidRDefault="00223A02" w:rsidP="00460C69">
            <w:pPr>
              <w:pStyle w:val="SlimCell"/>
            </w:pPr>
          </w:p>
        </w:tc>
      </w:tr>
    </w:tbl>
    <w:p w14:paraId="508362DD" w14:textId="77777777" w:rsidR="00223A02" w:rsidRPr="00617176" w:rsidRDefault="00223A02" w:rsidP="00460C69">
      <w:r w:rsidRPr="00617176">
        <w:t xml:space="preserve">The </w:t>
      </w:r>
      <w:r w:rsidRPr="00617176">
        <w:rPr>
          <w:b/>
          <w:i/>
        </w:rPr>
        <w:t>"healthy ageing scenario"</w:t>
      </w:r>
      <w:r w:rsidRPr="00617176">
        <w:t xml:space="preserve"> (relative decrease in morbidity) aims to capture the potential impact of assumed improvements in the health (or non-disability) status of the population. This scenario was referred to in the 2015 Ageing Report as the </w:t>
      </w:r>
      <w:r w:rsidRPr="00617176">
        <w:rPr>
          <w:i/>
        </w:rPr>
        <w:t>"constant disability scenario"</w:t>
      </w:r>
      <w:r w:rsidRPr="00617176">
        <w:t xml:space="preserve">. </w:t>
      </w:r>
    </w:p>
    <w:p w14:paraId="5B749DD0" w14:textId="77777777" w:rsidR="00223A02" w:rsidRPr="00617176" w:rsidRDefault="00223A02" w:rsidP="00460C69">
      <w:r w:rsidRPr="00617176">
        <w:t xml:space="preserve">The results presented in Table </w:t>
      </w:r>
      <w:r w:rsidRPr="00617176">
        <w:fldChar w:fldCharType="begin"/>
      </w:r>
      <w:r w:rsidRPr="00617176">
        <w:instrText xml:space="preserve"> QUOTE "II.3.7"</w:instrText>
      </w:r>
      <w:r w:rsidRPr="00617176">
        <w:fldChar w:fldCharType="begin">
          <w:fldData xml:space="preserve">QwBSAE8AUwBTAFIARQBGAEUAUgBFAE4AQwBFACoAVABBAEIATABFACoAZABmAGEAYQAwADQAOABi
AC0ANQBlAGYAOQAtADQAMgAyAGMALQA4ADAAZAAyAC0AYwA4AGYAMAA2ADAAMABiADUAZAAzADIA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II.3.7</w:t>
      </w:r>
      <w:r w:rsidRPr="00617176">
        <w:fldChar w:fldCharType="end"/>
      </w:r>
      <w:r w:rsidRPr="00617176">
        <w:t xml:space="preserve"> show that an improved disability status would lead to a considerably lower expenditure in future. Public expenditure would increase by 1.1 pps. for the EU or 0.3 pps. below the base case scenario. This lower increase is due to the fact that lower dependency rates translate in lower demand for LTC services.</w:t>
      </w:r>
    </w:p>
    <w:p w14:paraId="23D71320" w14:textId="77777777" w:rsidR="00223A02" w:rsidRPr="00617176" w:rsidRDefault="00223A02" w:rsidP="00460C69">
      <w:r w:rsidRPr="00617176">
        <w:t>Compared to the assumption of no change in health status in the "</w:t>
      </w:r>
      <w:r w:rsidRPr="00617176">
        <w:rPr>
          <w:i/>
        </w:rPr>
        <w:t>high life expectancy scenario"</w:t>
      </w:r>
      <w:r w:rsidRPr="00617176">
        <w:t xml:space="preserve">, </w:t>
      </w:r>
      <w:r w:rsidRPr="00617176">
        <w:lastRenderedPageBreak/>
        <w:t>the countries that see the highest decrease in this scenario (in pps. of GDP) are Sweden, the Netherlands and Norway. This may be expected as these are the countries with some of the highest spending levels on LTC and where a decrease in dependency may therefore make a more visible difference.</w:t>
      </w:r>
    </w:p>
    <w:p w14:paraId="0D056EF2" w14:textId="77777777" w:rsidR="00223A02" w:rsidRPr="00617176" w:rsidRDefault="00223A02" w:rsidP="00460C69">
      <w:pPr>
        <w:pStyle w:val="NumberedHeading2"/>
        <w:tabs>
          <w:tab w:val="left" w:pos="567"/>
        </w:tabs>
      </w:pPr>
      <w:r w:rsidRPr="00617176">
        <w:t>3.4.4.</w:t>
      </w:r>
      <w:r w:rsidRPr="00617176">
        <w:tab/>
        <w:t>Changes in cost and coverage</w:t>
      </w:r>
    </w:p>
    <w:p w14:paraId="247DF5DC" w14:textId="77777777" w:rsidR="00223A02" w:rsidRPr="00617176" w:rsidRDefault="00223A02" w:rsidP="00460C69">
      <w:r w:rsidRPr="00617176">
        <w:t>Results of four policy-change scenarios are presented and discussed here. These capture basically varying assumptions of changing costs and coverage of LTC.</w:t>
      </w:r>
    </w:p>
    <w:p w14:paraId="0F4DB864" w14:textId="77777777" w:rsidR="00223A02" w:rsidRPr="00617176" w:rsidRDefault="00223A02" w:rsidP="00460C69">
      <w:r w:rsidRPr="00617176">
        <w:t xml:space="preserve">The </w:t>
      </w:r>
      <w:r w:rsidRPr="00617176">
        <w:rPr>
          <w:b/>
          <w:i/>
        </w:rPr>
        <w:t>"shift to formal care scenario"</w:t>
      </w:r>
      <w:r w:rsidRPr="00617176">
        <w:t xml:space="preserve"> illustrates the impact of a 10-year progressive shift into the formal service sector of 1% per year of dependent population who have so far received only cash benefits or informal care. LTC is projected to increase by 2.0 pps. of GDP from 2016 up until 2070 (Table </w:t>
      </w:r>
      <w:r w:rsidRPr="00617176">
        <w:fldChar w:fldCharType="begin"/>
      </w:r>
      <w:r w:rsidRPr="00617176">
        <w:instrText xml:space="preserve"> QUOTE "II.3.8"</w:instrText>
      </w:r>
      <w:r w:rsidRPr="00617176">
        <w:fldChar w:fldCharType="begin">
          <w:fldData xml:space="preserve">QwBSAE8AUwBTAFIARQBGAEUAUgBFAE4AQwBFACoAVABBAEIATABFACoAMwBmADYAMgA3ADgAZQAx
AC0AZAA5AGUAOAAtADQAZgA4AGMALQBhAGMAZgAyAC0AOABhADQAZgA5ADEANQA3ADYAOABjADIA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II.3.8</w:t>
      </w:r>
      <w:r w:rsidRPr="00617176">
        <w:fldChar w:fldCharType="end"/>
      </w:r>
      <w:r w:rsidRPr="00617176">
        <w:t xml:space="preserve">), compared to the 1.4 pps. of GDP under the </w:t>
      </w:r>
      <w:r w:rsidRPr="00617176">
        <w:rPr>
          <w:i/>
        </w:rPr>
        <w:t>"base case scenario"</w:t>
      </w:r>
      <w:r w:rsidRPr="00617176">
        <w:t xml:space="preserve">. </w:t>
      </w:r>
    </w:p>
    <w:p w14:paraId="33A78209" w14:textId="77777777" w:rsidR="00223A02" w:rsidRPr="00617176" w:rsidRDefault="00223A02" w:rsidP="00460C69"/>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41256A09" w14:textId="77777777" w:rsidTr="00460C69">
        <w:trPr>
          <w:cantSplit/>
          <w:trHeight w:val="20"/>
        </w:trPr>
        <w:tc>
          <w:tcPr>
            <w:tcW w:w="4110" w:type="dxa"/>
            <w:shd w:val="clear" w:color="auto" w:fill="auto"/>
          </w:tcPr>
          <w:p w14:paraId="3C346577" w14:textId="77777777" w:rsidR="00223A02" w:rsidRPr="00617176" w:rsidRDefault="00223A02" w:rsidP="00460C69">
            <w:pPr>
              <w:pStyle w:val="SlimCell"/>
              <w:keepNext/>
            </w:pPr>
          </w:p>
        </w:tc>
      </w:tr>
      <w:tr w:rsidR="00223A02" w:rsidRPr="00617176" w14:paraId="661D4876" w14:textId="77777777" w:rsidTr="00460C69">
        <w:trPr>
          <w:cantSplit/>
        </w:trPr>
        <w:tc>
          <w:tcPr>
            <w:tcW w:w="4110" w:type="dxa"/>
            <w:shd w:val="clear" w:color="auto" w:fill="auto"/>
          </w:tcPr>
          <w:p w14:paraId="5361B302" w14:textId="77777777" w:rsidR="00223A02" w:rsidRPr="00617176" w:rsidRDefault="00223A02" w:rsidP="00460C69">
            <w:pPr>
              <w:pStyle w:val="TableTitle"/>
              <w:rPr>
                <w:b/>
              </w:rPr>
            </w:pPr>
            <w:r w:rsidRPr="00617176">
              <w:t>Table II.3.8:</w:t>
            </w:r>
            <w:r w:rsidRPr="00617176">
              <w:rPr>
                <w:b/>
              </w:rPr>
              <w:tab/>
              <w:t>Shift from informal to formal care scenario, projected public expenditure on long-term care as % of GDP</w:t>
            </w:r>
          </w:p>
        </w:tc>
      </w:tr>
      <w:tr w:rsidR="00223A02" w:rsidRPr="00617176" w14:paraId="064EDF79" w14:textId="77777777" w:rsidTr="00460C69">
        <w:trPr>
          <w:cantSplit/>
        </w:trPr>
        <w:tc>
          <w:tcPr>
            <w:tcW w:w="4110" w:type="dxa"/>
            <w:shd w:val="clear" w:color="auto" w:fill="auto"/>
          </w:tcPr>
          <w:p w14:paraId="0C71D6EC" w14:textId="77777777" w:rsidR="00223A02" w:rsidRPr="00617176" w:rsidRDefault="00223A02" w:rsidP="00460C69">
            <w:pPr>
              <w:pStyle w:val="TableShape"/>
              <w:rPr>
                <w:sz w:val="2"/>
              </w:rPr>
            </w:pPr>
            <w:r w:rsidRPr="00617176">
              <w:fldChar w:fldCharType="begin"/>
            </w:r>
            <w:r w:rsidRPr="009F3ED8">
              <w:instrText xml:space="preserve"> TC "</w:instrText>
            </w:r>
            <w:bookmarkStart w:id="228" w:name="_Toc511664570"/>
            <w:r w:rsidRPr="009F3ED8">
              <w:instrText>II.3.8.</w:instrText>
            </w:r>
            <w:r w:rsidRPr="009F3ED8">
              <w:tab/>
              <w:instrText>Shift from informal to formal care scenario, projected public expenditure on long-term care as % of GDP</w:instrText>
            </w:r>
            <w:bookmarkEnd w:id="228"/>
            <w:r w:rsidRPr="009F3ED8">
              <w:instrText xml:space="preserve">" \ftable \l 5 </w:instrText>
            </w:r>
            <w:r w:rsidRPr="00617176">
              <w:fldChar w:fldCharType="end"/>
            </w:r>
            <w:r w:rsidRPr="00617176">
              <w:rPr>
                <w:noProof/>
                <w:sz w:val="2"/>
                <w:lang w:val="hr-HR" w:eastAsia="hr-HR"/>
              </w:rPr>
              <w:drawing>
                <wp:inline distT="0" distB="0" distL="0" distR="0" wp14:anchorId="0F151811" wp14:editId="3748F149">
                  <wp:extent cx="2597595" cy="4078593"/>
                  <wp:effectExtent l="0" t="0" r="0" b="0"/>
                  <wp:docPr id="737" name="Picture 737" descr="&lt;nbr&gt;&lt;GETTEXTFROMWORD&gt;&lt;/nbr&gt;&#10;&lt;title&gt;&lt;GETTEXTFROMWORD&gt;&lt;/title&gt;&#10;&lt;id&gt;3f6278e1-d9e8-4f8c-acf2-8a4f915768c2&lt;/id&gt;&#10;&lt;srcType&gt;EXCEL&lt;/srcType&gt;&#10;&lt;srcPath&gt;U:\Budgetary projections 2018\Reports\2018 AR\Tables_and_graphs\Part II Chapter 3\&lt;/srcPath&gt;&#10;&lt;srcName&gt;Additional tables and charts - CHAP 3.xls&lt;/srcName&gt;&#10;&lt;type&gt;table&lt;/type&gt;&#10; &lt;srcSheet&gt;Table II.3.6 shiftinf_form&lt;/srcSheet&gt;&#10; &lt;srcRange&gt;R2C2:R36C6&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597595" cy="4078593"/>
                          </a:xfrm>
                          <a:prstGeom prst="rect">
                            <a:avLst/>
                          </a:prstGeom>
                          <a:noFill/>
                          <a:ln>
                            <a:noFill/>
                          </a:ln>
                        </pic:spPr>
                      </pic:pic>
                    </a:graphicData>
                  </a:graphic>
                </wp:inline>
              </w:drawing>
            </w:r>
          </w:p>
        </w:tc>
      </w:tr>
      <w:tr w:rsidR="00223A02" w:rsidRPr="00617176" w14:paraId="19A9DE8D" w14:textId="77777777" w:rsidTr="00460C69">
        <w:trPr>
          <w:cantSplit/>
        </w:trPr>
        <w:tc>
          <w:tcPr>
            <w:tcW w:w="4110" w:type="dxa"/>
            <w:shd w:val="clear" w:color="auto" w:fill="auto"/>
          </w:tcPr>
          <w:p w14:paraId="1ADFE03A" w14:textId="77777777" w:rsidR="00223A02" w:rsidRPr="00617176" w:rsidRDefault="00223A02" w:rsidP="00460C69">
            <w:pPr>
              <w:pStyle w:val="TableSource"/>
            </w:pPr>
            <w:r w:rsidRPr="00617176">
              <w:rPr>
                <w:b/>
                <w:i/>
              </w:rPr>
              <w:t>Source:</w:t>
            </w:r>
            <w:r w:rsidRPr="00617176">
              <w:t xml:space="preserve"> Commission services, EPC.</w:t>
            </w:r>
          </w:p>
        </w:tc>
      </w:tr>
      <w:tr w:rsidR="00223A02" w:rsidRPr="00617176" w14:paraId="2C20C2DB" w14:textId="77777777" w:rsidTr="00460C69">
        <w:trPr>
          <w:cantSplit/>
          <w:trHeight w:val="20"/>
        </w:trPr>
        <w:tc>
          <w:tcPr>
            <w:tcW w:w="4110" w:type="dxa"/>
            <w:shd w:val="clear" w:color="auto" w:fill="auto"/>
            <w:tcMar>
              <w:bottom w:w="240" w:type="dxa"/>
            </w:tcMar>
          </w:tcPr>
          <w:p w14:paraId="24CB73A8" w14:textId="77777777" w:rsidR="00223A02" w:rsidRPr="00617176" w:rsidRDefault="00223A02" w:rsidP="00460C69">
            <w:pPr>
              <w:pStyle w:val="SlimCell"/>
            </w:pPr>
          </w:p>
        </w:tc>
      </w:tr>
    </w:tbl>
    <w:p w14:paraId="7FE028B1" w14:textId="77777777" w:rsidR="00223A02" w:rsidRPr="00617176" w:rsidRDefault="00223A02" w:rsidP="00460C69">
      <w:r w:rsidRPr="00617176">
        <w:t xml:space="preserve">The </w:t>
      </w:r>
      <w:r w:rsidRPr="00617176">
        <w:rPr>
          <w:b/>
          <w:i/>
        </w:rPr>
        <w:t>"coverage convergence scenario"</w:t>
      </w:r>
      <w:r w:rsidRPr="00617176">
        <w:t xml:space="preserve"> assumes an extension of the formal/public coverage in any form (institutional, home care or cash benefits) towards the average EU rate. </w:t>
      </w:r>
    </w:p>
    <w:p w14:paraId="55860609" w14:textId="77777777" w:rsidR="00223A02" w:rsidRPr="00617176" w:rsidRDefault="00223A02" w:rsidP="00460C69"/>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1EFB2F42" w14:textId="77777777" w:rsidTr="00460C69">
        <w:trPr>
          <w:cantSplit/>
          <w:trHeight w:val="20"/>
        </w:trPr>
        <w:tc>
          <w:tcPr>
            <w:tcW w:w="4110" w:type="dxa"/>
            <w:shd w:val="clear" w:color="auto" w:fill="auto"/>
          </w:tcPr>
          <w:p w14:paraId="11A26B4D" w14:textId="77777777" w:rsidR="00223A02" w:rsidRPr="00617176" w:rsidRDefault="00223A02" w:rsidP="00460C69">
            <w:pPr>
              <w:pStyle w:val="SlimCell"/>
              <w:keepNext/>
            </w:pPr>
          </w:p>
        </w:tc>
      </w:tr>
      <w:tr w:rsidR="00223A02" w:rsidRPr="00617176" w14:paraId="24D59CBA" w14:textId="77777777" w:rsidTr="00460C69">
        <w:trPr>
          <w:cantSplit/>
        </w:trPr>
        <w:tc>
          <w:tcPr>
            <w:tcW w:w="4110" w:type="dxa"/>
            <w:shd w:val="clear" w:color="auto" w:fill="auto"/>
          </w:tcPr>
          <w:p w14:paraId="2550B8FE" w14:textId="77777777" w:rsidR="00223A02" w:rsidRPr="00617176" w:rsidRDefault="00223A02" w:rsidP="00460C69">
            <w:pPr>
              <w:pStyle w:val="TableTitle"/>
              <w:rPr>
                <w:b/>
              </w:rPr>
            </w:pPr>
            <w:r w:rsidRPr="00617176">
              <w:t>Table II.3.9:</w:t>
            </w:r>
            <w:r w:rsidRPr="00617176">
              <w:rPr>
                <w:b/>
              </w:rPr>
              <w:tab/>
              <w:t>Coverage convergence scenario, projected public expenditure on long-term care as % of GDP</w:t>
            </w:r>
          </w:p>
        </w:tc>
      </w:tr>
      <w:tr w:rsidR="00223A02" w:rsidRPr="00617176" w14:paraId="035BF735" w14:textId="77777777" w:rsidTr="00460C69">
        <w:trPr>
          <w:cantSplit/>
        </w:trPr>
        <w:tc>
          <w:tcPr>
            <w:tcW w:w="4110" w:type="dxa"/>
            <w:shd w:val="clear" w:color="auto" w:fill="auto"/>
          </w:tcPr>
          <w:p w14:paraId="31EA44BE" w14:textId="77777777" w:rsidR="00223A02" w:rsidRPr="00617176" w:rsidRDefault="00223A02" w:rsidP="00460C69">
            <w:pPr>
              <w:pStyle w:val="TableShape"/>
              <w:rPr>
                <w:sz w:val="2"/>
              </w:rPr>
            </w:pPr>
            <w:r w:rsidRPr="00617176">
              <w:fldChar w:fldCharType="begin"/>
            </w:r>
            <w:r w:rsidRPr="009F3ED8">
              <w:instrText xml:space="preserve"> TC "</w:instrText>
            </w:r>
            <w:bookmarkStart w:id="229" w:name="_Toc511664571"/>
            <w:r w:rsidRPr="009F3ED8">
              <w:instrText>II.3.9.</w:instrText>
            </w:r>
            <w:r w:rsidRPr="009F3ED8">
              <w:tab/>
              <w:instrText>Coverage convergence scenario, projected public expenditure on long-term care as % of GDP</w:instrText>
            </w:r>
            <w:bookmarkEnd w:id="229"/>
            <w:r w:rsidRPr="009F3ED8">
              <w:instrText xml:space="preserve">" \ftable \l 5 </w:instrText>
            </w:r>
            <w:r w:rsidRPr="00617176">
              <w:fldChar w:fldCharType="end"/>
            </w:r>
            <w:r w:rsidRPr="00617176">
              <w:rPr>
                <w:noProof/>
                <w:sz w:val="2"/>
                <w:lang w:val="hr-HR" w:eastAsia="hr-HR"/>
              </w:rPr>
              <w:drawing>
                <wp:inline distT="0" distB="0" distL="0" distR="0" wp14:anchorId="045D3E56" wp14:editId="082D214B">
                  <wp:extent cx="2597595" cy="4078593"/>
                  <wp:effectExtent l="0" t="0" r="0" b="0"/>
                  <wp:docPr id="738" name="Picture 738" descr="&lt;nbr&gt;&lt;GETTEXTFROMWORD&gt;&lt;/nbr&gt;&#10;&lt;title&gt;&lt;GETTEXTFROMWORD&gt;&lt;/title&gt;&#10;&lt;id&gt;0dc5161d-5071-4d42-8e18-58a88191a2e3&lt;/id&gt;&#10;&lt;srcType&gt;EXCEL&lt;/srcType&gt;&#10;&lt;srcPath&gt;U:\Budgetary projections 2018\Reports\2018 AR\Tables_and_graphs\Part II Chapter 3\&lt;/srcPath&gt;&#10;&lt;srcName&gt;Additional tables and charts - CHAP 3.xls&lt;/srcName&gt;&#10;&lt;type&gt;table&lt;/type&gt;&#10; &lt;srcSheet&gt;Table II.3.7 coverage&lt;/srcSheet&gt;&#10; &lt;srcRange&gt;R2C2:R36C6&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597595" cy="4078593"/>
                          </a:xfrm>
                          <a:prstGeom prst="rect">
                            <a:avLst/>
                          </a:prstGeom>
                          <a:noFill/>
                          <a:ln>
                            <a:noFill/>
                          </a:ln>
                        </pic:spPr>
                      </pic:pic>
                    </a:graphicData>
                  </a:graphic>
                </wp:inline>
              </w:drawing>
            </w:r>
          </w:p>
        </w:tc>
      </w:tr>
      <w:tr w:rsidR="00223A02" w:rsidRPr="00617176" w14:paraId="528DA63E" w14:textId="77777777" w:rsidTr="00460C69">
        <w:trPr>
          <w:cantSplit/>
        </w:trPr>
        <w:tc>
          <w:tcPr>
            <w:tcW w:w="4110" w:type="dxa"/>
            <w:shd w:val="clear" w:color="auto" w:fill="auto"/>
          </w:tcPr>
          <w:p w14:paraId="7A2758FC" w14:textId="77777777" w:rsidR="00223A02" w:rsidRPr="00617176" w:rsidRDefault="00223A02" w:rsidP="00460C69">
            <w:pPr>
              <w:pStyle w:val="TableSource"/>
            </w:pPr>
            <w:r w:rsidRPr="00617176">
              <w:rPr>
                <w:b/>
                <w:i/>
              </w:rPr>
              <w:t>Source:</w:t>
            </w:r>
            <w:r w:rsidRPr="00617176">
              <w:t xml:space="preserve"> Commission services, EPC.</w:t>
            </w:r>
          </w:p>
        </w:tc>
      </w:tr>
      <w:tr w:rsidR="00223A02" w:rsidRPr="00617176" w14:paraId="7E090000" w14:textId="77777777" w:rsidTr="00460C69">
        <w:trPr>
          <w:cantSplit/>
          <w:trHeight w:val="20"/>
        </w:trPr>
        <w:tc>
          <w:tcPr>
            <w:tcW w:w="4110" w:type="dxa"/>
            <w:shd w:val="clear" w:color="auto" w:fill="auto"/>
            <w:tcMar>
              <w:bottom w:w="240" w:type="dxa"/>
            </w:tcMar>
          </w:tcPr>
          <w:p w14:paraId="1F2F8B8A" w14:textId="77777777" w:rsidR="00223A02" w:rsidRPr="00617176" w:rsidRDefault="00223A02" w:rsidP="00460C69">
            <w:pPr>
              <w:pStyle w:val="SlimCell"/>
            </w:pPr>
          </w:p>
        </w:tc>
      </w:tr>
    </w:tbl>
    <w:p w14:paraId="3A51FC28" w14:textId="77777777" w:rsidR="00223A02" w:rsidRPr="00617176" w:rsidRDefault="00223A02" w:rsidP="00460C69">
      <w:pPr>
        <w:rPr>
          <w:i/>
        </w:rPr>
      </w:pPr>
      <w:r w:rsidRPr="00617176">
        <w:t xml:space="preserve">Table </w:t>
      </w:r>
      <w:r w:rsidRPr="00617176">
        <w:fldChar w:fldCharType="begin"/>
      </w:r>
      <w:r w:rsidRPr="00617176">
        <w:instrText xml:space="preserve"> QUOTE "II.3.9"</w:instrText>
      </w:r>
      <w:r w:rsidRPr="00617176">
        <w:fldChar w:fldCharType="begin">
          <w:fldData xml:space="preserve">QwBSAE8AUwBTAFIARQBGAEUAUgBFAE4AQwBFACoAVABBAEIATABFACoAMABkAGMANQAxADYAMQBk
AC0ANQAwADcAMQAtADQAZAA0ADIALQA4AGUAMQA4AC0ANQA4AGEAOAA4ADEAOQAxAGEAMgBlADMA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II.3.9</w:t>
      </w:r>
      <w:r w:rsidRPr="00617176">
        <w:fldChar w:fldCharType="end"/>
      </w:r>
      <w:r w:rsidRPr="00617176">
        <w:t xml:space="preserve"> shows the projection results under the </w:t>
      </w:r>
      <w:r w:rsidRPr="00617176">
        <w:rPr>
          <w:i/>
        </w:rPr>
        <w:t>"</w:t>
      </w:r>
      <w:r w:rsidRPr="00617176">
        <w:rPr>
          <w:b/>
          <w:i/>
        </w:rPr>
        <w:t>coverage convergence scenario</w:t>
      </w:r>
      <w:r w:rsidRPr="00617176">
        <w:rPr>
          <w:i/>
        </w:rPr>
        <w:t>".</w:t>
      </w:r>
      <w:r w:rsidRPr="00617176">
        <w:t xml:space="preserve"> For the EU, public expenditure on LTC is projected to increase by 2.0 pps. of GDP over the whole projection period, 0.6 pps. of GDP higher than the </w:t>
      </w:r>
      <w:r w:rsidRPr="00617176">
        <w:rPr>
          <w:i/>
        </w:rPr>
        <w:t>"base case scenario".</w:t>
      </w:r>
    </w:p>
    <w:p w14:paraId="7643639E" w14:textId="77777777" w:rsidR="00223A02" w:rsidRPr="00617176" w:rsidRDefault="00223A02" w:rsidP="00460C69">
      <w:r w:rsidRPr="00617176">
        <w:t xml:space="preserve">As in the </w:t>
      </w:r>
      <w:r w:rsidRPr="00617176">
        <w:rPr>
          <w:i/>
        </w:rPr>
        <w:t>"shift to formal scenario"</w:t>
      </w:r>
      <w:r w:rsidRPr="00617176">
        <w:t>, this higher but expected increase vis-à-vis the "base case" scenario is the result of an increased coverage of dependents individuals, especially in countries where the coverage of the dependent population is low compared to the EU average.</w:t>
      </w:r>
    </w:p>
    <w:p w14:paraId="1251A37B" w14:textId="77777777" w:rsidR="00223A02" w:rsidRPr="00617176" w:rsidRDefault="00223A02" w:rsidP="00460C69">
      <w:r w:rsidRPr="00617176">
        <w:t xml:space="preserve">Interestingly, even countries where expenditure level and coverage rate are already relatively high (such as The Netherlands or Finland) show a projected increase that is much higher than in the </w:t>
      </w:r>
      <w:r w:rsidRPr="00617176">
        <w:rPr>
          <w:i/>
        </w:rPr>
        <w:t>"base case scenario"</w:t>
      </w:r>
      <w:r w:rsidRPr="00617176">
        <w:t xml:space="preserve">. This is because as long as coverage of the dependent population is less than 100% in any age-sex group, the scenario assumes </w:t>
      </w:r>
      <w:r w:rsidRPr="00617176">
        <w:lastRenderedPageBreak/>
        <w:t>an additional increase in coverage of the dependent population in the respective age groups.</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593A476D" w14:textId="77777777" w:rsidTr="00460C69">
        <w:trPr>
          <w:cantSplit/>
          <w:trHeight w:val="20"/>
        </w:trPr>
        <w:tc>
          <w:tcPr>
            <w:tcW w:w="4110" w:type="dxa"/>
            <w:shd w:val="clear" w:color="auto" w:fill="auto"/>
          </w:tcPr>
          <w:p w14:paraId="60F95B8E" w14:textId="77777777" w:rsidR="00223A02" w:rsidRPr="00617176" w:rsidRDefault="00223A02" w:rsidP="00460C69">
            <w:pPr>
              <w:pStyle w:val="SlimCell"/>
              <w:keepNext/>
            </w:pPr>
          </w:p>
        </w:tc>
      </w:tr>
      <w:tr w:rsidR="00223A02" w:rsidRPr="00617176" w14:paraId="5B0907E3" w14:textId="77777777" w:rsidTr="00460C69">
        <w:trPr>
          <w:cantSplit/>
        </w:trPr>
        <w:tc>
          <w:tcPr>
            <w:tcW w:w="4110" w:type="dxa"/>
            <w:shd w:val="clear" w:color="auto" w:fill="auto"/>
          </w:tcPr>
          <w:p w14:paraId="2BD30F91" w14:textId="77777777" w:rsidR="00223A02" w:rsidRPr="00617176" w:rsidRDefault="00223A02" w:rsidP="00460C69">
            <w:pPr>
              <w:pStyle w:val="TableTitle"/>
              <w:rPr>
                <w:b/>
              </w:rPr>
            </w:pPr>
            <w:r w:rsidRPr="00617176">
              <w:t>Table II.3.10:</w:t>
            </w:r>
            <w:r w:rsidRPr="00617176">
              <w:rPr>
                <w:b/>
              </w:rPr>
              <w:tab/>
              <w:t>Cost convergence scenario, projected public expenditure on long-term care as % of GDP</w:t>
            </w:r>
          </w:p>
        </w:tc>
      </w:tr>
      <w:tr w:rsidR="00223A02" w:rsidRPr="00617176" w14:paraId="5153F8F8" w14:textId="77777777" w:rsidTr="00460C69">
        <w:trPr>
          <w:cantSplit/>
        </w:trPr>
        <w:tc>
          <w:tcPr>
            <w:tcW w:w="4110" w:type="dxa"/>
            <w:shd w:val="clear" w:color="auto" w:fill="auto"/>
          </w:tcPr>
          <w:p w14:paraId="048083FB" w14:textId="77777777" w:rsidR="00223A02" w:rsidRPr="00617176" w:rsidRDefault="00223A02" w:rsidP="00460C69">
            <w:pPr>
              <w:pStyle w:val="TableShape"/>
              <w:rPr>
                <w:sz w:val="2"/>
              </w:rPr>
            </w:pPr>
            <w:r w:rsidRPr="00617176">
              <w:fldChar w:fldCharType="begin"/>
            </w:r>
            <w:r w:rsidRPr="009F3ED8">
              <w:instrText xml:space="preserve"> TC "</w:instrText>
            </w:r>
            <w:bookmarkStart w:id="230" w:name="_Toc511664572"/>
            <w:r w:rsidRPr="009F3ED8">
              <w:instrText>II.3.10.</w:instrText>
            </w:r>
            <w:r w:rsidRPr="009F3ED8">
              <w:tab/>
              <w:instrText>Cost convergence scenario, projected public expenditure on long-term care as % of GDP</w:instrText>
            </w:r>
            <w:bookmarkEnd w:id="230"/>
            <w:r w:rsidRPr="009F3ED8">
              <w:instrText xml:space="preserve">" \ftable \l 5 </w:instrText>
            </w:r>
            <w:r w:rsidRPr="00617176">
              <w:fldChar w:fldCharType="end"/>
            </w:r>
            <w:r w:rsidRPr="00617176">
              <w:rPr>
                <w:noProof/>
                <w:sz w:val="2"/>
                <w:lang w:val="hr-HR" w:eastAsia="hr-HR"/>
              </w:rPr>
              <w:drawing>
                <wp:inline distT="0" distB="0" distL="0" distR="0" wp14:anchorId="4662E8A0" wp14:editId="5B832CAC">
                  <wp:extent cx="2597595" cy="4078593"/>
                  <wp:effectExtent l="0" t="0" r="0" b="0"/>
                  <wp:docPr id="739" name="Picture 739" descr="&lt;nbr&gt;&lt;GETTEXTFROMWORD&gt;&lt;/nbr&gt;&#10;&lt;title&gt;&lt;GETTEXTFROMWORD&gt;&lt;/title&gt;&#10;&lt;id&gt;34bbfd37-e2a7-4f61-82c3-cb53cd76d604&lt;/id&gt;&#10;&lt;srcType&gt;EXCEL&lt;/srcType&gt;&#10;&lt;srcPath&gt;U:\Budgetary projections 2018\Reports\2018 AR\Tables_and_graphs\Part II Chapter 3\&lt;/srcPath&gt;&#10;&lt;srcName&gt;Additional tables and charts - CHAP 3.xls&lt;/srcName&gt;&#10;&lt;type&gt;table&lt;/type&gt;&#10; &lt;srcSheet&gt;Table II.3.8 cost&lt;/srcSheet&gt;&#10; &lt;srcRange&gt;R2C2:R36C6&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597595" cy="4078593"/>
                          </a:xfrm>
                          <a:prstGeom prst="rect">
                            <a:avLst/>
                          </a:prstGeom>
                          <a:noFill/>
                          <a:ln>
                            <a:noFill/>
                          </a:ln>
                        </pic:spPr>
                      </pic:pic>
                    </a:graphicData>
                  </a:graphic>
                </wp:inline>
              </w:drawing>
            </w:r>
          </w:p>
        </w:tc>
      </w:tr>
      <w:tr w:rsidR="00223A02" w:rsidRPr="00617176" w14:paraId="485DC24F" w14:textId="77777777" w:rsidTr="00460C69">
        <w:trPr>
          <w:cantSplit/>
        </w:trPr>
        <w:tc>
          <w:tcPr>
            <w:tcW w:w="4110" w:type="dxa"/>
            <w:shd w:val="clear" w:color="auto" w:fill="auto"/>
          </w:tcPr>
          <w:p w14:paraId="1D831232" w14:textId="77777777" w:rsidR="00223A02" w:rsidRPr="00617176" w:rsidRDefault="00223A02" w:rsidP="00460C69">
            <w:pPr>
              <w:pStyle w:val="TableSource"/>
            </w:pPr>
            <w:r w:rsidRPr="00617176">
              <w:rPr>
                <w:b/>
                <w:i/>
              </w:rPr>
              <w:t>Source:</w:t>
            </w:r>
            <w:r w:rsidRPr="00617176">
              <w:t xml:space="preserve"> Commission services, EPC.</w:t>
            </w:r>
          </w:p>
        </w:tc>
      </w:tr>
      <w:tr w:rsidR="00223A02" w:rsidRPr="00617176" w14:paraId="64CBC4E8" w14:textId="77777777" w:rsidTr="00460C69">
        <w:trPr>
          <w:cantSplit/>
          <w:trHeight w:val="20"/>
        </w:trPr>
        <w:tc>
          <w:tcPr>
            <w:tcW w:w="4110" w:type="dxa"/>
            <w:shd w:val="clear" w:color="auto" w:fill="auto"/>
            <w:tcMar>
              <w:bottom w:w="240" w:type="dxa"/>
            </w:tcMar>
          </w:tcPr>
          <w:p w14:paraId="4FF428BD" w14:textId="77777777" w:rsidR="00223A02" w:rsidRPr="00617176" w:rsidRDefault="00223A02" w:rsidP="00460C69">
            <w:pPr>
              <w:pStyle w:val="SlimCell"/>
            </w:pPr>
          </w:p>
        </w:tc>
      </w:tr>
    </w:tbl>
    <w:p w14:paraId="784DE7D9" w14:textId="77777777" w:rsidR="00223A02" w:rsidRPr="00617176" w:rsidRDefault="00223A02" w:rsidP="00460C69">
      <w:r w:rsidRPr="00617176">
        <w:t xml:space="preserve">The </w:t>
      </w:r>
      <w:r w:rsidRPr="00617176">
        <w:rPr>
          <w:b/>
          <w:i/>
        </w:rPr>
        <w:t>"cost convergence scenario"</w:t>
      </w:r>
      <w:r w:rsidRPr="00617176">
        <w:t xml:space="preserve"> is meant to capture the potential impact of a convergence in real living standards on LTC spending. Table </w:t>
      </w:r>
      <w:r w:rsidRPr="00617176">
        <w:fldChar w:fldCharType="begin"/>
      </w:r>
      <w:r w:rsidRPr="00617176">
        <w:instrText xml:space="preserve"> QUOTE "II.3.10"</w:instrText>
      </w:r>
      <w:r w:rsidRPr="00617176">
        <w:fldChar w:fldCharType="begin">
          <w:fldData xml:space="preserve">QwBSAE8AUwBTAFIARQBGAEUAUgBFAE4AQwBFACoAVABBAEIATABFACoAMwA0AGIAYgBmAGQAMwA3
AC0AZQAyAGEANwAtADQAZgA2ADEALQA4ADIAYwAzAC0AYwBiADUAMwBjAGQANwA2AGQANgAwADQA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II.3.10</w:t>
      </w:r>
      <w:r w:rsidRPr="00617176">
        <w:fldChar w:fldCharType="end"/>
      </w:r>
      <w:r w:rsidRPr="00617176">
        <w:t xml:space="preserve"> shows the results under this scenario. </w:t>
      </w:r>
    </w:p>
    <w:p w14:paraId="5FC45B6D" w14:textId="77777777" w:rsidR="00223A02" w:rsidRPr="00617176" w:rsidRDefault="00223A02" w:rsidP="00460C69">
      <w:r w:rsidRPr="00617176">
        <w:t>For the EU, public expenditure on LTC is projected to increase by 2.2 pps. of GDP from 2016 up until 2070, with the impact of an increased cost per user of LTC services, assumed to be the result of economic convergence and higher patient expectations. As for the</w:t>
      </w:r>
      <w:r w:rsidRPr="00617176">
        <w:rPr>
          <w:i/>
        </w:rPr>
        <w:t xml:space="preserve"> "coverage convergence scenario"</w:t>
      </w:r>
      <w:r w:rsidRPr="00617176">
        <w:t xml:space="preserve"> the fact that the methodology compares the unit cost for each age-sex group to the EU average separately leads to some Member States with comprehensive LTC systems experiencing some degree of upwards convergence. Note that, for both scenarios, some outlier results may be partly due to data issues. </w:t>
      </w:r>
      <w:r w:rsidRPr="00617176">
        <w:lastRenderedPageBreak/>
        <w:t xml:space="preserve">Indeed, as explained in the annex, non-available or partial data lead to the (full or partial) application of the EU averages for the missing parts – in terms of coverage and related cost profile – adjusted to the national expenditure level. </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5BDA6902" w14:textId="77777777" w:rsidTr="00460C69">
        <w:trPr>
          <w:cantSplit/>
          <w:trHeight w:val="20"/>
        </w:trPr>
        <w:tc>
          <w:tcPr>
            <w:tcW w:w="4110" w:type="dxa"/>
            <w:shd w:val="clear" w:color="auto" w:fill="auto"/>
          </w:tcPr>
          <w:p w14:paraId="0AF45E82" w14:textId="77777777" w:rsidR="00223A02" w:rsidRPr="00617176" w:rsidRDefault="00223A02" w:rsidP="00460C69">
            <w:pPr>
              <w:pStyle w:val="SlimCell"/>
              <w:keepNext/>
            </w:pPr>
          </w:p>
        </w:tc>
      </w:tr>
      <w:tr w:rsidR="00223A02" w:rsidRPr="00617176" w14:paraId="17A00A93" w14:textId="77777777" w:rsidTr="00460C69">
        <w:trPr>
          <w:cantSplit/>
        </w:trPr>
        <w:tc>
          <w:tcPr>
            <w:tcW w:w="4110" w:type="dxa"/>
            <w:shd w:val="clear" w:color="auto" w:fill="auto"/>
          </w:tcPr>
          <w:p w14:paraId="64FB4C03" w14:textId="77777777" w:rsidR="00223A02" w:rsidRPr="00617176" w:rsidRDefault="00223A02" w:rsidP="00460C69">
            <w:pPr>
              <w:pStyle w:val="TableTitle"/>
              <w:rPr>
                <w:b/>
              </w:rPr>
            </w:pPr>
            <w:r w:rsidRPr="00617176">
              <w:t>Table II.3.11:</w:t>
            </w:r>
            <w:r w:rsidRPr="00617176">
              <w:rPr>
                <w:b/>
              </w:rPr>
              <w:tab/>
              <w:t>Cost and coverage convergence scenario, projected public expenditure on long-term care as % of GDP</w:t>
            </w:r>
          </w:p>
        </w:tc>
      </w:tr>
      <w:tr w:rsidR="00223A02" w:rsidRPr="00617176" w14:paraId="4A6BDEA6" w14:textId="77777777" w:rsidTr="00460C69">
        <w:trPr>
          <w:cantSplit/>
        </w:trPr>
        <w:tc>
          <w:tcPr>
            <w:tcW w:w="4110" w:type="dxa"/>
            <w:shd w:val="clear" w:color="auto" w:fill="auto"/>
          </w:tcPr>
          <w:p w14:paraId="71C26A10" w14:textId="77777777" w:rsidR="00223A02" w:rsidRPr="00617176" w:rsidRDefault="00223A02" w:rsidP="00460C69">
            <w:pPr>
              <w:pStyle w:val="TableShape"/>
              <w:rPr>
                <w:sz w:val="2"/>
              </w:rPr>
            </w:pPr>
            <w:r w:rsidRPr="00617176">
              <w:fldChar w:fldCharType="begin"/>
            </w:r>
            <w:r w:rsidRPr="009F3ED8">
              <w:instrText xml:space="preserve"> TC "</w:instrText>
            </w:r>
            <w:bookmarkStart w:id="231" w:name="_Toc511664573"/>
            <w:r w:rsidRPr="009F3ED8">
              <w:instrText>II.3.11.</w:instrText>
            </w:r>
            <w:r w:rsidRPr="009F3ED8">
              <w:tab/>
              <w:instrText>Cost and coverage convergence scenario, projected public expenditure on long-term care as % of GDP</w:instrText>
            </w:r>
            <w:bookmarkEnd w:id="231"/>
            <w:r w:rsidRPr="009F3ED8">
              <w:instrText xml:space="preserve">" \ftable \l 5 </w:instrText>
            </w:r>
            <w:r w:rsidRPr="00617176">
              <w:fldChar w:fldCharType="end"/>
            </w:r>
            <w:r w:rsidRPr="00617176">
              <w:rPr>
                <w:noProof/>
                <w:sz w:val="2"/>
                <w:lang w:val="hr-HR" w:eastAsia="hr-HR"/>
              </w:rPr>
              <w:drawing>
                <wp:inline distT="0" distB="0" distL="0" distR="0" wp14:anchorId="5255A790" wp14:editId="3B0A1A6D">
                  <wp:extent cx="2597595" cy="4078593"/>
                  <wp:effectExtent l="0" t="0" r="0" b="0"/>
                  <wp:docPr id="740" name="Picture 740" descr="&lt;nbr&gt;&lt;GETTEXTFROMWORD&gt;&lt;/nbr&gt;&#10;&lt;title&gt;&lt;GETTEXTFROMWORD&gt;&lt;/title&gt;&#10;&lt;id&gt;da423431-928c-4e0f-b8ee-41e26f6a1656&lt;/id&gt;&#10;&lt;srcType&gt;EXCEL&lt;/srcType&gt;&#10;&lt;srcPath&gt;U:\Budgetary projections 2018\Reports\2018 AR\Tables_and_graphs\Part II Chapter 3\&lt;/srcPath&gt;&#10;&lt;srcName&gt;Additional tables and charts - CHAP 3.xls&lt;/srcName&gt;&#10;&lt;type&gt;table&lt;/type&gt;&#10; &lt;srcSheet&gt;Table II.3.9 cover and cost&lt;/srcSheet&gt;&#10; &lt;srcRange&gt;R2C2:R36C6&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597595" cy="4078593"/>
                          </a:xfrm>
                          <a:prstGeom prst="rect">
                            <a:avLst/>
                          </a:prstGeom>
                          <a:noFill/>
                          <a:ln>
                            <a:noFill/>
                          </a:ln>
                        </pic:spPr>
                      </pic:pic>
                    </a:graphicData>
                  </a:graphic>
                </wp:inline>
              </w:drawing>
            </w:r>
          </w:p>
        </w:tc>
      </w:tr>
      <w:tr w:rsidR="00223A02" w:rsidRPr="00617176" w14:paraId="4578B76C" w14:textId="77777777" w:rsidTr="00460C69">
        <w:trPr>
          <w:cantSplit/>
        </w:trPr>
        <w:tc>
          <w:tcPr>
            <w:tcW w:w="4110" w:type="dxa"/>
            <w:shd w:val="clear" w:color="auto" w:fill="auto"/>
          </w:tcPr>
          <w:p w14:paraId="27496371" w14:textId="77777777" w:rsidR="00223A02" w:rsidRPr="00617176" w:rsidRDefault="00223A02" w:rsidP="00460C69">
            <w:pPr>
              <w:pStyle w:val="TableSource"/>
            </w:pPr>
            <w:r w:rsidRPr="00617176">
              <w:rPr>
                <w:b/>
                <w:i/>
              </w:rPr>
              <w:t>Source:</w:t>
            </w:r>
            <w:r w:rsidRPr="00617176">
              <w:t xml:space="preserve"> Commission services, EPC.</w:t>
            </w:r>
          </w:p>
        </w:tc>
      </w:tr>
      <w:tr w:rsidR="00223A02" w:rsidRPr="00617176" w14:paraId="7955CD3E" w14:textId="77777777" w:rsidTr="00460C69">
        <w:trPr>
          <w:cantSplit/>
          <w:trHeight w:val="20"/>
        </w:trPr>
        <w:tc>
          <w:tcPr>
            <w:tcW w:w="4110" w:type="dxa"/>
            <w:shd w:val="clear" w:color="auto" w:fill="auto"/>
            <w:tcMar>
              <w:bottom w:w="240" w:type="dxa"/>
            </w:tcMar>
          </w:tcPr>
          <w:p w14:paraId="43218E1D" w14:textId="77777777" w:rsidR="00223A02" w:rsidRPr="00617176" w:rsidRDefault="00223A02" w:rsidP="00460C69">
            <w:pPr>
              <w:pStyle w:val="SlimCell"/>
            </w:pPr>
          </w:p>
        </w:tc>
      </w:tr>
    </w:tbl>
    <w:p w14:paraId="6BAFB423" w14:textId="77777777" w:rsidR="00223A02" w:rsidRPr="00617176" w:rsidRDefault="00223A02" w:rsidP="00460C69">
      <w:r w:rsidRPr="00617176">
        <w:t xml:space="preserve">In general, as can be expected, a country with high coverage and therefore relatively low average costs per beneficiary in the base year 2016 will show a relatively bigger increase in the </w:t>
      </w:r>
      <w:r w:rsidRPr="00617176">
        <w:rPr>
          <w:i/>
        </w:rPr>
        <w:t>"cost convergence scenario</w:t>
      </w:r>
      <w:r w:rsidRPr="00617176">
        <w:rPr>
          <w:b/>
          <w:i/>
        </w:rPr>
        <w:t>"</w:t>
      </w:r>
      <w:r w:rsidRPr="00617176">
        <w:t xml:space="preserve">, while the expenditure increase projected for a country with relatively low coverage, and relatively high starting average cost profile, will be relatively bigger in the </w:t>
      </w:r>
      <w:r w:rsidRPr="00617176">
        <w:rPr>
          <w:i/>
        </w:rPr>
        <w:t>"coverage convergence scenario"</w:t>
      </w:r>
      <w:r w:rsidRPr="00617176">
        <w:t xml:space="preserve">. Table </w:t>
      </w:r>
      <w:r w:rsidRPr="00617176">
        <w:fldChar w:fldCharType="begin"/>
      </w:r>
      <w:r w:rsidRPr="00617176">
        <w:instrText xml:space="preserve"> QUOTE "II.3.11"</w:instrText>
      </w:r>
      <w:r w:rsidRPr="00617176">
        <w:fldChar w:fldCharType="begin">
          <w:fldData xml:space="preserve">QwBSAE8AUwBTAFIARQBGAEUAUgBFAE4AQwBFACoAVABBAEIATABFACoAZABhADQAMgAzADQAMwAx
AC0AOQAyADgAYwAtADQAZQAwAGYALQBiADgAZQBlAC0ANAAxAGUAMgA2AGYANgBhADEANgA1ADYA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II.3.11</w:t>
      </w:r>
      <w:r w:rsidRPr="00617176">
        <w:fldChar w:fldCharType="end"/>
      </w:r>
      <w:r w:rsidRPr="00617176">
        <w:t xml:space="preserve"> shows the projection results under the </w:t>
      </w:r>
      <w:r w:rsidRPr="00617176">
        <w:rPr>
          <w:i/>
        </w:rPr>
        <w:t>"cost and coverage convergence scenario"</w:t>
      </w:r>
      <w:r w:rsidRPr="00617176">
        <w:t>. It assumes a combination of coverage and cost convergence, combining the effects of the previous two scenarios. In the EU, this scenario leads to a projected increase in spending of 3.0 pps. until 2070.</w:t>
      </w:r>
    </w:p>
    <w:p w14:paraId="4E9EA337" w14:textId="77777777" w:rsidR="00223A02" w:rsidRPr="00617176" w:rsidRDefault="00223A02" w:rsidP="00460C69">
      <w:r w:rsidRPr="00617176">
        <w:lastRenderedPageBreak/>
        <w:t>Note that for countries with relatively high coverage across age-groups, such as Belgium, the results are very close to the cost convergence scenario, and vice versa. For countries with low initial levels of coverage and low unit costs per recipient, the convergence process kicks in from both sides.</w:t>
      </w:r>
    </w:p>
    <w:p w14:paraId="36E8629A" w14:textId="77777777" w:rsidR="00223A02" w:rsidRPr="00617176" w:rsidRDefault="00223A02" w:rsidP="00460C69">
      <w:pPr>
        <w:pStyle w:val="NumberedHeading2"/>
        <w:tabs>
          <w:tab w:val="left" w:pos="567"/>
        </w:tabs>
      </w:pPr>
      <w:r w:rsidRPr="00617176">
        <w:t>3.4.5.</w:t>
      </w:r>
      <w:r w:rsidRPr="00617176">
        <w:tab/>
        <w:t>AWG reference scenario</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15B6ACE5" w14:textId="77777777" w:rsidTr="00460C69">
        <w:trPr>
          <w:cantSplit/>
          <w:trHeight w:val="20"/>
        </w:trPr>
        <w:tc>
          <w:tcPr>
            <w:tcW w:w="4110" w:type="dxa"/>
            <w:shd w:val="clear" w:color="auto" w:fill="auto"/>
          </w:tcPr>
          <w:p w14:paraId="0C1B7DD3" w14:textId="77777777" w:rsidR="00223A02" w:rsidRPr="00617176" w:rsidRDefault="00223A02" w:rsidP="00460C69">
            <w:pPr>
              <w:pStyle w:val="SlimCell"/>
              <w:keepNext/>
            </w:pPr>
          </w:p>
        </w:tc>
      </w:tr>
      <w:tr w:rsidR="00223A02" w:rsidRPr="00617176" w14:paraId="34D13F8F" w14:textId="77777777" w:rsidTr="00460C69">
        <w:trPr>
          <w:cantSplit/>
        </w:trPr>
        <w:tc>
          <w:tcPr>
            <w:tcW w:w="4110" w:type="dxa"/>
            <w:shd w:val="clear" w:color="auto" w:fill="auto"/>
          </w:tcPr>
          <w:p w14:paraId="1C138B3C" w14:textId="77777777" w:rsidR="00223A02" w:rsidRPr="00617176" w:rsidRDefault="00223A02" w:rsidP="00460C69">
            <w:pPr>
              <w:pStyle w:val="TableTitle"/>
              <w:rPr>
                <w:b/>
              </w:rPr>
            </w:pPr>
            <w:r w:rsidRPr="00617176">
              <w:t>Table II.3.12:</w:t>
            </w:r>
            <w:r w:rsidRPr="00617176">
              <w:rPr>
                <w:b/>
              </w:rPr>
              <w:tab/>
              <w:t>AWG reference  scenario, projected public expenditure on long-term care as % of GDP</w:t>
            </w:r>
          </w:p>
        </w:tc>
      </w:tr>
      <w:tr w:rsidR="00223A02" w:rsidRPr="00617176" w14:paraId="010D8389" w14:textId="77777777" w:rsidTr="00460C69">
        <w:trPr>
          <w:cantSplit/>
        </w:trPr>
        <w:tc>
          <w:tcPr>
            <w:tcW w:w="4110" w:type="dxa"/>
            <w:shd w:val="clear" w:color="auto" w:fill="auto"/>
          </w:tcPr>
          <w:p w14:paraId="5A8024B8" w14:textId="77777777" w:rsidR="00223A02" w:rsidRPr="00617176" w:rsidRDefault="00223A02" w:rsidP="00460C69">
            <w:pPr>
              <w:pStyle w:val="TableShape"/>
              <w:rPr>
                <w:sz w:val="2"/>
              </w:rPr>
            </w:pPr>
            <w:r w:rsidRPr="00617176">
              <w:fldChar w:fldCharType="begin"/>
            </w:r>
            <w:r w:rsidRPr="009F3ED8">
              <w:instrText xml:space="preserve"> TC "</w:instrText>
            </w:r>
            <w:bookmarkStart w:id="232" w:name="_Toc511664574"/>
            <w:r w:rsidRPr="009F3ED8">
              <w:instrText>II.3.12.</w:instrText>
            </w:r>
            <w:r w:rsidRPr="009F3ED8">
              <w:tab/>
              <w:instrText>AWG reference scenario, projected public expenditure on long-term care as % of GDP</w:instrText>
            </w:r>
            <w:bookmarkEnd w:id="232"/>
            <w:r w:rsidRPr="009F3ED8">
              <w:instrText xml:space="preserve">" \ftable \l 5 </w:instrText>
            </w:r>
            <w:r w:rsidRPr="00617176">
              <w:fldChar w:fldCharType="end"/>
            </w:r>
            <w:r w:rsidRPr="00617176">
              <w:rPr>
                <w:noProof/>
                <w:sz w:val="2"/>
                <w:lang w:val="hr-HR" w:eastAsia="hr-HR"/>
              </w:rPr>
              <w:drawing>
                <wp:inline distT="0" distB="0" distL="0" distR="0" wp14:anchorId="0DA49CA5" wp14:editId="7F1A1FA2">
                  <wp:extent cx="2597595" cy="4078593"/>
                  <wp:effectExtent l="0" t="0" r="0" b="0"/>
                  <wp:docPr id="741" name="Picture 741" descr="&lt;nbr&gt;&lt;GETTEXTFROMWORD&gt;&lt;/nbr&gt;&#10;&lt;title&gt;&lt;GETTEXTFROMWORD&gt;&lt;/title&gt;&#10;&lt;id&gt;6e9987ef-dd38-46aa-b832-18d9671c05ce&lt;/id&gt;&#10;&lt;srcType&gt;EXCEL&lt;/srcType&gt;&#10;&lt;srcPath&gt;U:\Budgetary projections 2018\Reports\2018 AR\Tables_and_graphs\Part II Chapter 3\&lt;/srcPath&gt;&#10;&lt;srcName&gt;Additional tables and charts - CHAP 3.xls&lt;/srcName&gt;&#10;&lt;type&gt;table&lt;/type&gt;&#10; &lt;srcSheet&gt;Table II.3.10 AWG ref&lt;/srcSheet&gt;&#10; &lt;srcRange&gt;R2C2:R36C6&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597595" cy="4078593"/>
                          </a:xfrm>
                          <a:prstGeom prst="rect">
                            <a:avLst/>
                          </a:prstGeom>
                          <a:noFill/>
                          <a:ln>
                            <a:noFill/>
                          </a:ln>
                        </pic:spPr>
                      </pic:pic>
                    </a:graphicData>
                  </a:graphic>
                </wp:inline>
              </w:drawing>
            </w:r>
          </w:p>
        </w:tc>
      </w:tr>
      <w:tr w:rsidR="00223A02" w:rsidRPr="00617176" w14:paraId="6D74811F" w14:textId="77777777" w:rsidTr="00460C69">
        <w:trPr>
          <w:cantSplit/>
        </w:trPr>
        <w:tc>
          <w:tcPr>
            <w:tcW w:w="4110" w:type="dxa"/>
            <w:shd w:val="clear" w:color="auto" w:fill="auto"/>
          </w:tcPr>
          <w:p w14:paraId="7E7BC654" w14:textId="77777777" w:rsidR="00223A02" w:rsidRPr="00617176" w:rsidRDefault="00223A02" w:rsidP="00460C69">
            <w:pPr>
              <w:pStyle w:val="TableSource"/>
            </w:pPr>
            <w:r w:rsidRPr="00617176">
              <w:rPr>
                <w:b/>
                <w:i/>
              </w:rPr>
              <w:t>Source:</w:t>
            </w:r>
            <w:r w:rsidRPr="00617176">
              <w:t xml:space="preserve"> Commission services, EPC.</w:t>
            </w:r>
          </w:p>
        </w:tc>
      </w:tr>
      <w:tr w:rsidR="00223A02" w:rsidRPr="00617176" w14:paraId="3E1E4A9F" w14:textId="77777777" w:rsidTr="00460C69">
        <w:trPr>
          <w:cantSplit/>
          <w:trHeight w:val="20"/>
        </w:trPr>
        <w:tc>
          <w:tcPr>
            <w:tcW w:w="4110" w:type="dxa"/>
            <w:shd w:val="clear" w:color="auto" w:fill="auto"/>
            <w:tcMar>
              <w:bottom w:w="240" w:type="dxa"/>
            </w:tcMar>
          </w:tcPr>
          <w:p w14:paraId="298A6A57" w14:textId="77777777" w:rsidR="00223A02" w:rsidRPr="00617176" w:rsidRDefault="00223A02" w:rsidP="00460C69">
            <w:pPr>
              <w:pStyle w:val="SlimCell"/>
            </w:pPr>
          </w:p>
        </w:tc>
      </w:tr>
    </w:tbl>
    <w:p w14:paraId="2B218663" w14:textId="77777777" w:rsidR="00223A02" w:rsidRPr="00617176" w:rsidRDefault="00223A02" w:rsidP="00460C69">
      <w:r w:rsidRPr="00617176">
        <w:t xml:space="preserve">The </w:t>
      </w:r>
      <w:r w:rsidRPr="00617176">
        <w:rPr>
          <w:b/>
          <w:i/>
        </w:rPr>
        <w:t>"AWG reference scenario"</w:t>
      </w:r>
      <w:r w:rsidRPr="00617176">
        <w:t xml:space="preserve"> combines the assumptions of the </w:t>
      </w:r>
      <w:r w:rsidRPr="00617176">
        <w:rPr>
          <w:i/>
        </w:rPr>
        <w:t>"base case scenario"</w:t>
      </w:r>
      <w:r w:rsidRPr="00617176">
        <w:t xml:space="preserve"> and the "healthy ageing" scenarios. Specifically, it is assumed that half of the projected gains in life expectancy are spent without disability (i.e. demanding care), taking thus an intermediate position between the </w:t>
      </w:r>
      <w:r w:rsidRPr="00617176">
        <w:rPr>
          <w:i/>
        </w:rPr>
        <w:t>"demographic" and "healthy ageing" scenarios</w:t>
      </w:r>
      <w:r w:rsidRPr="00617176">
        <w:t xml:space="preserve"> assumptions. Additionally, income elasticity is assumed to converge from 1.1 in 2016 to unity in 2070 for those countries that are below the first quartile in terms of expenditure of </w:t>
      </w:r>
      <w:r w:rsidRPr="00617176">
        <w:lastRenderedPageBreak/>
        <w:t xml:space="preserve">LTC as a proportion of GDP. This scenario is the point of reference for comparisons with the 2015 Ageing Report and is used in the multilateral budgetary surveillance at EU level. </w:t>
      </w:r>
    </w:p>
    <w:p w14:paraId="402D4886" w14:textId="77777777" w:rsidR="00223A02" w:rsidRPr="00617176" w:rsidRDefault="00223A02" w:rsidP="00460C69">
      <w:r w:rsidRPr="00617176">
        <w:t xml:space="preserve">In this scenario public long-term expenditure is thus driven by the combination of changes in the population structure and a moderately positive evolution of the health (non-disability) status. The joint impact of those factors is a projected increase in spending of about 1.2 pps. of GDP in the EU by 2070 (Table </w:t>
      </w:r>
      <w:r w:rsidRPr="00617176">
        <w:fldChar w:fldCharType="begin"/>
      </w:r>
      <w:r w:rsidRPr="00617176">
        <w:instrText xml:space="preserve"> QUOTE "II.3.12"</w:instrText>
      </w:r>
      <w:r w:rsidRPr="00617176">
        <w:fldChar w:fldCharType="begin">
          <w:fldData xml:space="preserve">QwBSAE8AUwBTAFIARQBGAEUAUgBFAE4AQwBFACoAVABBAEIATABFACoANgBlADkAOQA4ADcAZQBm
AC0AZABkADMAOAAtADQANgBhAGEALQBiADgAMwAyAC0AMQA4AGQAOQA2ADcAMQBjADAANQBjAGUA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II.3.12</w:t>
      </w:r>
      <w:r w:rsidRPr="00617176">
        <w:fldChar w:fldCharType="end"/>
      </w:r>
      <w:r w:rsidRPr="00617176">
        <w:t>).</w:t>
      </w:r>
    </w:p>
    <w:p w14:paraId="24441E3D" w14:textId="77777777" w:rsidR="00223A02" w:rsidRPr="00617176" w:rsidRDefault="00223A02" w:rsidP="00460C69">
      <w:r w:rsidRPr="00617176">
        <w:t xml:space="preserve">The </w:t>
      </w:r>
      <w:r w:rsidRPr="00617176">
        <w:rPr>
          <w:b/>
          <w:i/>
        </w:rPr>
        <w:t>"Total Factor Productivity (TFP) risk scenario"</w:t>
      </w:r>
      <w:r w:rsidRPr="00617176">
        <w:t xml:space="preserve"> gives the same results as the AWG reference scenario (same results at first decimal point, with the exception of countries that apply country-specific indexation assumptions), thus a separate table is not reported.</w:t>
      </w:r>
    </w:p>
    <w:p w14:paraId="6448D0AA" w14:textId="77777777" w:rsidR="00223A02" w:rsidRPr="00617176" w:rsidRDefault="00223A02" w:rsidP="00460C69">
      <w:pPr>
        <w:pStyle w:val="NumberedHeading2"/>
        <w:tabs>
          <w:tab w:val="left" w:pos="567"/>
        </w:tabs>
      </w:pPr>
      <w:r w:rsidRPr="00617176">
        <w:br w:type="column"/>
      </w:r>
      <w:r w:rsidRPr="00617176">
        <w:lastRenderedPageBreak/>
        <w:t>3.4.6.</w:t>
      </w:r>
      <w:r w:rsidRPr="00617176">
        <w:tab/>
        <w:t>AWG risk scenario</w:t>
      </w:r>
    </w:p>
    <w:p w14:paraId="587A0709" w14:textId="77777777" w:rsidR="00223A02" w:rsidRPr="00617176" w:rsidRDefault="00223A02" w:rsidP="00460C69">
      <w:pPr>
        <w:rPr>
          <w:i/>
        </w:rPr>
      </w:pPr>
      <w:r w:rsidRPr="00617176">
        <w:t xml:space="preserve">The </w:t>
      </w:r>
      <w:r w:rsidRPr="00617176">
        <w:rPr>
          <w:b/>
          <w:i/>
        </w:rPr>
        <w:t>"AWG risk scenario"</w:t>
      </w:r>
      <w:r w:rsidRPr="00617176">
        <w:t xml:space="preserve"> keeps the assumption that half of the future gains in life expectancy are spent with no care-demanding disability, as in the </w:t>
      </w:r>
      <w:r w:rsidRPr="00617176">
        <w:rPr>
          <w:i/>
        </w:rPr>
        <w:t xml:space="preserve">"AWG reference scenario". </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56D0DB49" w14:textId="77777777" w:rsidTr="00460C69">
        <w:trPr>
          <w:cantSplit/>
          <w:trHeight w:val="20"/>
        </w:trPr>
        <w:tc>
          <w:tcPr>
            <w:tcW w:w="4110" w:type="dxa"/>
            <w:shd w:val="clear" w:color="auto" w:fill="auto"/>
          </w:tcPr>
          <w:p w14:paraId="5C6CD915" w14:textId="77777777" w:rsidR="00223A02" w:rsidRPr="00617176" w:rsidRDefault="00223A02" w:rsidP="00460C69">
            <w:pPr>
              <w:pStyle w:val="SlimCell"/>
              <w:keepNext/>
            </w:pPr>
          </w:p>
        </w:tc>
      </w:tr>
      <w:tr w:rsidR="00223A02" w:rsidRPr="00617176" w14:paraId="3D379B25" w14:textId="77777777" w:rsidTr="00460C69">
        <w:trPr>
          <w:cantSplit/>
        </w:trPr>
        <w:tc>
          <w:tcPr>
            <w:tcW w:w="4110" w:type="dxa"/>
            <w:shd w:val="clear" w:color="auto" w:fill="auto"/>
          </w:tcPr>
          <w:p w14:paraId="25796580" w14:textId="77777777" w:rsidR="00223A02" w:rsidRPr="00617176" w:rsidRDefault="00223A02" w:rsidP="00460C69">
            <w:pPr>
              <w:pStyle w:val="TableTitle"/>
              <w:rPr>
                <w:b/>
              </w:rPr>
            </w:pPr>
            <w:r w:rsidRPr="00617176">
              <w:t>Table II.3.13:</w:t>
            </w:r>
            <w:r w:rsidRPr="00617176">
              <w:rPr>
                <w:b/>
              </w:rPr>
              <w:tab/>
              <w:t>AWG risk scenario, projected public expenditure on long-term care as % of GDP</w:t>
            </w:r>
          </w:p>
        </w:tc>
      </w:tr>
      <w:tr w:rsidR="00223A02" w:rsidRPr="00617176" w14:paraId="6C7A9B3E" w14:textId="77777777" w:rsidTr="00460C69">
        <w:trPr>
          <w:cantSplit/>
        </w:trPr>
        <w:tc>
          <w:tcPr>
            <w:tcW w:w="4110" w:type="dxa"/>
            <w:shd w:val="clear" w:color="auto" w:fill="auto"/>
          </w:tcPr>
          <w:p w14:paraId="1947A466" w14:textId="77777777" w:rsidR="00223A02" w:rsidRPr="00617176" w:rsidRDefault="00223A02" w:rsidP="00460C69">
            <w:pPr>
              <w:pStyle w:val="TableShape"/>
              <w:rPr>
                <w:sz w:val="2"/>
              </w:rPr>
            </w:pPr>
            <w:r w:rsidRPr="00617176">
              <w:fldChar w:fldCharType="begin"/>
            </w:r>
            <w:r w:rsidRPr="009F3ED8">
              <w:instrText xml:space="preserve"> TC "</w:instrText>
            </w:r>
            <w:bookmarkStart w:id="233" w:name="_Toc511664575"/>
            <w:r w:rsidRPr="009F3ED8">
              <w:instrText>II.3.13.</w:instrText>
            </w:r>
            <w:r w:rsidRPr="009F3ED8">
              <w:tab/>
              <w:instrText>AWG risk scenario, projected public expenditure on long-term care as % of GDP</w:instrText>
            </w:r>
            <w:bookmarkEnd w:id="233"/>
            <w:r w:rsidRPr="009F3ED8">
              <w:instrText xml:space="preserve">" \ftable \l 5 </w:instrText>
            </w:r>
            <w:r w:rsidRPr="00617176">
              <w:fldChar w:fldCharType="end"/>
            </w:r>
            <w:r w:rsidRPr="00617176">
              <w:rPr>
                <w:noProof/>
                <w:sz w:val="2"/>
                <w:lang w:val="hr-HR" w:eastAsia="hr-HR"/>
              </w:rPr>
              <w:drawing>
                <wp:inline distT="0" distB="0" distL="0" distR="0" wp14:anchorId="283C84D0" wp14:editId="34BFD5E3">
                  <wp:extent cx="2597595" cy="4078593"/>
                  <wp:effectExtent l="0" t="0" r="0" b="0"/>
                  <wp:docPr id="823" name="Picture 823" descr="&lt;nbr&gt;&lt;GETTEXTFROMWORD&gt;&lt;/nbr&gt;&#10;&lt;title&gt;&lt;GETTEXTFROMWORD&gt;&lt;/title&gt;&#10;&lt;id&gt;db96c236-89ec-48f8-adc8-612fd2ef3fe4&lt;/id&gt;&#10;&lt;srcType&gt;EXCEL&lt;/srcType&gt;&#10;&lt;srcPath&gt;U:\Budgetary projections 2018\Reports\2018 AR\Tables_and_graphs\Part II Chapter 3\&lt;/srcPath&gt;&#10;&lt;srcName&gt;Additional tables and charts - CHAP 3.xls&lt;/srcName&gt;&#10;&lt;type&gt;table&lt;/type&gt;&#10; &lt;srcSheet&gt;Table II.3.11 AWG risk&lt;/srcSheet&gt;&#10; &lt;srcRange&gt;R2C2:R36C6&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597595" cy="4078593"/>
                          </a:xfrm>
                          <a:prstGeom prst="rect">
                            <a:avLst/>
                          </a:prstGeom>
                          <a:noFill/>
                          <a:ln>
                            <a:noFill/>
                          </a:ln>
                        </pic:spPr>
                      </pic:pic>
                    </a:graphicData>
                  </a:graphic>
                </wp:inline>
              </w:drawing>
            </w:r>
          </w:p>
        </w:tc>
      </w:tr>
      <w:tr w:rsidR="00223A02" w:rsidRPr="00617176" w14:paraId="15919619" w14:textId="77777777" w:rsidTr="00460C69">
        <w:trPr>
          <w:cantSplit/>
        </w:trPr>
        <w:tc>
          <w:tcPr>
            <w:tcW w:w="4110" w:type="dxa"/>
            <w:shd w:val="clear" w:color="auto" w:fill="auto"/>
          </w:tcPr>
          <w:p w14:paraId="36A29096" w14:textId="77777777" w:rsidR="00223A02" w:rsidRPr="00617176" w:rsidRDefault="00223A02" w:rsidP="00460C69">
            <w:pPr>
              <w:pStyle w:val="TableSource"/>
            </w:pPr>
            <w:r w:rsidRPr="00617176">
              <w:rPr>
                <w:b/>
                <w:i/>
              </w:rPr>
              <w:t>Source:</w:t>
            </w:r>
            <w:r w:rsidRPr="00617176">
              <w:t xml:space="preserve"> Commission services, EPC.</w:t>
            </w:r>
          </w:p>
        </w:tc>
      </w:tr>
      <w:tr w:rsidR="00223A02" w:rsidRPr="00617176" w14:paraId="37A9BD63" w14:textId="77777777" w:rsidTr="00460C69">
        <w:trPr>
          <w:cantSplit/>
          <w:trHeight w:val="20"/>
        </w:trPr>
        <w:tc>
          <w:tcPr>
            <w:tcW w:w="4110" w:type="dxa"/>
            <w:shd w:val="clear" w:color="auto" w:fill="auto"/>
            <w:tcMar>
              <w:bottom w:w="240" w:type="dxa"/>
            </w:tcMar>
          </w:tcPr>
          <w:p w14:paraId="0D37FB20" w14:textId="77777777" w:rsidR="00223A02" w:rsidRPr="00617176" w:rsidRDefault="00223A02" w:rsidP="00460C69">
            <w:pPr>
              <w:pStyle w:val="SlimCell"/>
            </w:pPr>
          </w:p>
        </w:tc>
      </w:tr>
    </w:tbl>
    <w:p w14:paraId="05D352BD" w14:textId="77777777" w:rsidR="00223A02" w:rsidRPr="00617176" w:rsidRDefault="00223A02" w:rsidP="00460C69">
      <w:r w:rsidRPr="00617176">
        <w:t xml:space="preserve">In addition, it combines the </w:t>
      </w:r>
      <w:r w:rsidRPr="00617176">
        <w:rPr>
          <w:i/>
        </w:rPr>
        <w:t>"cost and coverage convergence scenario"</w:t>
      </w:r>
      <w:r w:rsidRPr="00617176">
        <w:t xml:space="preserve"> by assuming convergence of both total average cost and coverage to the EU average for those below it. </w:t>
      </w:r>
    </w:p>
    <w:p w14:paraId="1719D2FC" w14:textId="77777777" w:rsidR="00223A02" w:rsidRPr="00617176" w:rsidRDefault="00223A02" w:rsidP="00460C69">
      <w:r w:rsidRPr="00617176">
        <w:t xml:space="preserve">In comparison to the </w:t>
      </w:r>
      <w:r w:rsidRPr="00617176">
        <w:rPr>
          <w:i/>
        </w:rPr>
        <w:t>"AWG reference scenario"</w:t>
      </w:r>
      <w:r w:rsidRPr="00617176">
        <w:t xml:space="preserve">, this scenario thus captures the impact of additional cost drivers to demography and health status, i.e. the possible effect of a cost and coverage convergence. Income elasticity however remains at unity for the projection period, since convergence in LTC expenditure is already covered by the coverage and cost convergence assumptions. </w:t>
      </w:r>
    </w:p>
    <w:p w14:paraId="54BFDB79" w14:textId="77777777" w:rsidR="00223A02" w:rsidRPr="00617176" w:rsidRDefault="00223A02" w:rsidP="00460C69">
      <w:r w:rsidRPr="00617176">
        <w:lastRenderedPageBreak/>
        <w:fldChar w:fldCharType="begin"/>
      </w:r>
      <w:r w:rsidRPr="009F3ED8">
        <w:instrText xml:space="preserve"> TC "</w:instrText>
      </w:r>
      <w:bookmarkStart w:id="234" w:name="_Toc511664576"/>
      <w:r w:rsidRPr="009F3ED8">
        <w:instrText>II.3.14.</w:instrText>
      </w:r>
      <w:r w:rsidRPr="009F3ED8">
        <w:tab/>
        <w:instrText>Sensitivity scenarios - change in spending as % of GDP 2016-2070</w:instrText>
      </w:r>
      <w:bookmarkEnd w:id="234"/>
      <w:r w:rsidRPr="009F3ED8">
        <w:instrText xml:space="preserve">" \ftable \l 5 </w:instrText>
      </w:r>
      <w:r w:rsidRPr="00617176">
        <w:fldChar w:fldCharType="end"/>
      </w:r>
      <w:r w:rsidRPr="00617176">
        <w:t xml:space="preserve">The joint impact of the drivers in this scenario is a projected increase in spending of 2.7 pps. of GDP in the EU by 2070 (Table </w:t>
      </w:r>
      <w:r w:rsidRPr="00617176">
        <w:fldChar w:fldCharType="begin"/>
      </w:r>
      <w:r w:rsidRPr="00617176">
        <w:instrText xml:space="preserve"> QUOTE "II.3.13"</w:instrText>
      </w:r>
      <w:r w:rsidRPr="00617176">
        <w:fldChar w:fldCharType="begin">
          <w:fldData xml:space="preserve">QwBSAE8AUwBTAFIARQBGAEUAUgBFAE4AQwBFACoAVABBAEIATABFACoAZABiADkANgBjADIAMwA2
AC0AOAA5AGUAYwAtADQAOABmADgALQBhAGQAYwA4AC0ANgAxADIAZgBkADIAZQBmADMAZgBlADQA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II.3.13</w:t>
      </w:r>
      <w:r w:rsidRPr="00617176">
        <w:fldChar w:fldCharType="end"/>
      </w:r>
      <w:r w:rsidRPr="00617176">
        <w:t>).</w:t>
      </w:r>
    </w:p>
    <w:p w14:paraId="5F538733" w14:textId="77777777" w:rsidR="00223A02" w:rsidRPr="00617176" w:rsidRDefault="00223A02" w:rsidP="00460C69">
      <w:pPr>
        <w:pStyle w:val="NumberedHeading2"/>
        <w:tabs>
          <w:tab w:val="left" w:pos="567"/>
        </w:tabs>
      </w:pPr>
      <w:r w:rsidRPr="00617176">
        <w:t>3.4.7.</w:t>
      </w:r>
      <w:r w:rsidRPr="00617176">
        <w:tab/>
        <w:t>Sensitivity tests</w:t>
      </w:r>
    </w:p>
    <w:p w14:paraId="22768BFE" w14:textId="77777777" w:rsidR="00223A02" w:rsidRPr="00617176" w:rsidRDefault="00223A02" w:rsidP="00460C69">
      <w:r w:rsidRPr="00617176">
        <w:t xml:space="preserve">Table </w:t>
      </w:r>
      <w:r w:rsidRPr="00617176">
        <w:fldChar w:fldCharType="begin"/>
      </w:r>
      <w:r w:rsidRPr="00617176">
        <w:instrText xml:space="preserve"> QUOTE "II.3.14"</w:instrText>
      </w:r>
      <w:r w:rsidRPr="00617176">
        <w:fldChar w:fldCharType="begin">
          <w:fldData xml:space="preserve">QwBSAE8AUwBTAFIARQBGAEUAUgBFAE4AQwBFACoAVABBAEIATABFACoAMwBjADQAZgA5ADcAZgBk
AC0AYwA2ADEAZAAtADQAMwBiAGQALQBhADAANwAyAC0AYgAxADAAYQBlADgANwBiADMAMgBlADcA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II.3.14</w:t>
      </w:r>
      <w:r w:rsidRPr="00617176">
        <w:fldChar w:fldCharType="end"/>
      </w:r>
      <w:r w:rsidRPr="00617176">
        <w:t xml:space="preserve"> shows the results of modifying the </w:t>
      </w:r>
      <w:r w:rsidRPr="00617176">
        <w:rPr>
          <w:i/>
        </w:rPr>
        <w:t>"AWG reference scenario"</w:t>
      </w:r>
      <w:r w:rsidRPr="00617176">
        <w:t xml:space="preserve"> by making alternative assumptions on factors such as migration, fertility, employment rate, TFP and life expectancy (the full list and description of the assumptions can be found in Part I, Chapter 3 of this report). </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223A02" w:rsidRPr="00617176" w14:paraId="4F1347DA" w14:textId="77777777" w:rsidTr="00460C69">
        <w:trPr>
          <w:cantSplit/>
          <w:trHeight w:val="20"/>
        </w:trPr>
        <w:tc>
          <w:tcPr>
            <w:tcW w:w="8505" w:type="dxa"/>
            <w:shd w:val="clear" w:color="auto" w:fill="auto"/>
          </w:tcPr>
          <w:p w14:paraId="38E5484B" w14:textId="77777777" w:rsidR="00223A02" w:rsidRPr="00617176" w:rsidRDefault="00223A02" w:rsidP="00460C69">
            <w:pPr>
              <w:pStyle w:val="SlimCell"/>
              <w:keepNext/>
            </w:pPr>
          </w:p>
        </w:tc>
      </w:tr>
      <w:tr w:rsidR="00223A02" w:rsidRPr="00617176" w14:paraId="071CB85C" w14:textId="77777777" w:rsidTr="00460C69">
        <w:trPr>
          <w:cantSplit/>
        </w:trPr>
        <w:tc>
          <w:tcPr>
            <w:tcW w:w="8505" w:type="dxa"/>
            <w:shd w:val="clear" w:color="auto" w:fill="auto"/>
          </w:tcPr>
          <w:p w14:paraId="31B85189" w14:textId="77777777" w:rsidR="00223A02" w:rsidRPr="00617176" w:rsidRDefault="00223A02" w:rsidP="00460C69">
            <w:pPr>
              <w:pStyle w:val="TableTitle"/>
              <w:rPr>
                <w:b/>
              </w:rPr>
            </w:pPr>
            <w:r w:rsidRPr="00617176">
              <w:t>Table II.3.14:</w:t>
            </w:r>
            <w:r w:rsidRPr="00617176">
              <w:rPr>
                <w:b/>
              </w:rPr>
              <w:tab/>
              <w:t>Sensitivity scenarios - change in spending as % of GDP 2016-2070</w:t>
            </w:r>
          </w:p>
        </w:tc>
      </w:tr>
      <w:tr w:rsidR="00223A02" w:rsidRPr="00617176" w14:paraId="72AF17D4" w14:textId="77777777" w:rsidTr="00460C69">
        <w:trPr>
          <w:cantSplit/>
        </w:trPr>
        <w:tc>
          <w:tcPr>
            <w:tcW w:w="8505" w:type="dxa"/>
            <w:shd w:val="clear" w:color="auto" w:fill="auto"/>
          </w:tcPr>
          <w:p w14:paraId="73D94EC0" w14:textId="77777777" w:rsidR="00223A02" w:rsidRPr="00617176" w:rsidRDefault="00223A02" w:rsidP="00460C69">
            <w:pPr>
              <w:pStyle w:val="TableShape"/>
              <w:rPr>
                <w:sz w:val="2"/>
              </w:rPr>
            </w:pPr>
            <w:r w:rsidRPr="00617176">
              <w:rPr>
                <w:noProof/>
                <w:sz w:val="2"/>
                <w:lang w:val="hr-HR" w:eastAsia="hr-HR"/>
              </w:rPr>
              <w:drawing>
                <wp:inline distT="0" distB="0" distL="0" distR="0" wp14:anchorId="3E7D3364" wp14:editId="64295992">
                  <wp:extent cx="5400929" cy="4591839"/>
                  <wp:effectExtent l="0" t="0" r="9525" b="0"/>
                  <wp:docPr id="824" name="Picture 824" descr="&lt;nbr&gt;&lt;GETTEXTFROMWORD&gt;&lt;/nbr&gt;&#10;&lt;title&gt;&lt;GETTEXTFROMWORD&gt;&lt;/title&gt;&#10;&lt;id&gt;3c4f97fd-c61d-43bd-a072-b10ae87b32e7&lt;/id&gt;&#10;&lt;srcType&gt;EXCEL&lt;/srcType&gt;&#10;&lt;srcPath&gt;U:\Budgetary projections 2018\Reports\2018 AR\Tables_and_graphs\Part II Chapter 3\&lt;/srcPath&gt;&#10;&lt;srcName&gt;Additional tables and charts - CHAP 3.xls&lt;/srcName&gt;&#10;&lt;type&gt;table&lt;/type&gt;&#10; &lt;srcSheet&gt;No ref&lt;/srcSheet&gt;&#10; &lt;srcRange&gt;R2C2:R35C14&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400929" cy="4591839"/>
                          </a:xfrm>
                          <a:prstGeom prst="rect">
                            <a:avLst/>
                          </a:prstGeom>
                          <a:noFill/>
                          <a:ln>
                            <a:noFill/>
                          </a:ln>
                        </pic:spPr>
                      </pic:pic>
                    </a:graphicData>
                  </a:graphic>
                </wp:inline>
              </w:drawing>
            </w:r>
          </w:p>
        </w:tc>
      </w:tr>
      <w:tr w:rsidR="00223A02" w:rsidRPr="00617176" w14:paraId="26290C16" w14:textId="77777777" w:rsidTr="00460C69">
        <w:trPr>
          <w:cantSplit/>
        </w:trPr>
        <w:tc>
          <w:tcPr>
            <w:tcW w:w="8505" w:type="dxa"/>
            <w:shd w:val="clear" w:color="auto" w:fill="auto"/>
          </w:tcPr>
          <w:p w14:paraId="4232186D" w14:textId="77777777" w:rsidR="00223A02" w:rsidRDefault="00223A02" w:rsidP="00460C69">
            <w:pPr>
              <w:pStyle w:val="TableFootnote"/>
            </w:pPr>
            <w:r>
              <w:t>Note: The "High-life expectancy scenario" presented here is based on the "base case" scenario.</w:t>
            </w:r>
          </w:p>
          <w:p w14:paraId="16DFE38B" w14:textId="77777777" w:rsidR="00223A02" w:rsidRPr="00617176" w:rsidRDefault="00223A02" w:rsidP="00460C69">
            <w:pPr>
              <w:pStyle w:val="TableSource"/>
            </w:pPr>
            <w:r w:rsidRPr="00617176">
              <w:rPr>
                <w:b/>
                <w:i/>
              </w:rPr>
              <w:t>Source:</w:t>
            </w:r>
            <w:r w:rsidRPr="00617176">
              <w:t xml:space="preserve"> Commission services, EPC.</w:t>
            </w:r>
          </w:p>
        </w:tc>
      </w:tr>
      <w:tr w:rsidR="00223A02" w:rsidRPr="00617176" w14:paraId="0B2BF63F" w14:textId="77777777" w:rsidTr="00460C69">
        <w:trPr>
          <w:cantSplit/>
          <w:trHeight w:val="20"/>
        </w:trPr>
        <w:tc>
          <w:tcPr>
            <w:tcW w:w="8505" w:type="dxa"/>
            <w:shd w:val="clear" w:color="auto" w:fill="auto"/>
          </w:tcPr>
          <w:p w14:paraId="0FC17180" w14:textId="77777777" w:rsidR="00223A02" w:rsidRPr="00617176" w:rsidRDefault="00223A02" w:rsidP="00460C69">
            <w:pPr>
              <w:pStyle w:val="SlimCell"/>
            </w:pPr>
          </w:p>
        </w:tc>
      </w:tr>
    </w:tbl>
    <w:p w14:paraId="309291F3" w14:textId="77777777" w:rsidR="00223A02" w:rsidRPr="00617176" w:rsidRDefault="00223A02" w:rsidP="00460C69">
      <w:r w:rsidRPr="00617176">
        <w:t>As can be seen, these assumptions can have a sizable impact on the projections (</w:t>
      </w:r>
      <w:r w:rsidRPr="00617176">
        <w:rPr>
          <w:rStyle w:val="Referencafusnote"/>
        </w:rPr>
        <w:footnoteReference w:id="119"/>
      </w:r>
      <w:r w:rsidRPr="00617176">
        <w:t>). The EU28 long-term care expenditure-to-GDP projections are more responsive to changes in the size of the working population (fertility, migration, employment rate) than those affecting life expectancy or productivity. Therefore, the largest impact on the projected increase in public expenditure on long-term care as a share of GDP is due to lower fertility, while higher employment rates and increases in net migration can lead to lower expenditure to GDP growth on health care.</w:t>
      </w:r>
    </w:p>
    <w:p w14:paraId="01F5E090" w14:textId="77777777" w:rsidR="00223A02" w:rsidRPr="00617176" w:rsidRDefault="00223A02" w:rsidP="00460C69">
      <w:pPr>
        <w:pStyle w:val="NumberedHeading1"/>
        <w:tabs>
          <w:tab w:val="left" w:pos="567"/>
        </w:tabs>
      </w:pPr>
      <w:bookmarkStart w:id="235" w:name="_Toc511664446"/>
      <w:r w:rsidRPr="00617176">
        <w:lastRenderedPageBreak/>
        <w:t>3.5.</w:t>
      </w:r>
      <w:r w:rsidRPr="00617176">
        <w:tab/>
        <w:t>Comparison with the 2015 Ageing Report</w:t>
      </w:r>
      <w:bookmarkEnd w:id="235"/>
    </w:p>
    <w:p w14:paraId="50B49A27" w14:textId="77777777" w:rsidR="00223A02" w:rsidRPr="00617176" w:rsidRDefault="00223A02" w:rsidP="00460C69">
      <w:r w:rsidRPr="00617176">
        <w:t xml:space="preserve">As in the case of health care projections, the differences observed between the 2015 Ageing Report and the current projections result from a set of factors: i) a different initial spending level; ii) a different base-year for starting the projections; iii) updated macroeconomic assumptions resulting in different GDP per capita growth rates and GDP levels for the period under analysis; iv) updated population projections; v) updated age-gender expenditure profiles; vi) changes in scenario assumptions, methodology and quantified policy reforms. As shown in Graph </w:t>
      </w:r>
      <w:r w:rsidRPr="00617176">
        <w:fldChar w:fldCharType="begin"/>
      </w:r>
      <w:r w:rsidRPr="00617176">
        <w:instrText xml:space="preserve"> QUOTE "II.3.11"</w:instrText>
      </w:r>
      <w:r w:rsidRPr="00617176">
        <w:fldChar w:fldCharType="begin">
          <w:fldData xml:space="preserve">QwBSAE8AUwBTAFIARQBGAEUAUgBFAE4AQwBFACoARwBSAEEAUABIACoAYQAzAGMAYwAwADYAOQAw
AC0AYwAxADUAOAAtADQAZQAxAGIALQA4ADgAMgBjAC0AYgA5ADYAMgBlADIAOQBjADMAZgA3AGUA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II.3.11</w:t>
      </w:r>
      <w:r w:rsidRPr="00617176">
        <w:fldChar w:fldCharType="end"/>
      </w:r>
      <w:r w:rsidRPr="00617176">
        <w:t>, results are pronounced for a number of countries and are related to different reasons.</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4F333B61" w14:textId="77777777" w:rsidTr="00460C69">
        <w:trPr>
          <w:cantSplit/>
        </w:trPr>
        <w:tc>
          <w:tcPr>
            <w:tcW w:w="4110" w:type="dxa"/>
            <w:shd w:val="clear" w:color="auto" w:fill="auto"/>
          </w:tcPr>
          <w:p w14:paraId="3B8A9998" w14:textId="77777777" w:rsidR="00223A02" w:rsidRPr="00617176" w:rsidRDefault="00223A02" w:rsidP="00460C69">
            <w:pPr>
              <w:pStyle w:val="GraphTitle"/>
              <w:rPr>
                <w:b/>
              </w:rPr>
            </w:pPr>
            <w:r w:rsidRPr="00617176">
              <w:t>Graph II.3.11:</w:t>
            </w:r>
            <w:r w:rsidRPr="00617176">
              <w:rPr>
                <w:b/>
              </w:rPr>
              <w:tab/>
              <w:t>AWG reference scenario: Differences in the projected increase in public expenditure on long-term care over 2016-2060 between the 2018 and 2015 Ageing Report, as pps. of GDP</w:t>
            </w:r>
          </w:p>
        </w:tc>
      </w:tr>
      <w:tr w:rsidR="00223A02" w:rsidRPr="00617176" w14:paraId="09AB6FE4" w14:textId="77777777" w:rsidTr="00460C69">
        <w:trPr>
          <w:cantSplit/>
        </w:trPr>
        <w:tc>
          <w:tcPr>
            <w:tcW w:w="4110" w:type="dxa"/>
            <w:shd w:val="clear" w:color="auto" w:fill="auto"/>
          </w:tcPr>
          <w:p w14:paraId="7B79C5F0" w14:textId="77777777" w:rsidR="00223A02" w:rsidRPr="00617176" w:rsidRDefault="00223A02" w:rsidP="00460C69">
            <w:pPr>
              <w:pStyle w:val="GraphShape"/>
              <w:rPr>
                <w:sz w:val="2"/>
              </w:rPr>
            </w:pPr>
            <w:r w:rsidRPr="00617176">
              <w:fldChar w:fldCharType="begin"/>
            </w:r>
            <w:r w:rsidRPr="009F3ED8">
              <w:instrText xml:space="preserve"> TC "</w:instrText>
            </w:r>
            <w:bookmarkStart w:id="236" w:name="_Toc511664698"/>
            <w:r w:rsidRPr="009F3ED8">
              <w:instrText>II.3.11.</w:instrText>
            </w:r>
            <w:r w:rsidRPr="009F3ED8">
              <w:tab/>
              <w:instrText>AWG reference scenario: Differences in the projected increase in public expenditure on long-term care over 2016-2060 between the 2018 and 2015 Ageing Report, as pps. of GDP</w:instrText>
            </w:r>
            <w:bookmarkEnd w:id="236"/>
            <w:r w:rsidRPr="009F3ED8">
              <w:instrText xml:space="preserve">" \fgraph \l 5 </w:instrText>
            </w:r>
            <w:r w:rsidRPr="00617176">
              <w:fldChar w:fldCharType="end"/>
            </w:r>
            <w:r w:rsidRPr="00617176">
              <w:rPr>
                <w:noProof/>
                <w:sz w:val="2"/>
                <w:lang w:val="hr-HR" w:eastAsia="hr-HR"/>
              </w:rPr>
              <w:drawing>
                <wp:inline distT="0" distB="0" distL="0" distR="0" wp14:anchorId="215E1281" wp14:editId="30F897E3">
                  <wp:extent cx="2597595" cy="4072899"/>
                  <wp:effectExtent l="0" t="0" r="0" b="3810"/>
                  <wp:docPr id="825" name="Picture 825" descr="&lt;nbr&gt;&lt;GETTEXTFROMWORD&gt;&lt;/nbr&gt;&#10;&lt;title&gt;&lt;GETTEXTFROMWORD&gt;&lt;/title&gt;&#10;&lt;id&gt;a3cc0690-c158-4e1b-882c-b962e29c3f7e&lt;/id&gt;&#10;&lt;srcType&gt;EXCEL&lt;/srcType&gt;&#10;&lt;srcPath&gt;U:\Budgetary projections 2018\Reports\2018 AR\Tables_and_graphs\Part II Chapter 3\&lt;/srcPath&gt;&#10;&lt;srcName&gt;Additional tables and charts - CHAP 3.xls&lt;/srcName&gt;&#10;&lt;type&gt;graph&lt;/type&gt;&#10; &lt;srcSheet&gt;Graph II.3.10 AWG ref diff&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597595" cy="4072899"/>
                          </a:xfrm>
                          <a:prstGeom prst="rect">
                            <a:avLst/>
                          </a:prstGeom>
                          <a:noFill/>
                          <a:ln>
                            <a:noFill/>
                          </a:ln>
                        </pic:spPr>
                      </pic:pic>
                    </a:graphicData>
                  </a:graphic>
                </wp:inline>
              </w:drawing>
            </w:r>
          </w:p>
        </w:tc>
      </w:tr>
      <w:tr w:rsidR="00223A02" w:rsidRPr="00617176" w14:paraId="6BDF3524" w14:textId="77777777" w:rsidTr="00460C69">
        <w:trPr>
          <w:cantSplit/>
        </w:trPr>
        <w:tc>
          <w:tcPr>
            <w:tcW w:w="4110" w:type="dxa"/>
            <w:shd w:val="clear" w:color="auto" w:fill="auto"/>
            <w:tcMar>
              <w:bottom w:w="240" w:type="dxa"/>
            </w:tcMar>
          </w:tcPr>
          <w:p w14:paraId="10F0404B" w14:textId="77777777" w:rsidR="00223A02" w:rsidRPr="00617176" w:rsidRDefault="00223A02" w:rsidP="00460C69">
            <w:pPr>
              <w:pStyle w:val="GraphSource"/>
              <w:keepNext/>
            </w:pPr>
            <w:r w:rsidRPr="00617176">
              <w:rPr>
                <w:b/>
                <w:i/>
              </w:rPr>
              <w:t>Source:</w:t>
            </w:r>
            <w:r w:rsidRPr="00617176">
              <w:t xml:space="preserve"> European Commission, EPC.</w:t>
            </w:r>
          </w:p>
        </w:tc>
      </w:tr>
    </w:tbl>
    <w:p w14:paraId="6D06933F" w14:textId="77777777" w:rsidR="00223A02" w:rsidRPr="00617176" w:rsidRDefault="00223A02" w:rsidP="00460C69">
      <w:r w:rsidRPr="00617176">
        <w:t xml:space="preserve">Firstly, the age-cost profiles have been updated, leading to different dynamics of ageing costs for </w:t>
      </w:r>
      <w:r w:rsidRPr="00617176">
        <w:lastRenderedPageBreak/>
        <w:t>many countries. In one case (Croatia) a country-specific profile has now replaced the imputed profile used in the previous Ageing Report. In other cases, the calculation methodology of the profile has been updated, leading to significant differences in the age-cost profiles. This implies different dynamics of projected spending changes according to the types of care (and the associated costs), which do impact the projection results.</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66AE131F" w14:textId="77777777" w:rsidTr="00460C69">
        <w:trPr>
          <w:cantSplit/>
          <w:trHeight w:val="20"/>
        </w:trPr>
        <w:tc>
          <w:tcPr>
            <w:tcW w:w="4110" w:type="dxa"/>
            <w:shd w:val="clear" w:color="auto" w:fill="auto"/>
          </w:tcPr>
          <w:p w14:paraId="304BCAC1" w14:textId="77777777" w:rsidR="00223A02" w:rsidRPr="00617176" w:rsidRDefault="00223A02" w:rsidP="00460C69">
            <w:pPr>
              <w:pStyle w:val="SlimCell"/>
              <w:keepNext/>
            </w:pPr>
          </w:p>
        </w:tc>
      </w:tr>
      <w:tr w:rsidR="00223A02" w:rsidRPr="00617176" w14:paraId="5AA611D9" w14:textId="77777777" w:rsidTr="00460C69">
        <w:trPr>
          <w:cantSplit/>
        </w:trPr>
        <w:tc>
          <w:tcPr>
            <w:tcW w:w="4110" w:type="dxa"/>
            <w:shd w:val="clear" w:color="auto" w:fill="auto"/>
          </w:tcPr>
          <w:p w14:paraId="3F207144" w14:textId="77777777" w:rsidR="00223A02" w:rsidRPr="00617176" w:rsidRDefault="00223A02" w:rsidP="00460C69">
            <w:pPr>
              <w:pStyle w:val="TableTitle"/>
              <w:rPr>
                <w:b/>
              </w:rPr>
            </w:pPr>
            <w:r w:rsidRPr="00617176">
              <w:t>Table II.3.15:</w:t>
            </w:r>
            <w:r w:rsidRPr="00617176">
              <w:rPr>
                <w:b/>
              </w:rPr>
              <w:tab/>
              <w:t>Comparison between public long-term care spending as % of GDP in the 2018 and the 2015 Ageing Reports, in the base year (i.e. 2016) of current projections</w:t>
            </w:r>
          </w:p>
        </w:tc>
      </w:tr>
      <w:tr w:rsidR="00223A02" w:rsidRPr="00617176" w14:paraId="2C6C3852" w14:textId="77777777" w:rsidTr="00460C69">
        <w:trPr>
          <w:cantSplit/>
        </w:trPr>
        <w:tc>
          <w:tcPr>
            <w:tcW w:w="4110" w:type="dxa"/>
            <w:shd w:val="clear" w:color="auto" w:fill="auto"/>
          </w:tcPr>
          <w:p w14:paraId="30078AFF" w14:textId="77777777" w:rsidR="00223A02" w:rsidRPr="00617176" w:rsidRDefault="00223A02" w:rsidP="00460C69">
            <w:pPr>
              <w:pStyle w:val="TableShape"/>
              <w:rPr>
                <w:sz w:val="2"/>
              </w:rPr>
            </w:pPr>
            <w:r w:rsidRPr="00617176">
              <w:fldChar w:fldCharType="begin"/>
            </w:r>
            <w:r w:rsidRPr="009F3ED8">
              <w:instrText xml:space="preserve"> TC "</w:instrText>
            </w:r>
            <w:bookmarkStart w:id="237" w:name="_Toc511664577"/>
            <w:r w:rsidRPr="009F3ED8">
              <w:instrText>II.3.15.</w:instrText>
            </w:r>
            <w:r w:rsidRPr="009F3ED8">
              <w:tab/>
              <w:instrText>Comparison between public long-term care spending as % of GDP in the 2018 and the 2015 Ageing Reports, in the base year (i.e. 2016) of current projections</w:instrText>
            </w:r>
            <w:bookmarkEnd w:id="237"/>
            <w:r w:rsidRPr="009F3ED8">
              <w:instrText xml:space="preserve">" \ftable \l 5 </w:instrText>
            </w:r>
            <w:r w:rsidRPr="00617176">
              <w:fldChar w:fldCharType="end"/>
            </w:r>
            <w:r w:rsidRPr="00617176">
              <w:rPr>
                <w:noProof/>
                <w:sz w:val="2"/>
                <w:lang w:val="hr-HR" w:eastAsia="hr-HR"/>
              </w:rPr>
              <w:drawing>
                <wp:inline distT="0" distB="0" distL="0" distR="0" wp14:anchorId="4BE79BB5" wp14:editId="0F4D4A18">
                  <wp:extent cx="2597595" cy="4372767"/>
                  <wp:effectExtent l="0" t="0" r="0" b="8890"/>
                  <wp:docPr id="826" name="Picture 826" descr="&lt;nbr&gt;&lt;GETTEXTFROMWORD&gt;&lt;/nbr&gt;&#10;&lt;title&gt;&lt;GETTEXTFROMWORD&gt;&lt;/title&gt;&#10;&lt;id&gt;7b7320b1-56ed-4d05-a94c-a2ef96226531&lt;/id&gt;&#10;&lt;srcType&gt;EXCEL&lt;/srcType&gt;&#10;&lt;srcPath&gt;U:\Budgetary projections 2018\Reports\2018 AR\Tables_and_graphs\Part II Chapter 3\&lt;/srcPath&gt;&#10;&lt;srcName&gt;Additional tables and charts - CHAP 3.xls&lt;/srcName&gt;&#10;&lt;type&gt;table&lt;/type&gt;&#10; &lt;srcSheet&gt;Table II.3.12&lt;/srcSheet&gt;&#10; &lt;srcRange&gt;R2C2:R35C6&lt;/srcRang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597595" cy="4372767"/>
                          </a:xfrm>
                          <a:prstGeom prst="rect">
                            <a:avLst/>
                          </a:prstGeom>
                          <a:noFill/>
                          <a:ln>
                            <a:noFill/>
                          </a:ln>
                        </pic:spPr>
                      </pic:pic>
                    </a:graphicData>
                  </a:graphic>
                </wp:inline>
              </w:drawing>
            </w:r>
          </w:p>
        </w:tc>
      </w:tr>
      <w:tr w:rsidR="00223A02" w:rsidRPr="00617176" w14:paraId="0F87F7CD" w14:textId="77777777" w:rsidTr="00460C69">
        <w:trPr>
          <w:cantSplit/>
        </w:trPr>
        <w:tc>
          <w:tcPr>
            <w:tcW w:w="4110" w:type="dxa"/>
            <w:shd w:val="clear" w:color="auto" w:fill="auto"/>
          </w:tcPr>
          <w:p w14:paraId="4EB979E7" w14:textId="77777777" w:rsidR="00223A02" w:rsidRDefault="00223A02" w:rsidP="00460C69">
            <w:pPr>
              <w:pStyle w:val="TableFootnote"/>
            </w:pPr>
            <w:r>
              <w:t>Notes: The 2018 (2015) Ageing Report (AR)column values refers to the 2016 (projected) long-term care spending to GDP ratio in the current (previous) projection exercise.</w:t>
            </w:r>
          </w:p>
          <w:p w14:paraId="3C868423" w14:textId="77777777" w:rsidR="00223A02" w:rsidRPr="00617176" w:rsidRDefault="00223A02" w:rsidP="00460C69">
            <w:pPr>
              <w:pStyle w:val="TableSource"/>
            </w:pPr>
            <w:r w:rsidRPr="00617176">
              <w:rPr>
                <w:b/>
                <w:i/>
              </w:rPr>
              <w:t>Source:</w:t>
            </w:r>
            <w:r w:rsidRPr="00617176">
              <w:t xml:space="preserve"> European Commission, EPC </w:t>
            </w:r>
          </w:p>
        </w:tc>
      </w:tr>
      <w:tr w:rsidR="00223A02" w:rsidRPr="00617176" w14:paraId="4AACAAA7" w14:textId="77777777" w:rsidTr="00460C69">
        <w:trPr>
          <w:cantSplit/>
          <w:trHeight w:val="20"/>
        </w:trPr>
        <w:tc>
          <w:tcPr>
            <w:tcW w:w="4110" w:type="dxa"/>
            <w:shd w:val="clear" w:color="auto" w:fill="auto"/>
            <w:tcMar>
              <w:bottom w:w="240" w:type="dxa"/>
            </w:tcMar>
          </w:tcPr>
          <w:p w14:paraId="6E3A3914" w14:textId="77777777" w:rsidR="00223A02" w:rsidRPr="00617176" w:rsidRDefault="00223A02" w:rsidP="00460C69">
            <w:pPr>
              <w:pStyle w:val="SlimCell"/>
            </w:pPr>
          </w:p>
        </w:tc>
      </w:tr>
    </w:tbl>
    <w:p w14:paraId="5D1BA235" w14:textId="77777777" w:rsidR="00223A02" w:rsidRPr="00617176" w:rsidRDefault="00223A02" w:rsidP="00460C69">
      <w:r w:rsidRPr="00617176">
        <w:t xml:space="preserve">Secondly, the 2016 level of public expenditure on long-term care in the EU is, for the EU average, the same as in the 2015 projections (Table </w:t>
      </w:r>
      <w:r w:rsidRPr="00617176">
        <w:fldChar w:fldCharType="begin"/>
      </w:r>
      <w:r w:rsidRPr="00617176">
        <w:instrText xml:space="preserve"> QUOTE "II.3.15"</w:instrText>
      </w:r>
      <w:r w:rsidRPr="00617176">
        <w:fldChar w:fldCharType="begin">
          <w:fldData xml:space="preserve">QwBSAE8AUwBTAFIARQBGAEUAUgBFAE4AQwBFACoAVABBAEIATABFACoANwBiADcAMwAyADAAYgAx
AC0ANQA2AGUAZAAtADQAZAAwADUALQBhADkANABjAC0AYQAyAGUAZgA5ADYAMgAyADYANQAzADEA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II.3.15</w:t>
      </w:r>
      <w:r w:rsidRPr="00617176">
        <w:fldChar w:fldCharType="end"/>
      </w:r>
      <w:r w:rsidRPr="00617176">
        <w:t xml:space="preserve">). However, this masks large revisions and changes for specific countries. This is partly due to new policy reforms and partly to better data </w:t>
      </w:r>
      <w:r w:rsidRPr="00617176">
        <w:lastRenderedPageBreak/>
        <w:fldChar w:fldCharType="begin"/>
      </w:r>
      <w:r w:rsidRPr="009F3ED8">
        <w:instrText xml:space="preserve"> TC "</w:instrText>
      </w:r>
      <w:bookmarkStart w:id="238" w:name="_Toc511664578"/>
      <w:r w:rsidRPr="009F3ED8">
        <w:instrText>II.3.16.</w:instrText>
      </w:r>
      <w:r w:rsidRPr="009F3ED8">
        <w:tab/>
        <w:instrText>Decomposing the impact of drivers on differences in spending growth (2016-2060) between the 2018 and the 2015 Ageing Reports- based on the reference case scenario, in pps. of GDP</w:instrText>
      </w:r>
      <w:bookmarkEnd w:id="238"/>
      <w:r w:rsidRPr="009F3ED8">
        <w:instrText xml:space="preserve">" \ftable \l 5 </w:instrText>
      </w:r>
      <w:r w:rsidRPr="00617176">
        <w:fldChar w:fldCharType="end"/>
      </w:r>
      <w:r w:rsidRPr="00617176">
        <w:t>availability. While Ageing Report 2015 used the older SHA 1.0 expenditure or ESSPROS where available, the new projections for all countries use data based on the new SHA 2011. A significant  revision impact is that of Ireland, where the move from ESSPROS to the more accurate SHA 2011 has led to an expenditure increase of 0.7 pps. of GDP in 2016.</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223A02" w:rsidRPr="00617176" w14:paraId="67657761" w14:textId="77777777" w:rsidTr="00460C69">
        <w:trPr>
          <w:cantSplit/>
          <w:trHeight w:val="20"/>
        </w:trPr>
        <w:tc>
          <w:tcPr>
            <w:tcW w:w="8505" w:type="dxa"/>
            <w:shd w:val="clear" w:color="auto" w:fill="auto"/>
          </w:tcPr>
          <w:p w14:paraId="082AA76B" w14:textId="77777777" w:rsidR="00223A02" w:rsidRPr="00617176" w:rsidRDefault="00223A02" w:rsidP="00460C69">
            <w:pPr>
              <w:pStyle w:val="SlimCell"/>
              <w:keepNext/>
            </w:pPr>
          </w:p>
        </w:tc>
      </w:tr>
      <w:tr w:rsidR="00223A02" w:rsidRPr="00617176" w14:paraId="6902EB5A" w14:textId="77777777" w:rsidTr="00460C69">
        <w:trPr>
          <w:cantSplit/>
        </w:trPr>
        <w:tc>
          <w:tcPr>
            <w:tcW w:w="8505" w:type="dxa"/>
            <w:shd w:val="clear" w:color="auto" w:fill="auto"/>
          </w:tcPr>
          <w:p w14:paraId="3AA1B754" w14:textId="77777777" w:rsidR="00223A02" w:rsidRPr="00617176" w:rsidRDefault="00223A02" w:rsidP="00460C69">
            <w:pPr>
              <w:pStyle w:val="TableTitle"/>
              <w:rPr>
                <w:b/>
              </w:rPr>
            </w:pPr>
            <w:r w:rsidRPr="00617176">
              <w:t>Table II.3.16:</w:t>
            </w:r>
            <w:r w:rsidRPr="00617176">
              <w:rPr>
                <w:b/>
              </w:rPr>
              <w:tab/>
              <w:t>Decomposing the impact of drivers on differences in spending growth (2016-2060) between the 2018 and the 2015 Ageing Reports- based on the reference case scenario, in pps. of GDP</w:t>
            </w:r>
          </w:p>
        </w:tc>
      </w:tr>
      <w:tr w:rsidR="00223A02" w:rsidRPr="00617176" w14:paraId="50C68653" w14:textId="77777777" w:rsidTr="00460C69">
        <w:trPr>
          <w:cantSplit/>
        </w:trPr>
        <w:tc>
          <w:tcPr>
            <w:tcW w:w="8505" w:type="dxa"/>
            <w:shd w:val="clear" w:color="auto" w:fill="auto"/>
          </w:tcPr>
          <w:p w14:paraId="300BD3BB" w14:textId="77777777" w:rsidR="00223A02" w:rsidRPr="00617176" w:rsidRDefault="00223A02" w:rsidP="00460C69">
            <w:pPr>
              <w:pStyle w:val="TableShape"/>
              <w:rPr>
                <w:sz w:val="2"/>
              </w:rPr>
            </w:pPr>
            <w:r w:rsidRPr="00617176">
              <w:rPr>
                <w:noProof/>
                <w:sz w:val="2"/>
                <w:lang w:val="hr-HR" w:eastAsia="hr-HR"/>
              </w:rPr>
              <w:drawing>
                <wp:inline distT="0" distB="0" distL="0" distR="0" wp14:anchorId="23203E4E" wp14:editId="27030A08">
                  <wp:extent cx="5400929" cy="3740768"/>
                  <wp:effectExtent l="0" t="0" r="0" b="0"/>
                  <wp:docPr id="827" name="Picture 827" descr="&lt;nbr&gt;&lt;GETTEXTFROMWORD&gt;&lt;/nbr&gt;&#10;&lt;title&gt;&lt;GETTEXTFROMWORD&gt;&lt;/title&gt;&#10;&lt;id&gt;d2c34eb5-0b5b-4287-95b5-15eb12094302&lt;/id&gt;&#10;&lt;srcType&gt;EXCEL&lt;/srcType&gt;&#10;&lt;srcPath&gt;U:\Budgetary projections 2018\Reports\2018 AR\Tables_and_graphs\Part II Chapter 3\&lt;/srcPath&gt;&#10;&lt;srcName&gt;Additional tables and charts - CHAP 3.xls&lt;/srcName&gt;&#10;&lt;type&gt;table&lt;/type&gt;&#10; &lt;srcSheet&gt;Table II.3.13 Drivers&lt;/srcSheet&gt;&#10; &lt;srcRange&gt;R2C2:R34C12&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yes&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400929" cy="3740768"/>
                          </a:xfrm>
                          <a:prstGeom prst="rect">
                            <a:avLst/>
                          </a:prstGeom>
                          <a:noFill/>
                          <a:ln>
                            <a:noFill/>
                          </a:ln>
                        </pic:spPr>
                      </pic:pic>
                    </a:graphicData>
                  </a:graphic>
                </wp:inline>
              </w:drawing>
            </w:r>
          </w:p>
        </w:tc>
      </w:tr>
      <w:tr w:rsidR="00223A02" w:rsidRPr="00617176" w14:paraId="4CC0AC53" w14:textId="77777777" w:rsidTr="00460C69">
        <w:trPr>
          <w:cantSplit/>
        </w:trPr>
        <w:tc>
          <w:tcPr>
            <w:tcW w:w="8505" w:type="dxa"/>
            <w:shd w:val="clear" w:color="auto" w:fill="auto"/>
          </w:tcPr>
          <w:p w14:paraId="6B1BEC60" w14:textId="77777777" w:rsidR="00223A02" w:rsidRDefault="00223A02" w:rsidP="00460C69">
            <w:pPr>
              <w:pStyle w:val="TableFootnote"/>
            </w:pPr>
            <w:r>
              <w:t xml:space="preserve">Notes: </w:t>
            </w:r>
            <w:r>
              <w:br/>
              <w:t xml:space="preserve">* The interaction effect is the unexplained difference between replacing the current data with the 2015 Ageing Report data for all drivers at once and replacing the 2015 Ageing Repot data one driver at a time. </w:t>
            </w:r>
            <w:r>
              <w:br/>
              <w:t>** The base-year effect is the difference between column 1 and the sum of columns 2 to 8. As such it reflects any further changes, including methodology changes and policy reforms.</w:t>
            </w:r>
          </w:p>
          <w:p w14:paraId="294810FE" w14:textId="77777777" w:rsidR="00223A02" w:rsidRPr="00617176" w:rsidRDefault="00223A02" w:rsidP="00460C69">
            <w:pPr>
              <w:pStyle w:val="TableSource"/>
            </w:pPr>
            <w:r w:rsidRPr="00617176">
              <w:rPr>
                <w:b/>
                <w:i/>
              </w:rPr>
              <w:t>Source:</w:t>
            </w:r>
            <w:r w:rsidRPr="00617176">
              <w:t xml:space="preserve">  Commission services, EPC.</w:t>
            </w:r>
          </w:p>
        </w:tc>
      </w:tr>
      <w:tr w:rsidR="00223A02" w:rsidRPr="00617176" w14:paraId="0C94FAC4" w14:textId="77777777" w:rsidTr="00460C69">
        <w:trPr>
          <w:cantSplit/>
          <w:trHeight w:val="20"/>
        </w:trPr>
        <w:tc>
          <w:tcPr>
            <w:tcW w:w="8505" w:type="dxa"/>
            <w:shd w:val="clear" w:color="auto" w:fill="auto"/>
          </w:tcPr>
          <w:p w14:paraId="169FD401" w14:textId="77777777" w:rsidR="00223A02" w:rsidRPr="00617176" w:rsidRDefault="00223A02" w:rsidP="00460C69">
            <w:pPr>
              <w:pStyle w:val="SlimCell"/>
            </w:pPr>
          </w:p>
        </w:tc>
      </w:tr>
    </w:tbl>
    <w:p w14:paraId="4A64E0DB" w14:textId="77777777" w:rsidR="00223A02" w:rsidRPr="00617176" w:rsidRDefault="00223A02" w:rsidP="00460C69">
      <w:r w:rsidRPr="00617176">
        <w:t xml:space="preserve">Thirdly, GDP and population projections have been updated. </w:t>
      </w:r>
    </w:p>
    <w:p w14:paraId="1B131F7B" w14:textId="77777777" w:rsidR="00223A02" w:rsidRPr="00617176" w:rsidRDefault="00223A02" w:rsidP="00460C69">
      <w:r w:rsidRPr="00617176">
        <w:t xml:space="preserve">Fourthly, changes in LTC spending have been triggered by legislated policy reforms as discussed in previous sections. </w:t>
      </w:r>
    </w:p>
    <w:p w14:paraId="47AB7711" w14:textId="77777777" w:rsidR="00223A02" w:rsidRPr="00617176" w:rsidRDefault="00223A02" w:rsidP="00460C69">
      <w:r w:rsidRPr="00617176">
        <w:t xml:space="preserve">Fifthly, different reforms have been quantified as part of the AR2015 and AR2018 projections. </w:t>
      </w:r>
    </w:p>
    <w:p w14:paraId="1803A8A9" w14:textId="77777777" w:rsidR="00223A02" w:rsidRPr="00617176" w:rsidRDefault="00223A02" w:rsidP="00460C69">
      <w:r w:rsidRPr="00617176">
        <w:t xml:space="preserve">Finally, changes to the methodology have also had an impact on the results, in particular the use of country-specific assumptions for LTC benefit indexation for France, Germany, and Slovenia. </w:t>
      </w:r>
    </w:p>
    <w:p w14:paraId="5F6A1AEF" w14:textId="77777777" w:rsidR="00223A02" w:rsidRPr="00617176" w:rsidRDefault="00223A02" w:rsidP="00460C69">
      <w:r w:rsidRPr="00617176">
        <w:t xml:space="preserve">A quantitative decomposition of drivers is proposed in Table </w:t>
      </w:r>
      <w:r w:rsidRPr="00617176">
        <w:fldChar w:fldCharType="begin"/>
      </w:r>
      <w:r w:rsidRPr="00617176">
        <w:instrText xml:space="preserve"> QUOTE "II.3.16"</w:instrText>
      </w:r>
      <w:r w:rsidRPr="00617176">
        <w:fldChar w:fldCharType="begin">
          <w:fldData xml:space="preserve">QwBSAE8AUwBTAFIARQBGAEUAUgBFAE4AQwBFACoAVABBAEIATABFACoAZAAyAGMAMwA0AGUAYgA1
AC0AMABiADUAYgAtADQAMgA4ADcALQA5ADUAYgA1AC0AMQA1AGUAYgAxADIAMAA5ADQAMwAwADIA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II.3.16</w:t>
      </w:r>
      <w:r w:rsidRPr="00617176">
        <w:fldChar w:fldCharType="end"/>
      </w:r>
      <w:r w:rsidRPr="00617176">
        <w:t xml:space="preserve">. The decomposition aims at quantifying which factors are driving the differences in projected spending between the 2015 and the 2018 projection exercises in the AWG reference scenario. The considered drivers are the age-cost profiles, the coverage of beneficiaries by formal care service, the disability rates, GDP per hours worked, the population projections, an interaction and a base-year effect. Basically, departing from the level of expenditure in 2016 each driver's impact is estimated by replacing ceteris paribus its current value with the 2015 Ageing Report data. </w:t>
      </w:r>
    </w:p>
    <w:p w14:paraId="04981DDE" w14:textId="77777777" w:rsidR="00223A02" w:rsidRPr="00617176" w:rsidRDefault="00223A02" w:rsidP="00460C69">
      <w:r w:rsidRPr="00617176">
        <w:lastRenderedPageBreak/>
        <w:t xml:space="preserve">Overall, changes in projected expenditure levels were driven to a higher degree by revised GDP growth rates and demographic projections and to a lower degree by changes in age-cost profiles, coverage rates and disability rates. Lower GDP growth rates per capita in the current relative to the last Ageing Report impact favourably on lower LTC expenditure growth, whereas the demographic projections lead to greater expenditure. However, these overall impacts mask some of the country-level impact due to specific drivers when comparing between the two Ageing Reports. As such Denmark has a flatter age cost profile at higher ages and the Netherlands has considerably lower coverage of LTC recipients, driving expenditure projections upwards relative to the 2015 Ageing Report. Ireland and the Netherlands were most strongly affected by revisions to GDP projections reducing projected expenditure growth. Finally, the base year changes (including both changes to base year expenditure, methodology and policy reforms) have a particularly strong impact on the expenditure for Ireland and Slovakia and reflect as well the impact of the new country-specific indexation assumptions for France, Germany and Slovenia. </w:t>
      </w:r>
    </w:p>
    <w:p w14:paraId="5ABE755C" w14:textId="77777777" w:rsidR="00223A02" w:rsidRPr="00617176" w:rsidRDefault="00223A02" w:rsidP="00460C69">
      <w:r w:rsidRPr="00617176">
        <w:t>It should be noted that changes in disability rates seem to be the minor driver of changes in projected expenditure, reflecting their relative stability between reports.</w:t>
      </w:r>
    </w:p>
    <w:p w14:paraId="57A92E9A" w14:textId="77777777" w:rsidR="00223A02" w:rsidRPr="00617176" w:rsidRDefault="00223A02" w:rsidP="00460C69">
      <w:pPr>
        <w:pStyle w:val="NumberedHeading1"/>
        <w:tabs>
          <w:tab w:val="left" w:pos="567"/>
        </w:tabs>
      </w:pPr>
      <w:r w:rsidRPr="00617176">
        <w:br w:type="column"/>
      </w:r>
      <w:r w:rsidRPr="00617176">
        <w:lastRenderedPageBreak/>
        <w:br w:type="column"/>
      </w:r>
      <w:r w:rsidRPr="00617176">
        <w:lastRenderedPageBreak/>
        <w:fldChar w:fldCharType="begin"/>
      </w:r>
      <w:r w:rsidRPr="009F3ED8">
        <w:instrText xml:space="preserve"> TC "</w:instrText>
      </w:r>
      <w:bookmarkStart w:id="239" w:name="_Toc511664579"/>
      <w:r w:rsidRPr="009F3ED8">
        <w:instrText>II.3.17.</w:instrText>
      </w:r>
      <w:r w:rsidRPr="009F3ED8">
        <w:tab/>
        <w:instrText>Overview of results across scenarios – Change in spending as % of GDP 2016-2070</w:instrText>
      </w:r>
      <w:bookmarkEnd w:id="239"/>
      <w:r w:rsidRPr="009F3ED8">
        <w:instrText xml:space="preserve">" \ftable \l 5 </w:instrText>
      </w:r>
      <w:r w:rsidRPr="00617176">
        <w:fldChar w:fldCharType="end"/>
      </w:r>
      <w:bookmarkStart w:id="240" w:name="_Toc511664447"/>
      <w:r w:rsidRPr="00617176">
        <w:t>3.6.</w:t>
      </w:r>
      <w:r w:rsidRPr="00617176">
        <w:tab/>
        <w:t>Conclusions</w:t>
      </w:r>
      <w:bookmarkEnd w:id="240"/>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223A02" w:rsidRPr="00617176" w14:paraId="58599164" w14:textId="77777777" w:rsidTr="00460C69">
        <w:trPr>
          <w:cantSplit/>
          <w:trHeight w:val="20"/>
        </w:trPr>
        <w:tc>
          <w:tcPr>
            <w:tcW w:w="8505" w:type="dxa"/>
            <w:shd w:val="clear" w:color="auto" w:fill="auto"/>
          </w:tcPr>
          <w:p w14:paraId="106D9E2B" w14:textId="77777777" w:rsidR="00223A02" w:rsidRPr="00617176" w:rsidRDefault="00223A02" w:rsidP="00460C69">
            <w:pPr>
              <w:pStyle w:val="SlimCell"/>
              <w:keepNext/>
            </w:pPr>
          </w:p>
        </w:tc>
      </w:tr>
      <w:tr w:rsidR="00223A02" w:rsidRPr="00617176" w14:paraId="4395F752" w14:textId="77777777" w:rsidTr="00460C69">
        <w:trPr>
          <w:cantSplit/>
        </w:trPr>
        <w:tc>
          <w:tcPr>
            <w:tcW w:w="8505" w:type="dxa"/>
            <w:shd w:val="clear" w:color="auto" w:fill="auto"/>
          </w:tcPr>
          <w:p w14:paraId="7F2B84E3" w14:textId="77777777" w:rsidR="00223A02" w:rsidRPr="00617176" w:rsidRDefault="00223A02" w:rsidP="00460C69">
            <w:pPr>
              <w:pStyle w:val="TableTitle"/>
              <w:rPr>
                <w:b/>
              </w:rPr>
            </w:pPr>
            <w:r w:rsidRPr="00617176">
              <w:t>Table II.3.17:</w:t>
            </w:r>
            <w:r w:rsidRPr="00617176">
              <w:rPr>
                <w:b/>
              </w:rPr>
              <w:tab/>
              <w:t>Overview of results across scenarios – Change in spending as % of GDP 2016-2070</w:t>
            </w:r>
          </w:p>
        </w:tc>
      </w:tr>
      <w:tr w:rsidR="00223A02" w:rsidRPr="00617176" w14:paraId="3CCF77FA" w14:textId="77777777" w:rsidTr="00460C69">
        <w:trPr>
          <w:cantSplit/>
        </w:trPr>
        <w:tc>
          <w:tcPr>
            <w:tcW w:w="8505" w:type="dxa"/>
            <w:shd w:val="clear" w:color="auto" w:fill="auto"/>
          </w:tcPr>
          <w:p w14:paraId="6B3DCC32" w14:textId="77777777" w:rsidR="00223A02" w:rsidRPr="00617176" w:rsidRDefault="00223A02" w:rsidP="00460C69">
            <w:pPr>
              <w:pStyle w:val="TableShape"/>
              <w:rPr>
                <w:sz w:val="2"/>
              </w:rPr>
            </w:pPr>
            <w:r w:rsidRPr="00617176">
              <w:rPr>
                <w:noProof/>
                <w:sz w:val="2"/>
                <w:lang w:val="hr-HR" w:eastAsia="hr-HR"/>
              </w:rPr>
              <w:drawing>
                <wp:inline distT="0" distB="0" distL="0" distR="0" wp14:anchorId="3AA4AAA0" wp14:editId="5A328E2C">
                  <wp:extent cx="5400929" cy="3658078"/>
                  <wp:effectExtent l="0" t="0" r="0" b="0"/>
                  <wp:docPr id="1034" name="Picture 1034" descr="&lt;nbr&gt;&lt;GETTEXTFROMWORD&gt;&lt;/nbr&gt;&#10;&lt;title&gt;&lt;GETTEXTFROMWORD&gt;&lt;/title&gt;&#10;&lt;id&gt;fe9edd20-1601-44e4-ae12-4a4c483876a7&lt;/id&gt;&#10;&lt;srcType&gt;EXCEL&lt;/srcType&gt;&#10;&lt;srcPath&gt;U:\Budgetary projections 2018\Reports\2018 AR\Tables_and_graphs\Part II Chapter 3\&lt;/srcPath&gt;&#10;&lt;srcName&gt;Additional tables and charts - CHAP 3.xls&lt;/srcName&gt;&#10;&lt;type&gt;table&lt;/type&gt;&#10; &lt;srcSheet&gt;Table II.3.14 overview results&lt;/srcSheet&gt;&#10; &lt;srcRange&gt;R2C2:R35C14&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yes&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400929" cy="3658078"/>
                          </a:xfrm>
                          <a:prstGeom prst="rect">
                            <a:avLst/>
                          </a:prstGeom>
                          <a:noFill/>
                          <a:ln>
                            <a:noFill/>
                          </a:ln>
                        </pic:spPr>
                      </pic:pic>
                    </a:graphicData>
                  </a:graphic>
                </wp:inline>
              </w:drawing>
            </w:r>
          </w:p>
        </w:tc>
      </w:tr>
      <w:tr w:rsidR="00223A02" w:rsidRPr="00617176" w14:paraId="707AE283" w14:textId="77777777" w:rsidTr="00460C69">
        <w:trPr>
          <w:cantSplit/>
        </w:trPr>
        <w:tc>
          <w:tcPr>
            <w:tcW w:w="8505" w:type="dxa"/>
            <w:shd w:val="clear" w:color="auto" w:fill="auto"/>
          </w:tcPr>
          <w:p w14:paraId="7E3A752D" w14:textId="77777777" w:rsidR="00223A02" w:rsidRDefault="00223A02" w:rsidP="00460C69">
            <w:pPr>
              <w:pStyle w:val="TableFootnote"/>
            </w:pPr>
            <w:r>
              <w:t>Note: * This scenario was referred to in the 2015 Ageing Report as the "constant disability scenario".</w:t>
            </w:r>
          </w:p>
          <w:p w14:paraId="23AE4ADE" w14:textId="77777777" w:rsidR="00223A02" w:rsidRPr="00617176" w:rsidRDefault="00223A02" w:rsidP="00460C69">
            <w:pPr>
              <w:pStyle w:val="TableSource"/>
            </w:pPr>
            <w:r w:rsidRPr="00617176">
              <w:rPr>
                <w:b/>
                <w:i/>
              </w:rPr>
              <w:t>Source:</w:t>
            </w:r>
            <w:r w:rsidRPr="00617176">
              <w:t xml:space="preserve">  Commission services, EPC.</w:t>
            </w:r>
          </w:p>
        </w:tc>
      </w:tr>
      <w:tr w:rsidR="00223A02" w:rsidRPr="00617176" w14:paraId="7601C3E6" w14:textId="77777777" w:rsidTr="00460C69">
        <w:trPr>
          <w:cantSplit/>
          <w:trHeight w:val="20"/>
        </w:trPr>
        <w:tc>
          <w:tcPr>
            <w:tcW w:w="8505" w:type="dxa"/>
            <w:shd w:val="clear" w:color="auto" w:fill="auto"/>
          </w:tcPr>
          <w:p w14:paraId="3550C0D0" w14:textId="77777777" w:rsidR="00223A02" w:rsidRPr="00617176" w:rsidRDefault="00223A02" w:rsidP="00460C69">
            <w:pPr>
              <w:pStyle w:val="SlimCell"/>
            </w:pPr>
          </w:p>
        </w:tc>
      </w:tr>
    </w:tbl>
    <w:p w14:paraId="3CC554AD" w14:textId="77777777" w:rsidR="00223A02" w:rsidRPr="00617176" w:rsidRDefault="00223A02" w:rsidP="00460C69">
      <w:r w:rsidRPr="00617176">
        <w:t>LTC systems are likely to face increasing demand over the next half century. This is set to increase financing needs for formal LTC services that are to a high degree financed by public payers. The increase in LTC expenditure can therefore have a significant impact on the public finances.</w:t>
      </w:r>
    </w:p>
    <w:p w14:paraId="794E5014" w14:textId="77777777" w:rsidR="00223A02" w:rsidRPr="00617176" w:rsidRDefault="00223A02" w:rsidP="00460C69">
      <w:r w:rsidRPr="00617176">
        <w:t xml:space="preserve">This chapter has presented the expected effects of various demographic and non-demographic drivers on LTC expenditure over a range of plausible scenarios. The range of results is relatively wide (Graph </w:t>
      </w:r>
      <w:r w:rsidRPr="00617176">
        <w:fldChar w:fldCharType="begin"/>
      </w:r>
      <w:r w:rsidRPr="00617176">
        <w:instrText xml:space="preserve"> QUOTE "II.3.12"</w:instrText>
      </w:r>
      <w:r w:rsidRPr="00617176">
        <w:fldChar w:fldCharType="begin">
          <w:fldData xml:space="preserve">QwBSAE8AUwBTAFIARQBGAEUAUgBFAE4AQwBFACoARwBSAEEAUABIACoAMgBhADIAZQBjADUAMQA0
AC0AMwBjAGYAZQAtADQANQBmAGYALQBhADcAZQA1AC0AMAAyADEAYwA4ADAAMQA0ADcAYgA1AGUA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II.3.12</w:t>
      </w:r>
      <w:r w:rsidRPr="00617176">
        <w:fldChar w:fldCharType="end"/>
      </w:r>
      <w:r w:rsidRPr="00617176">
        <w:t xml:space="preserve"> and Table </w:t>
      </w:r>
      <w:r w:rsidRPr="00617176">
        <w:fldChar w:fldCharType="begin"/>
      </w:r>
      <w:r w:rsidRPr="00617176">
        <w:instrText xml:space="preserve"> QUOTE "II.3.17"</w:instrText>
      </w:r>
      <w:r w:rsidRPr="00617176">
        <w:fldChar w:fldCharType="begin">
          <w:fldData xml:space="preserve">QwBSAE8AUwBTAFIARQBGAEUAUgBFAE4AQwBFACoAVABBAEIATABFACoAZgBlADkAZQBkAGQAMgAw
AC0AMQA2ADAAMQAtADQANABlADQALQBhAGUAMQAyAC0ANABhADQAYwA0ADgAMwA4ADcANgBhADcA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II.3.17</w:t>
      </w:r>
      <w:r w:rsidRPr="00617176">
        <w:fldChar w:fldCharType="end"/>
      </w:r>
      <w:r w:rsidRPr="00617176">
        <w:t xml:space="preserve">), and the risks vary to a great extent for each country and scenario, reflecting the implicit uncertainty surrounding the evolution of key variables in this kind of long-term projections. </w:t>
      </w:r>
    </w:p>
    <w:p w14:paraId="4C630A4C" w14:textId="77777777" w:rsidR="00223A02" w:rsidRPr="00617176" w:rsidRDefault="00223A02" w:rsidP="00460C69">
      <w:r w:rsidRPr="00617176">
        <w:t xml:space="preserve">The </w:t>
      </w:r>
      <w:r w:rsidRPr="00617176">
        <w:rPr>
          <w:i/>
        </w:rPr>
        <w:t>AWG reference scenario</w:t>
      </w:r>
      <w:r w:rsidRPr="00617176">
        <w:t xml:space="preserve"> assumes that one half of future gains in life-expectancy will be spent in good health and the other half in disability. According to this baseline scenario, public LTC expenditure in the EU is projected to increase from 1.6% of GDP to 2.7% of GDP, i.e. an increase of 73% until 2070 (</w:t>
      </w:r>
      <w:r w:rsidRPr="00617176">
        <w:rPr>
          <w:rStyle w:val="Referencafusnote"/>
        </w:rPr>
        <w:footnoteReference w:id="120"/>
      </w:r>
      <w:r w:rsidRPr="00617176">
        <w:t xml:space="preserve">). </w:t>
      </w:r>
    </w:p>
    <w:p w14:paraId="0E8EE958" w14:textId="77777777" w:rsidR="00223A02" w:rsidRPr="00617176" w:rsidRDefault="00223A02" w:rsidP="00460C69">
      <w:r w:rsidRPr="00617176">
        <w:t xml:space="preserve">If to these basic assumptions we add the additional assumption, that until 2070 EU countries will have equal coverage rates of LTC dependents and equal costs per dependent, reflecting an underlying convergence process of EU economies, expenditure is expected to increase up to 4.3% (by 170%) of GDP in the EU (Graph </w:t>
      </w:r>
      <w:r w:rsidRPr="00617176">
        <w:fldChar w:fldCharType="begin"/>
      </w:r>
      <w:r w:rsidRPr="00617176">
        <w:instrText xml:space="preserve"> QUOTE "II.3.13"</w:instrText>
      </w:r>
      <w:r w:rsidRPr="00617176">
        <w:fldChar w:fldCharType="begin">
          <w:fldData xml:space="preserve">QwBSAE8AUwBTAFIARQBGAEUAUgBFAE4AQwBFACoARwBSAEEAUABIACoANgA4AGMAMQAzADYAYwAx
AC0AZgAzAGEAOQAtADQAMQA0AGQALQBiADkAMQA2AC0AMwBkADUAMQBjADEANAAyADMAZQBjAGYA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II.3.13</w:t>
      </w:r>
      <w:r w:rsidRPr="00617176">
        <w:fldChar w:fldCharType="end"/>
      </w:r>
      <w:r w:rsidRPr="00617176">
        <w:t>).</w:t>
      </w:r>
    </w:p>
    <w:p w14:paraId="1B9A7F61" w14:textId="77777777" w:rsidR="00223A02" w:rsidRPr="00617176" w:rsidRDefault="00223A02" w:rsidP="00460C69">
      <w:r w:rsidRPr="00617176">
        <w:t xml:space="preserve">The </w:t>
      </w:r>
      <w:r w:rsidRPr="00617176">
        <w:rPr>
          <w:i/>
        </w:rPr>
        <w:t>AWG reference scenario</w:t>
      </w:r>
      <w:r w:rsidRPr="00617176">
        <w:t xml:space="preserve"> also reflects a plausible combination of developments in ageing and health status. In common with the base case scenario, it also reflects the fact that supply side bottlenecks may increase fiscal pressure, if labour </w:t>
      </w:r>
      <w:r w:rsidRPr="00617176">
        <w:lastRenderedPageBreak/>
        <w:t>costs of LTC personnel increase due to insufficient availability of health personnel.</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00ABCB9E" w14:textId="77777777" w:rsidTr="00460C69">
        <w:trPr>
          <w:cantSplit/>
        </w:trPr>
        <w:tc>
          <w:tcPr>
            <w:tcW w:w="4110" w:type="dxa"/>
            <w:shd w:val="clear" w:color="auto" w:fill="auto"/>
          </w:tcPr>
          <w:p w14:paraId="11157EBD" w14:textId="77777777" w:rsidR="00223A02" w:rsidRPr="00617176" w:rsidRDefault="00223A02" w:rsidP="00460C69">
            <w:pPr>
              <w:pStyle w:val="GraphTitle"/>
              <w:rPr>
                <w:b/>
              </w:rPr>
            </w:pPr>
            <w:r w:rsidRPr="00617176">
              <w:t>Graph II.3.12:</w:t>
            </w:r>
            <w:r w:rsidRPr="00617176">
              <w:rPr>
                <w:b/>
              </w:rPr>
              <w:tab/>
              <w:t>Projected expenditure in different LTC scenarios for the EU in % of GDP</w:t>
            </w:r>
          </w:p>
        </w:tc>
      </w:tr>
      <w:tr w:rsidR="00223A02" w:rsidRPr="00617176" w14:paraId="2B9DC61F" w14:textId="77777777" w:rsidTr="00460C69">
        <w:trPr>
          <w:cantSplit/>
        </w:trPr>
        <w:tc>
          <w:tcPr>
            <w:tcW w:w="4110" w:type="dxa"/>
            <w:shd w:val="clear" w:color="auto" w:fill="auto"/>
          </w:tcPr>
          <w:p w14:paraId="59AF0D4A" w14:textId="77777777" w:rsidR="00223A02" w:rsidRPr="00617176" w:rsidRDefault="00223A02" w:rsidP="00460C69">
            <w:pPr>
              <w:pStyle w:val="GraphShape"/>
              <w:rPr>
                <w:sz w:val="2"/>
              </w:rPr>
            </w:pPr>
            <w:r w:rsidRPr="00617176">
              <w:fldChar w:fldCharType="begin"/>
            </w:r>
            <w:r w:rsidRPr="009F3ED8">
              <w:instrText xml:space="preserve"> TC "</w:instrText>
            </w:r>
            <w:bookmarkStart w:id="241" w:name="_Toc511664699"/>
            <w:r w:rsidRPr="009F3ED8">
              <w:instrText>II.3.12.</w:instrText>
            </w:r>
            <w:r w:rsidRPr="009F3ED8">
              <w:tab/>
              <w:instrText>Projected expenditure in different LTC scenarios for the EU in % of GDP</w:instrText>
            </w:r>
            <w:bookmarkEnd w:id="241"/>
            <w:r w:rsidRPr="009F3ED8">
              <w:instrText xml:space="preserve">" \fgraph \l 5 </w:instrText>
            </w:r>
            <w:r w:rsidRPr="00617176">
              <w:fldChar w:fldCharType="end"/>
            </w:r>
            <w:r w:rsidRPr="00617176">
              <w:rPr>
                <w:noProof/>
                <w:sz w:val="2"/>
                <w:lang w:val="hr-HR" w:eastAsia="hr-HR"/>
              </w:rPr>
              <w:drawing>
                <wp:inline distT="0" distB="0" distL="0" distR="0" wp14:anchorId="608503DA" wp14:editId="69F1A22D">
                  <wp:extent cx="2597595" cy="2186383"/>
                  <wp:effectExtent l="0" t="0" r="0" b="4445"/>
                  <wp:docPr id="1035" name="Picture 1035" descr="&lt;nbr&gt;&lt;GETTEXTFROMWORD&gt;&lt;/nbr&gt;&#10;&lt;title&gt;&lt;GETTEXTFROMWORD&gt;&lt;/title&gt;&#10;&lt;id&gt;2a2ec514-3cfe-45ff-a7e5-021c80147b5e&lt;/id&gt;&#10;&lt;srcType&gt;EXCEL&lt;/srcType&gt;&#10;&lt;srcPath&gt;U:\Budgetary projections 2018\Reports\2018 AR\Tables_and_graphs\Part II Chapter 3\&lt;/srcPath&gt;&#10;&lt;srcName&gt;Additional tables and charts - CHAP 3.xls&lt;/srcName&gt;&#10;&lt;type&gt;graph&lt;/type&gt;&#10; &lt;srcSheet&gt;Graph II.3.11 overview&lt;/srcSheet&gt;&#10; &lt;srcChartTitle&gt;Chart 2&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597595" cy="2186383"/>
                          </a:xfrm>
                          <a:prstGeom prst="rect">
                            <a:avLst/>
                          </a:prstGeom>
                          <a:noFill/>
                          <a:ln>
                            <a:noFill/>
                          </a:ln>
                        </pic:spPr>
                      </pic:pic>
                    </a:graphicData>
                  </a:graphic>
                </wp:inline>
              </w:drawing>
            </w:r>
          </w:p>
        </w:tc>
      </w:tr>
      <w:tr w:rsidR="00223A02" w:rsidRPr="00617176" w14:paraId="7CE9F4E6" w14:textId="77777777" w:rsidTr="00460C69">
        <w:trPr>
          <w:cantSplit/>
        </w:trPr>
        <w:tc>
          <w:tcPr>
            <w:tcW w:w="4110" w:type="dxa"/>
            <w:shd w:val="clear" w:color="auto" w:fill="auto"/>
            <w:tcMar>
              <w:bottom w:w="240" w:type="dxa"/>
            </w:tcMar>
          </w:tcPr>
          <w:p w14:paraId="5EC66A54" w14:textId="77777777" w:rsidR="00223A02" w:rsidRPr="00617176" w:rsidRDefault="00223A02" w:rsidP="00460C69">
            <w:pPr>
              <w:pStyle w:val="GraphSource"/>
              <w:keepNext/>
            </w:pPr>
            <w:r w:rsidRPr="00617176">
              <w:rPr>
                <w:b/>
                <w:i/>
              </w:rPr>
              <w:t>Source:</w:t>
            </w:r>
            <w:r w:rsidRPr="00617176">
              <w:t xml:space="preserve"> Commission services, EPC.</w:t>
            </w:r>
          </w:p>
        </w:tc>
      </w:tr>
    </w:tbl>
    <w:p w14:paraId="36651A56" w14:textId="77777777" w:rsidR="00223A02" w:rsidRPr="00617176" w:rsidRDefault="00223A02" w:rsidP="00460C69">
      <w:r w:rsidRPr="00617176">
        <w:t xml:space="preserve">However, the </w:t>
      </w:r>
      <w:r w:rsidRPr="00617176">
        <w:rPr>
          <w:i/>
        </w:rPr>
        <w:t>AWG reference scenario</w:t>
      </w:r>
      <w:r w:rsidRPr="00617176">
        <w:t xml:space="preserve"> may underestimate expenditure if, due to higher life expectancy (high life expectancy scenario) people remain longer in disability or if the assumed improvements in health status do not materialize (</w:t>
      </w:r>
      <w:r w:rsidRPr="00617176">
        <w:rPr>
          <w:i/>
        </w:rPr>
        <w:t>base case scenario</w:t>
      </w:r>
      <w:r w:rsidRPr="00617176">
        <w:t xml:space="preserve">) (Graph </w:t>
      </w:r>
      <w:r w:rsidRPr="00617176">
        <w:fldChar w:fldCharType="begin"/>
      </w:r>
      <w:r w:rsidRPr="00617176">
        <w:instrText xml:space="preserve"> QUOTE "II.3.14"</w:instrText>
      </w:r>
      <w:r w:rsidRPr="00617176">
        <w:fldChar w:fldCharType="begin">
          <w:fldData xml:space="preserve">QwBSAE8AUwBTAFIARQBGAEUAUgBFAE4AQwBFACoARwBSAEEAUABIACoAOAA1ADEANgA3ADMANgBm
AC0ANQAyAGQAMQAtADQANAA4ADcALQBhADgAMgA1AC0AZgA2ADUAYgBlADgANwA4ADYAMgA0ADQA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II.3.14</w:t>
      </w:r>
      <w:r w:rsidRPr="00617176">
        <w:fldChar w:fldCharType="end"/>
      </w:r>
      <w:r w:rsidRPr="00617176">
        <w:t>). The underestimation would be slightly smaller is the unit cost was updated with the GDP per capita (</w:t>
      </w:r>
      <w:r w:rsidRPr="00617176">
        <w:rPr>
          <w:i/>
        </w:rPr>
        <w:t>demographic scenario</w:t>
      </w:r>
      <w:r w:rsidRPr="00617176">
        <w:t>).</w:t>
      </w:r>
    </w:p>
    <w:p w14:paraId="5FB0159B" w14:textId="77777777" w:rsidR="00223A02" w:rsidRPr="00617176" w:rsidRDefault="00223A02" w:rsidP="00460C69">
      <w:r w:rsidRPr="00617176">
        <w:t>On the other hand, if health status improvements match fully increases in life expectancy projected expenditure turns out to be less pronounced (</w:t>
      </w:r>
      <w:r w:rsidRPr="00617176">
        <w:rPr>
          <w:i/>
        </w:rPr>
        <w:t>healthy ageing scenario</w:t>
      </w:r>
      <w:r w:rsidRPr="00617176">
        <w:t xml:space="preserve">). </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1E12628A" w14:textId="77777777" w:rsidTr="00460C69">
        <w:trPr>
          <w:cantSplit/>
        </w:trPr>
        <w:tc>
          <w:tcPr>
            <w:tcW w:w="4110" w:type="dxa"/>
            <w:shd w:val="clear" w:color="auto" w:fill="auto"/>
          </w:tcPr>
          <w:p w14:paraId="0139B647" w14:textId="77777777" w:rsidR="00223A02" w:rsidRPr="00617176" w:rsidRDefault="00223A02" w:rsidP="00460C69">
            <w:pPr>
              <w:pStyle w:val="GraphTitle"/>
              <w:rPr>
                <w:b/>
              </w:rPr>
            </w:pPr>
            <w:r w:rsidRPr="00617176">
              <w:t>Graph II.3.13:</w:t>
            </w:r>
            <w:r w:rsidRPr="00617176">
              <w:rPr>
                <w:b/>
              </w:rPr>
              <w:tab/>
              <w:t>Projected expenditure in LTC AWG reference and risk scenarios, for the EU in % of GDP</w:t>
            </w:r>
          </w:p>
        </w:tc>
      </w:tr>
      <w:tr w:rsidR="00223A02" w:rsidRPr="00617176" w14:paraId="399E33E3" w14:textId="77777777" w:rsidTr="00460C69">
        <w:trPr>
          <w:cantSplit/>
        </w:trPr>
        <w:tc>
          <w:tcPr>
            <w:tcW w:w="4110" w:type="dxa"/>
            <w:shd w:val="clear" w:color="auto" w:fill="auto"/>
          </w:tcPr>
          <w:p w14:paraId="425B0A12" w14:textId="77777777" w:rsidR="00223A02" w:rsidRPr="00617176" w:rsidRDefault="00223A02" w:rsidP="00460C69">
            <w:pPr>
              <w:pStyle w:val="GraphShape"/>
              <w:rPr>
                <w:sz w:val="2"/>
              </w:rPr>
            </w:pPr>
            <w:r w:rsidRPr="00617176">
              <w:fldChar w:fldCharType="begin"/>
            </w:r>
            <w:r w:rsidRPr="009F3ED8">
              <w:instrText xml:space="preserve"> TC "</w:instrText>
            </w:r>
            <w:bookmarkStart w:id="242" w:name="_Toc511664700"/>
            <w:r w:rsidRPr="009F3ED8">
              <w:instrText>II.3.13.</w:instrText>
            </w:r>
            <w:r w:rsidRPr="009F3ED8">
              <w:tab/>
              <w:instrText>Projected expenditure in LTC AWG reference and risk scenarios, for the EU in % of GDP</w:instrText>
            </w:r>
            <w:bookmarkEnd w:id="242"/>
            <w:r w:rsidRPr="009F3ED8">
              <w:instrText xml:space="preserve">" \fgraph \l 5 </w:instrText>
            </w:r>
            <w:r w:rsidRPr="00617176">
              <w:fldChar w:fldCharType="end"/>
            </w:r>
            <w:r w:rsidRPr="00617176">
              <w:rPr>
                <w:noProof/>
                <w:sz w:val="2"/>
                <w:lang w:val="hr-HR" w:eastAsia="hr-HR"/>
              </w:rPr>
              <w:drawing>
                <wp:inline distT="0" distB="0" distL="0" distR="0" wp14:anchorId="75E78C55" wp14:editId="4EFF9FF9">
                  <wp:extent cx="2597595" cy="1722030"/>
                  <wp:effectExtent l="0" t="0" r="0" b="0"/>
                  <wp:docPr id="1036" name="Picture 1036" descr="&lt;nbr&gt;&lt;GETTEXTFROMWORD&gt;&lt;/nbr&gt;&#10;&lt;title&gt;&lt;GETTEXTFROMWORD&gt;&lt;/title&gt;&#10;&lt;id&gt;68c136c1-f3a9-414d-b916-3d51c1423ecf&lt;/id&gt;&#10;&lt;srcType&gt;EXCEL&lt;/srcType&gt;&#10;&lt;srcPath&gt;U:\Budgetary projections 2018\Reports\2018 AR\Tables_and_graphs\Part II Chapter 3\&lt;/srcPath&gt;&#10;&lt;srcName&gt;Additional tables and charts - CHAP 3.xls&lt;/srcName&gt;&#10;&lt;type&gt;graph&lt;/type&gt;&#10; &lt;srcSheet&gt;Graph II.3.12 overview AWG ref&lt;/srcSheet&gt;&#10; &lt;srcChartTitle&gt;Chart 2&lt;/srcChartTitl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597595" cy="1722030"/>
                          </a:xfrm>
                          <a:prstGeom prst="rect">
                            <a:avLst/>
                          </a:prstGeom>
                          <a:noFill/>
                          <a:ln>
                            <a:noFill/>
                          </a:ln>
                        </pic:spPr>
                      </pic:pic>
                    </a:graphicData>
                  </a:graphic>
                </wp:inline>
              </w:drawing>
            </w:r>
          </w:p>
        </w:tc>
      </w:tr>
      <w:tr w:rsidR="00223A02" w:rsidRPr="00617176" w14:paraId="39FF2758" w14:textId="77777777" w:rsidTr="00460C69">
        <w:trPr>
          <w:cantSplit/>
        </w:trPr>
        <w:tc>
          <w:tcPr>
            <w:tcW w:w="4110" w:type="dxa"/>
            <w:shd w:val="clear" w:color="auto" w:fill="auto"/>
            <w:tcMar>
              <w:bottom w:w="240" w:type="dxa"/>
            </w:tcMar>
          </w:tcPr>
          <w:p w14:paraId="05395772" w14:textId="77777777" w:rsidR="00223A02" w:rsidRDefault="00223A02" w:rsidP="00460C69">
            <w:pPr>
              <w:pStyle w:val="GraphFootnote"/>
              <w:keepNext/>
            </w:pPr>
            <w:r>
              <w:t>Commission services, EPC.</w:t>
            </w:r>
          </w:p>
          <w:p w14:paraId="03DC6AF0" w14:textId="77777777" w:rsidR="00223A02" w:rsidRPr="00617176" w:rsidRDefault="00223A02" w:rsidP="00460C69">
            <w:pPr>
              <w:pStyle w:val="GraphSource"/>
              <w:keepNext/>
            </w:pPr>
            <w:r w:rsidRPr="00617176">
              <w:rPr>
                <w:b/>
                <w:i/>
              </w:rPr>
              <w:t>Source:</w:t>
            </w:r>
            <w:r w:rsidRPr="00617176">
              <w:t xml:space="preserve"> </w:t>
            </w:r>
          </w:p>
        </w:tc>
      </w:tr>
    </w:tbl>
    <w:p w14:paraId="0C95309E" w14:textId="77777777" w:rsidR="00223A02" w:rsidRPr="00617176" w:rsidRDefault="00223A02" w:rsidP="00460C69">
      <w:pPr>
        <w:pStyle w:val="MultipageDelimiter"/>
      </w:pP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3101AC86" w14:textId="77777777" w:rsidTr="00460C69">
        <w:trPr>
          <w:cantSplit/>
        </w:trPr>
        <w:tc>
          <w:tcPr>
            <w:tcW w:w="4110" w:type="dxa"/>
            <w:shd w:val="clear" w:color="auto" w:fill="auto"/>
          </w:tcPr>
          <w:p w14:paraId="5276C21D" w14:textId="77777777" w:rsidR="00223A02" w:rsidRPr="00617176" w:rsidRDefault="00223A02" w:rsidP="00460C69">
            <w:pPr>
              <w:pStyle w:val="GraphTitle"/>
              <w:rPr>
                <w:b/>
              </w:rPr>
            </w:pPr>
            <w:r w:rsidRPr="00617176">
              <w:lastRenderedPageBreak/>
              <w:t>Graph II.3.14:</w:t>
            </w:r>
            <w:r w:rsidRPr="00617176">
              <w:rPr>
                <w:b/>
              </w:rPr>
              <w:tab/>
              <w:t>Range of results for scenarios with mainly demographic sensitivity analysis (no policy change scenarios), EU in % of GDP</w:t>
            </w:r>
          </w:p>
        </w:tc>
      </w:tr>
      <w:tr w:rsidR="00223A02" w:rsidRPr="00617176" w14:paraId="64949807" w14:textId="77777777" w:rsidTr="00460C69">
        <w:trPr>
          <w:cantSplit/>
        </w:trPr>
        <w:tc>
          <w:tcPr>
            <w:tcW w:w="4110" w:type="dxa"/>
            <w:shd w:val="clear" w:color="auto" w:fill="auto"/>
          </w:tcPr>
          <w:p w14:paraId="2844704A" w14:textId="77777777" w:rsidR="00223A02" w:rsidRPr="00617176" w:rsidRDefault="00223A02" w:rsidP="00460C69">
            <w:pPr>
              <w:pStyle w:val="GraphShape"/>
              <w:rPr>
                <w:sz w:val="2"/>
              </w:rPr>
            </w:pPr>
            <w:r w:rsidRPr="00617176">
              <w:fldChar w:fldCharType="begin"/>
            </w:r>
            <w:r w:rsidRPr="009F3ED8">
              <w:instrText xml:space="preserve"> TC "</w:instrText>
            </w:r>
            <w:bookmarkStart w:id="243" w:name="_Toc511664701"/>
            <w:r w:rsidRPr="009F3ED8">
              <w:instrText>II.3.14.</w:instrText>
            </w:r>
            <w:r w:rsidRPr="009F3ED8">
              <w:tab/>
              <w:instrText>Range of results for scenarios with mainly demographic sensitivity analysis (no policy change scenarios), EU in % of GDP</w:instrText>
            </w:r>
            <w:bookmarkEnd w:id="243"/>
            <w:r w:rsidRPr="009F3ED8">
              <w:instrText xml:space="preserve">" \fgraph \l 5 </w:instrText>
            </w:r>
            <w:r w:rsidRPr="00617176">
              <w:fldChar w:fldCharType="end"/>
            </w:r>
            <w:r w:rsidRPr="00617176">
              <w:rPr>
                <w:noProof/>
                <w:sz w:val="2"/>
                <w:lang w:val="hr-HR" w:eastAsia="hr-HR"/>
              </w:rPr>
              <w:drawing>
                <wp:inline distT="0" distB="0" distL="0" distR="0" wp14:anchorId="3FA9007A" wp14:editId="51842D2C">
                  <wp:extent cx="2597595" cy="2004184"/>
                  <wp:effectExtent l="0" t="0" r="0" b="0"/>
                  <wp:docPr id="1037" name="Picture 1037" descr="&lt;nbr&gt;&lt;GETTEXTFROMWORD&gt;&lt;/nbr&gt;&#10;&lt;title&gt;&lt;GETTEXTFROMWORD&gt;&lt;/title&gt;&#10;&lt;id&gt;8516736f-52d1-4487-a825-f65be8786244&lt;/id&gt;&#10;&lt;srcType&gt;EXCEL&lt;/srcType&gt;&#10;&lt;srcPath&gt;U:\Budgetary projections 2018\Reports\2018 AR\Tables_and_graphs\Part II Chapter 3\&lt;/srcPath&gt;&#10;&lt;srcName&gt;Additional tables and charts - CHAP 3.xls&lt;/srcName&gt;&#10;&lt;type&gt;graph&lt;/type&gt;&#10; &lt;srcSheet&gt;Graph II.3.13 demos_scena&lt;/srcSheet&gt;&#10; &lt;srcChartTitle&gt;Chart 3&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597595" cy="2004184"/>
                          </a:xfrm>
                          <a:prstGeom prst="rect">
                            <a:avLst/>
                          </a:prstGeom>
                          <a:noFill/>
                          <a:ln>
                            <a:noFill/>
                          </a:ln>
                        </pic:spPr>
                      </pic:pic>
                    </a:graphicData>
                  </a:graphic>
                </wp:inline>
              </w:drawing>
            </w:r>
          </w:p>
        </w:tc>
      </w:tr>
      <w:tr w:rsidR="00223A02" w:rsidRPr="00617176" w14:paraId="184E57D0" w14:textId="77777777" w:rsidTr="00460C69">
        <w:trPr>
          <w:cantSplit/>
        </w:trPr>
        <w:tc>
          <w:tcPr>
            <w:tcW w:w="4110" w:type="dxa"/>
            <w:shd w:val="clear" w:color="auto" w:fill="auto"/>
            <w:tcMar>
              <w:bottom w:w="240" w:type="dxa"/>
            </w:tcMar>
          </w:tcPr>
          <w:p w14:paraId="339939E2" w14:textId="77777777" w:rsidR="00223A02" w:rsidRPr="00617176" w:rsidRDefault="00223A02" w:rsidP="00460C69">
            <w:pPr>
              <w:pStyle w:val="GraphSource"/>
              <w:keepNext/>
            </w:pPr>
            <w:r w:rsidRPr="00617176">
              <w:rPr>
                <w:b/>
                <w:i/>
              </w:rPr>
              <w:t>Source:</w:t>
            </w:r>
            <w:r w:rsidRPr="00617176">
              <w:t xml:space="preserve"> Commission services, EPC.</w:t>
            </w:r>
          </w:p>
        </w:tc>
      </w:tr>
    </w:tbl>
    <w:p w14:paraId="108B8FB2" w14:textId="77777777" w:rsidR="00223A02" w:rsidRPr="00617176" w:rsidRDefault="00223A02" w:rsidP="00460C69">
      <w:r w:rsidRPr="00617176">
        <w:t xml:space="preserve">Cost implications for the EU may be substantial (Graph </w:t>
      </w:r>
      <w:r w:rsidRPr="00617176">
        <w:fldChar w:fldCharType="begin"/>
      </w:r>
      <w:r w:rsidRPr="00617176">
        <w:instrText xml:space="preserve"> QUOTE "II.3.15"</w:instrText>
      </w:r>
      <w:r w:rsidRPr="00617176">
        <w:fldChar w:fldCharType="begin">
          <w:fldData xml:space="preserve">QwBSAE8AUwBTAFIARQBGAEUAUgBFAE4AQwBFACoARwBSAEEAUABIACoANQBiADMAYwBkAGEAYQAz
AC0AZABiADEAMQAtADQANQBmADIALQBiADMANwA1AC0AYwBiADcAYgA4AGQANwBjADUAOABhADYA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II.3.15</w:t>
      </w:r>
      <w:r w:rsidRPr="00617176">
        <w:fldChar w:fldCharType="end"/>
      </w:r>
      <w:r w:rsidRPr="00617176">
        <w:t>). The shift of informal to formal care (</w:t>
      </w:r>
      <w:r w:rsidRPr="00617176">
        <w:rPr>
          <w:i/>
        </w:rPr>
        <w:t>shift to formal care scenario</w:t>
      </w:r>
      <w:r w:rsidRPr="00617176">
        <w:t>) and a convergence process in terms of coverage and costs of LTC for those countries, which are below EU average levels of care in this respect, imply a substantial additional fiscal risk (</w:t>
      </w:r>
      <w:r w:rsidRPr="00617176">
        <w:rPr>
          <w:i/>
        </w:rPr>
        <w:t>cost and convergence related scenarios</w:t>
      </w:r>
      <w:r w:rsidRPr="00617176">
        <w:t xml:space="preserve">). </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617176" w14:paraId="09644B21" w14:textId="77777777" w:rsidTr="00460C69">
        <w:trPr>
          <w:cantSplit/>
        </w:trPr>
        <w:tc>
          <w:tcPr>
            <w:tcW w:w="4110" w:type="dxa"/>
            <w:shd w:val="clear" w:color="auto" w:fill="auto"/>
          </w:tcPr>
          <w:p w14:paraId="55145DEE" w14:textId="77777777" w:rsidR="00223A02" w:rsidRPr="00617176" w:rsidRDefault="00223A02" w:rsidP="00460C69">
            <w:pPr>
              <w:pStyle w:val="GraphTitle"/>
              <w:rPr>
                <w:b/>
              </w:rPr>
            </w:pPr>
            <w:r w:rsidRPr="00617176">
              <w:t>Graph II.3.15:</w:t>
            </w:r>
            <w:r w:rsidRPr="00617176">
              <w:rPr>
                <w:b/>
              </w:rPr>
              <w:tab/>
              <w:t>Range of results for scenarios with mainly cost and coverage sensitivity analysis (policy change scenarios), EU in % of GDP</w:t>
            </w:r>
          </w:p>
        </w:tc>
      </w:tr>
      <w:tr w:rsidR="00223A02" w:rsidRPr="00617176" w14:paraId="72201880" w14:textId="77777777" w:rsidTr="00460C69">
        <w:trPr>
          <w:cantSplit/>
        </w:trPr>
        <w:tc>
          <w:tcPr>
            <w:tcW w:w="4110" w:type="dxa"/>
            <w:shd w:val="clear" w:color="auto" w:fill="auto"/>
          </w:tcPr>
          <w:p w14:paraId="67A2F865" w14:textId="77777777" w:rsidR="00223A02" w:rsidRPr="00617176" w:rsidRDefault="00223A02" w:rsidP="00460C69">
            <w:pPr>
              <w:pStyle w:val="GraphShape"/>
              <w:rPr>
                <w:sz w:val="2"/>
              </w:rPr>
            </w:pPr>
            <w:r w:rsidRPr="00617176">
              <w:fldChar w:fldCharType="begin"/>
            </w:r>
            <w:r w:rsidRPr="009F3ED8">
              <w:instrText xml:space="preserve"> TC "</w:instrText>
            </w:r>
            <w:bookmarkStart w:id="244" w:name="_Toc511664702"/>
            <w:r w:rsidRPr="009F3ED8">
              <w:instrText>II.3.15.</w:instrText>
            </w:r>
            <w:r w:rsidRPr="009F3ED8">
              <w:tab/>
              <w:instrText>Range of results for scenarios with mainly cost and coverage sensitivity analysis (policy change scenarios), EU in % of GDP</w:instrText>
            </w:r>
            <w:bookmarkEnd w:id="244"/>
            <w:r w:rsidRPr="009F3ED8">
              <w:instrText xml:space="preserve">" \fgraph \l 5 </w:instrText>
            </w:r>
            <w:r w:rsidRPr="00617176">
              <w:fldChar w:fldCharType="end"/>
            </w:r>
            <w:r w:rsidRPr="00617176">
              <w:rPr>
                <w:noProof/>
                <w:sz w:val="2"/>
                <w:lang w:val="hr-HR" w:eastAsia="hr-HR"/>
              </w:rPr>
              <w:drawing>
                <wp:inline distT="0" distB="0" distL="0" distR="0" wp14:anchorId="56C5DD8E" wp14:editId="7FD171FD">
                  <wp:extent cx="2597595" cy="2362888"/>
                  <wp:effectExtent l="0" t="0" r="0" b="0"/>
                  <wp:docPr id="1038" name="Picture 1038" descr="&lt;nbr&gt;&lt;GETTEXTFROMWORD&gt;&lt;/nbr&gt;&#10;&lt;title&gt;&lt;GETTEXTFROMWORD&gt;&lt;/title&gt;&#10;&lt;id&gt;5b3cdaa3-db11-45f2-b375-cb7b8d7c58a6&lt;/id&gt;&#10;&lt;srcType&gt;EXCEL&lt;/srcType&gt;&#10;&lt;srcPath&gt;U:\Budgetary projections 2018\Reports\2018 AR\Tables_and_graphs\Part II Chapter 3\&lt;/srcPath&gt;&#10;&lt;srcName&gt;Additional tables and charts - CHAP 3.xls&lt;/srcName&gt;&#10;&lt;type&gt;graph&lt;/type&gt;&#10; &lt;srcSheet&gt;Graph II.3.14 inc&lt;/srcSheet&gt;&#10; &lt;srcChartTitle&gt;Chart 3&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16T17:04:1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597595" cy="2362888"/>
                          </a:xfrm>
                          <a:prstGeom prst="rect">
                            <a:avLst/>
                          </a:prstGeom>
                          <a:noFill/>
                          <a:ln>
                            <a:noFill/>
                          </a:ln>
                        </pic:spPr>
                      </pic:pic>
                    </a:graphicData>
                  </a:graphic>
                </wp:inline>
              </w:drawing>
            </w:r>
          </w:p>
        </w:tc>
      </w:tr>
      <w:tr w:rsidR="00223A02" w:rsidRPr="00617176" w14:paraId="6E38FFEF" w14:textId="77777777" w:rsidTr="00460C69">
        <w:trPr>
          <w:cantSplit/>
        </w:trPr>
        <w:tc>
          <w:tcPr>
            <w:tcW w:w="4110" w:type="dxa"/>
            <w:shd w:val="clear" w:color="auto" w:fill="auto"/>
            <w:tcMar>
              <w:bottom w:w="240" w:type="dxa"/>
            </w:tcMar>
          </w:tcPr>
          <w:p w14:paraId="5458D039" w14:textId="77777777" w:rsidR="00223A02" w:rsidRPr="00617176" w:rsidRDefault="00223A02" w:rsidP="00460C69">
            <w:pPr>
              <w:pStyle w:val="GraphSource"/>
              <w:keepNext/>
            </w:pPr>
            <w:r w:rsidRPr="00617176">
              <w:rPr>
                <w:b/>
                <w:i/>
              </w:rPr>
              <w:t>Source:</w:t>
            </w:r>
            <w:r w:rsidRPr="00617176">
              <w:t xml:space="preserve"> Commission services, EPC.</w:t>
            </w:r>
          </w:p>
        </w:tc>
      </w:tr>
    </w:tbl>
    <w:p w14:paraId="1BBF5CE0" w14:textId="77777777" w:rsidR="00223A02" w:rsidRPr="00617176" w:rsidRDefault="00223A02" w:rsidP="00460C69">
      <w:r w:rsidRPr="00617176">
        <w:t xml:space="preserve">In comparison to the Ageing Report 2012 and Ageing Rerpot 2015 projections, which ran until 2060, the LTC public expenditure projections presented here extend the projection horizon up to 2070. This is relevant, since the EUROSTAT </w:t>
      </w:r>
      <w:r w:rsidRPr="00617176">
        <w:lastRenderedPageBreak/>
        <w:t xml:space="preserve">population projections show an easing of ageing from 2050 onwards. The previous chapters describe the impact of this on pension and health care projections. However, as can be seen on Graphs II.3.12 and </w:t>
      </w:r>
      <w:r w:rsidRPr="00617176">
        <w:fldChar w:fldCharType="begin"/>
      </w:r>
      <w:r w:rsidRPr="00617176">
        <w:instrText xml:space="preserve"> QUOTE "II.3.13"</w:instrText>
      </w:r>
      <w:r w:rsidRPr="00617176">
        <w:fldChar w:fldCharType="begin">
          <w:fldData xml:space="preserve">QwBSAE8AUwBTAFIARQBGAEUAUgBFAE4AQwBFACoARwBSAEEAUABIACoANgA4AGMAMQAzADYAYwAx
AC0AZgAzAGEAOQAtADQAMQA0AGQALQBiADkAMQA2AC0AMwBkADUAMQBjADEANAAyADMAZQBjAGYA
</w:fldData>
        </w:fldChar>
      </w:r>
      <w:r w:rsidRPr="00617176">
        <w:instrText xml:space="preserve"> ADDIN </w:instrText>
      </w:r>
      <w:r w:rsidRPr="00617176">
        <w:fldChar w:fldCharType="end"/>
      </w:r>
      <w:r w:rsidRPr="00617176">
        <w:instrText xml:space="preserve"> </w:instrText>
      </w:r>
      <w:r w:rsidRPr="00617176">
        <w:fldChar w:fldCharType="separate"/>
      </w:r>
      <w:r w:rsidR="009F3ED8" w:rsidRPr="00617176">
        <w:t>II.3.13</w:t>
      </w:r>
      <w:r w:rsidRPr="00617176">
        <w:fldChar w:fldCharType="end"/>
      </w:r>
      <w:r w:rsidRPr="00617176">
        <w:t xml:space="preserve">, the impact on public LTC as a proportion of GDP is relatively subdued, showing slower but still positive expenditure growth from 2050 to 2070 for most scenarios and constantly growing expenditure for the </w:t>
      </w:r>
      <w:r w:rsidRPr="00617176">
        <w:rPr>
          <w:i/>
        </w:rPr>
        <w:t>cost convergence</w:t>
      </w:r>
      <w:r w:rsidRPr="00617176">
        <w:t xml:space="preserve"> and </w:t>
      </w:r>
      <w:r w:rsidRPr="00617176">
        <w:rPr>
          <w:i/>
        </w:rPr>
        <w:t>AWG risk scenarios</w:t>
      </w:r>
      <w:r w:rsidRPr="00617176">
        <w:t>.</w:t>
      </w:r>
    </w:p>
    <w:p w14:paraId="175ACA54" w14:textId="77777777" w:rsidR="00223A02" w:rsidRPr="00617176" w:rsidRDefault="00223A02" w:rsidP="00460C69">
      <w:r w:rsidRPr="00617176">
        <w:t xml:space="preserve">This is due to the complex link between ageing and public expenditure on LTC, where, for instance, although dependency rates increase with age, age-cost profiles are not necessarily higher for older age-groups. Similarly, LTC demand factors such as the decrease in availability of informal carers or the fact that richer societies are likely to demand higher standards of care are not directly linked to the ageing of the population. </w:t>
      </w:r>
    </w:p>
    <w:p w14:paraId="1110C0E6" w14:textId="77777777" w:rsidR="00223A02" w:rsidRPr="00617176" w:rsidRDefault="00223A02" w:rsidP="00460C69">
      <w:r w:rsidRPr="00617176">
        <w:t>It may be therefore concluded that ageing and non-demographic drivers of long-term care expenditure are likely to exert a continuous pressure on public finances in the long-run, extending even beyond the current trends in population ageing. The clear need for a broadening of formalised coverage of the European population with long-term care services will thus have to be balanced with the need to ensure the sustainability of public finances.</w:t>
      </w:r>
    </w:p>
    <w:p w14:paraId="4AC4FCDD" w14:textId="77777777" w:rsidR="00223A02" w:rsidRDefault="00223A02" w:rsidP="00460C69"/>
    <w:bookmarkEnd w:id="205"/>
    <w:p w14:paraId="022584CD" w14:textId="77777777" w:rsidR="00223A02" w:rsidRDefault="00223A02" w:rsidP="00460C69">
      <w:pPr>
        <w:sectPr w:rsidR="00223A02" w:rsidSect="00223A02">
          <w:headerReference w:type="even" r:id="rId263"/>
          <w:headerReference w:type="default" r:id="rId264"/>
          <w:footerReference w:type="even" r:id="rId265"/>
          <w:footerReference w:type="default" r:id="rId266"/>
          <w:headerReference w:type="first" r:id="rId267"/>
          <w:footerReference w:type="first" r:id="rId268"/>
          <w:endnotePr>
            <w:numFmt w:val="decimal"/>
            <w:numRestart w:val="eachSect"/>
          </w:endnotePr>
          <w:pgSz w:w="11907" w:h="16839"/>
          <w:pgMar w:top="2693" w:right="1701" w:bottom="1417" w:left="1701" w:header="709" w:footer="1191" w:gutter="0"/>
          <w:cols w:num="2" w:space="283"/>
          <w:titlePg/>
          <w:docGrid w:linePitch="360"/>
        </w:sectPr>
      </w:pPr>
    </w:p>
    <w:bookmarkStart w:id="245" w:name="GUID6A544838986F424A8E9B3DC0FD88DC12"/>
    <w:p w14:paraId="74647021" w14:textId="77777777" w:rsidR="00223A02" w:rsidRPr="009F3ED8" w:rsidRDefault="00223A02" w:rsidP="00460C69">
      <w:pPr>
        <w:pStyle w:val="EPKitTCFrame"/>
      </w:pPr>
      <w:r w:rsidRPr="009F3ED8">
        <w:lastRenderedPageBreak/>
        <w:fldChar w:fldCharType="begin"/>
      </w:r>
      <w:r w:rsidRPr="009F3ED8">
        <w:rPr>
          <w:vanish w:val="0"/>
        </w:rPr>
        <w:instrText xml:space="preserve"> TC "</w:instrText>
      </w:r>
      <w:bookmarkStart w:id="246" w:name="_Toc511664448"/>
      <w:r w:rsidRPr="009F3ED8">
        <w:rPr>
          <w:vanish w:val="0"/>
        </w:rPr>
        <w:instrText>4.</w:instrText>
      </w:r>
      <w:r w:rsidRPr="009F3ED8">
        <w:rPr>
          <w:vanish w:val="0"/>
        </w:rPr>
        <w:tab/>
        <w:instrText>Education</w:instrText>
      </w:r>
      <w:bookmarkEnd w:id="246"/>
      <w:r w:rsidRPr="009F3ED8">
        <w:rPr>
          <w:vanish w:val="0"/>
        </w:rPr>
        <w:instrText xml:space="preserve">" \f \l 2 </w:instrText>
      </w:r>
      <w:r w:rsidRPr="009F3ED8">
        <w:fldChar w:fldCharType="end"/>
      </w:r>
    </w:p>
    <w:p w14:paraId="4C2EA304" w14:textId="77777777" w:rsidR="00223A02" w:rsidRPr="00A43961" w:rsidRDefault="00223A02" w:rsidP="00460C69">
      <w:pPr>
        <w:pStyle w:val="NumberedHeading1"/>
        <w:tabs>
          <w:tab w:val="left" w:pos="567"/>
        </w:tabs>
      </w:pPr>
      <w:bookmarkStart w:id="247" w:name="_Toc511664449"/>
      <w:r w:rsidRPr="00A43961">
        <w:t>4.1.</w:t>
      </w:r>
      <w:r w:rsidRPr="00A43961">
        <w:tab/>
        <w:t>Introduction</w:t>
      </w:r>
      <w:bookmarkEnd w:id="247"/>
    </w:p>
    <w:p w14:paraId="3430B921" w14:textId="77777777" w:rsidR="00223A02" w:rsidRPr="00A43961" w:rsidRDefault="00223A02" w:rsidP="00460C69">
      <w:r w:rsidRPr="00A43961">
        <w:t xml:space="preserve">Because of the pronounced age profile of education enrolment rates, government expenditure on education largely reflects demographic developments. However, many other factors have also an important bearing on government education expenditure, such as the involvement of the general government in the education system, the duration of mandatory education, progress in enrolment rates in upper secondary and tertiary education, relative wages in the education sector, the average size of classes, as well as policies such as discretionary saving measures to curb expenditure trends. </w:t>
      </w:r>
    </w:p>
    <w:p w14:paraId="4C3AF750" w14:textId="77777777" w:rsidR="00223A02" w:rsidRPr="00A43961" w:rsidRDefault="00223A02" w:rsidP="00460C69">
      <w:r w:rsidRPr="00A43961">
        <w:t>The projections are carried out under the assumption of "no-policy-change", as it aims at assessing the impact of demographic changes (per se) on general government education expenditure (</w:t>
      </w:r>
      <w:r w:rsidRPr="00A43961">
        <w:rPr>
          <w:rStyle w:val="Referencafusnote"/>
        </w:rPr>
        <w:footnoteReference w:id="121"/>
      </w:r>
      <w:r w:rsidRPr="00A43961">
        <w:t>). The methodology used is highly stylised and does not "capture" the full complexities of Member States' education systems. It has been set out with a view to use harmonised datasets, (</w:t>
      </w:r>
      <w:r w:rsidRPr="00A43961">
        <w:rPr>
          <w:rStyle w:val="Referencafusnote"/>
        </w:rPr>
        <w:footnoteReference w:id="122"/>
      </w:r>
      <w:r w:rsidRPr="00A43961">
        <w:t>) secure equal treatment across countries, and be consistent with the projected labour market developments, particularly on participation rates (</w:t>
      </w:r>
      <w:r w:rsidRPr="00A43961">
        <w:rPr>
          <w:rStyle w:val="Referencafusnote"/>
        </w:rPr>
        <w:footnoteReference w:id="123"/>
      </w:r>
      <w:r w:rsidRPr="00A43961">
        <w:t xml:space="preserve">). </w:t>
      </w:r>
    </w:p>
    <w:p w14:paraId="0D2E871E" w14:textId="77777777" w:rsidR="00223A02" w:rsidRPr="00A43961" w:rsidRDefault="00223A02" w:rsidP="00460C69">
      <w:r w:rsidRPr="00A43961">
        <w:t xml:space="preserve">A baseline scenario attempts to isolate the impact of demographic factors. The key assumption of the baseline scenario is a constant students-to-staff ratio, implying an instantaneous adjustment in the number of teaching staff to student levels. </w:t>
      </w:r>
    </w:p>
    <w:p w14:paraId="4D022F36" w14:textId="77777777" w:rsidR="00223A02" w:rsidRPr="00A43961" w:rsidRDefault="00223A02" w:rsidP="00460C69">
      <w:r w:rsidRPr="00A43961">
        <w:t xml:space="preserve">However, given the inherent uncertainty of the assumptions underpinning any long-run projections, a set of sensitivity scenarios has been carried out, so as to quantify the responsiveness of </w:t>
      </w:r>
      <w:r w:rsidRPr="00A43961">
        <w:lastRenderedPageBreak/>
        <w:t xml:space="preserve">projection results to changes in key underlying assumptions. </w:t>
      </w:r>
    </w:p>
    <w:p w14:paraId="67DA15FD" w14:textId="77777777" w:rsidR="00223A02" w:rsidRPr="00A43961" w:rsidRDefault="00223A02" w:rsidP="00460C69">
      <w:r w:rsidRPr="00A43961">
        <w:t>A first sensitivity test (</w:t>
      </w:r>
      <w:r w:rsidRPr="00A43961">
        <w:rPr>
          <w:rStyle w:val="Referencafusnote"/>
        </w:rPr>
        <w:footnoteReference w:id="124"/>
      </w:r>
      <w:r w:rsidRPr="00A43961">
        <w:t>) assumes a gradual upward convergence (to be completed by 2045) of enrolment rates (for ISCED levels 3-4 and 5-8) towards the average of the 3 best performers in the EU28 plus Norway; namely Finland, Belgium and Denmark (</w:t>
      </w:r>
      <w:r w:rsidRPr="00A43961">
        <w:rPr>
          <w:rStyle w:val="Referencafusnote"/>
        </w:rPr>
        <w:footnoteReference w:id="125"/>
      </w:r>
      <w:r w:rsidRPr="00A43961">
        <w:t xml:space="preserve">). </w:t>
      </w:r>
    </w:p>
    <w:p w14:paraId="348A6FEA" w14:textId="77777777" w:rsidR="00223A02" w:rsidRPr="00A43961" w:rsidRDefault="00223A02" w:rsidP="00460C69">
      <w:r w:rsidRPr="00A43961">
        <w:t>Moreover, additional scenarios are considered. Namely, a uniform shock to the baseline projection framework (i.e. life expectancy, higher/lower migration, lower fertility, higher/lower total employment rate, older workers employment rate, higher/lower TFP growth, risk scenario, policy scenario) has been applied, each time, to all Member States (</w:t>
      </w:r>
      <w:r w:rsidRPr="00A43961">
        <w:rPr>
          <w:rStyle w:val="Referencafusnote"/>
        </w:rPr>
        <w:footnoteReference w:id="126"/>
      </w:r>
      <w:r w:rsidRPr="00A43961">
        <w:t xml:space="preserve">). </w:t>
      </w:r>
    </w:p>
    <w:p w14:paraId="3DF43827" w14:textId="77777777" w:rsidR="00223A02" w:rsidRPr="00A43961" w:rsidRDefault="00223A02" w:rsidP="00460C69">
      <w:pPr>
        <w:pStyle w:val="NumberedHeading1"/>
        <w:tabs>
          <w:tab w:val="left" w:pos="567"/>
        </w:tabs>
      </w:pPr>
      <w:bookmarkStart w:id="248" w:name="_Toc511664450"/>
      <w:r w:rsidRPr="00A43961">
        <w:t>4.2.</w:t>
      </w:r>
      <w:r w:rsidRPr="00A43961">
        <w:tab/>
        <w:t>General characteristics of national education systems</w:t>
      </w:r>
      <w:bookmarkEnd w:id="248"/>
    </w:p>
    <w:p w14:paraId="5D1B0955" w14:textId="77777777" w:rsidR="00223A02" w:rsidRPr="00A43961" w:rsidRDefault="00223A02" w:rsidP="00460C69">
      <w:r w:rsidRPr="00A43961">
        <w:t xml:space="preserve">While the methodology used to project future education expenditure is based on a highly stylised framework that abstracts from country specificities, it also considers major aspects of education systems, such as enrolment rates by age and education level and expenditure categories by education level and type. A detailed breakdown of education systems (by age and education level) can potentially improve the quality of model calibrations. </w:t>
      </w:r>
    </w:p>
    <w:p w14:paraId="7141E18F" w14:textId="77777777" w:rsidR="00223A02" w:rsidRPr="00A43961" w:rsidRDefault="00223A02" w:rsidP="00460C69">
      <w:r w:rsidRPr="00A43961">
        <w:br w:type="column"/>
      </w:r>
      <w:r w:rsidRPr="00A43961">
        <w:lastRenderedPageBreak/>
        <w:fldChar w:fldCharType="begin"/>
      </w:r>
      <w:r w:rsidRPr="009F3ED8">
        <w:instrText xml:space="preserve"> TC "</w:instrText>
      </w:r>
      <w:bookmarkStart w:id="249" w:name="_Toc511664703"/>
      <w:r w:rsidRPr="009F3ED8">
        <w:instrText>II.4.1.</w:instrText>
      </w:r>
      <w:r w:rsidRPr="009F3ED8">
        <w:tab/>
        <w:instrText>Students-to-Staff ratio across ISCED levels (Base Year 2016)</w:instrText>
      </w:r>
      <w:bookmarkEnd w:id="249"/>
      <w:r w:rsidRPr="009F3ED8">
        <w:instrText xml:space="preserve">" \fgraph \l 5 </w:instrText>
      </w:r>
      <w:r w:rsidRPr="00A43961">
        <w:fldChar w:fldCharType="end"/>
      </w:r>
    </w:p>
    <w:p w14:paraId="0777296F" w14:textId="77777777" w:rsidR="00223A02" w:rsidRPr="00A43961" w:rsidRDefault="00223A02" w:rsidP="00460C69">
      <w:pPr>
        <w:pStyle w:val="NumberedHeading2"/>
        <w:tabs>
          <w:tab w:val="left" w:pos="567"/>
        </w:tabs>
      </w:pPr>
      <w:r w:rsidRPr="00A43961">
        <w:t>4.2.1.</w:t>
      </w:r>
      <w:r w:rsidRPr="00A43961">
        <w:tab/>
        <w:t>Enrolment rates in EU countries</w:t>
      </w:r>
    </w:p>
    <w:p w14:paraId="017D2BD2" w14:textId="77777777" w:rsidR="00223A02" w:rsidRPr="00A43961" w:rsidRDefault="00223A02" w:rsidP="00460C69">
      <w:r w:rsidRPr="00A43961">
        <w:t xml:space="preserve">The institutional structure of education systems varies considerably across Member States. Although the configuration between compulsory and non-compulsory education is, in general, similar across countries (mandatory education starting between ages 5 to 7 and ending between ages 13 to 16), education pathways of young people differ across countries. Differences in "statutory" age bands for a person attending a particular level of education are reflected in cross-country differences in the distribution of "actual" enrolment ages, raising the issue of cross-country comparability. Country diversity is clearly visible in Table II.AV.1 in the Statistical Annex for education, which presents average enrolment rates in the base year 2016 by country, age and level of education. </w:t>
      </w:r>
    </w:p>
    <w:p w14:paraId="3A06B603" w14:textId="77777777" w:rsidR="00223A02" w:rsidRPr="00A43961" w:rsidRDefault="00223A02" w:rsidP="00460C69">
      <w:r w:rsidRPr="00A43961">
        <w:br w:type="column"/>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223A02" w:rsidRPr="00A43961" w14:paraId="32E7EC84" w14:textId="77777777" w:rsidTr="00460C69">
        <w:trPr>
          <w:cantSplit/>
        </w:trPr>
        <w:tc>
          <w:tcPr>
            <w:tcW w:w="8505" w:type="dxa"/>
            <w:shd w:val="clear" w:color="auto" w:fill="auto"/>
          </w:tcPr>
          <w:p w14:paraId="2E8156B3" w14:textId="77777777" w:rsidR="00223A02" w:rsidRPr="00A43961" w:rsidRDefault="00223A02" w:rsidP="00460C69">
            <w:pPr>
              <w:pStyle w:val="GraphTitle"/>
              <w:rPr>
                <w:b/>
              </w:rPr>
            </w:pPr>
            <w:r w:rsidRPr="00A43961">
              <w:t>Graph II.4.1:</w:t>
            </w:r>
            <w:r w:rsidRPr="00A43961">
              <w:rPr>
                <w:b/>
              </w:rPr>
              <w:tab/>
              <w:t>Students-to-Staff ratio across ISCED levels (Base Year 2016)</w:t>
            </w:r>
          </w:p>
        </w:tc>
      </w:tr>
      <w:tr w:rsidR="00223A02" w:rsidRPr="00A43961" w14:paraId="1200F4C7" w14:textId="77777777" w:rsidTr="00460C69">
        <w:trPr>
          <w:cantSplit/>
        </w:trPr>
        <w:tc>
          <w:tcPr>
            <w:tcW w:w="8505" w:type="dxa"/>
            <w:shd w:val="clear" w:color="auto" w:fill="auto"/>
          </w:tcPr>
          <w:p w14:paraId="0669557B" w14:textId="77777777" w:rsidR="00223A02" w:rsidRPr="00A43961" w:rsidRDefault="00223A02" w:rsidP="00460C69">
            <w:pPr>
              <w:pStyle w:val="GraphShape"/>
              <w:rPr>
                <w:sz w:val="2"/>
              </w:rPr>
            </w:pPr>
            <w:r w:rsidRPr="00A43961">
              <w:rPr>
                <w:noProof/>
                <w:sz w:val="2"/>
                <w:lang w:val="hr-HR" w:eastAsia="hr-HR"/>
              </w:rPr>
              <w:drawing>
                <wp:inline distT="0" distB="0" distL="0" distR="0" wp14:anchorId="210EFC36" wp14:editId="56EE5C7D">
                  <wp:extent cx="5400929" cy="2203981"/>
                  <wp:effectExtent l="0" t="0" r="0" b="6350"/>
                  <wp:docPr id="1039" name="Picture 1039" descr="&lt;nbr&gt;&lt;GETTEXTFROMWORD&gt;&lt;/nbr&gt;&#10;&lt;title&gt;&lt;GETTEXTFROMWORD&gt;&lt;/title&gt;&#10;&lt;id&gt;036f75cc-d7a0-4e45-965a-623ec91b29db&lt;/id&gt;&#10;&lt;srcType&gt;EXCEL&lt;/srcType&gt;&#10;&lt;srcPath&gt;U:\Budgetary projections 2018\Reports\2018 AR\Tables_and_graphs\Part II  Chapter 4\&lt;/srcPath&gt;&#10;&lt;srcName&gt;Graph II.4.1.xlsx&lt;/srcName&gt;&#10;&lt;type&gt;graph&lt;/type&gt;&#10; &lt;srcSheet&gt;Graph&lt;/srcSheet&gt;&#10; &lt;srcChartTitle&gt;Chart 3&lt;/srcChartTitl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3-08T13:32:19&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400929" cy="2203981"/>
                          </a:xfrm>
                          <a:prstGeom prst="rect">
                            <a:avLst/>
                          </a:prstGeom>
                          <a:noFill/>
                          <a:ln>
                            <a:noFill/>
                          </a:ln>
                        </pic:spPr>
                      </pic:pic>
                    </a:graphicData>
                  </a:graphic>
                </wp:inline>
              </w:drawing>
            </w:r>
          </w:p>
        </w:tc>
      </w:tr>
      <w:tr w:rsidR="00223A02" w:rsidRPr="00A43961" w14:paraId="08392C79" w14:textId="77777777" w:rsidTr="00460C69">
        <w:trPr>
          <w:cantSplit/>
        </w:trPr>
        <w:tc>
          <w:tcPr>
            <w:tcW w:w="8505" w:type="dxa"/>
            <w:shd w:val="clear" w:color="auto" w:fill="auto"/>
          </w:tcPr>
          <w:p w14:paraId="49BB2666" w14:textId="77777777" w:rsidR="00223A02" w:rsidRDefault="00223A02" w:rsidP="00460C69">
            <w:pPr>
              <w:pStyle w:val="GraphFootnote"/>
              <w:keepNext/>
            </w:pPr>
            <w:r>
              <w:t>(1) Students over Total Staff in education by ISCED (UOE dataset)</w:t>
            </w:r>
          </w:p>
          <w:p w14:paraId="2BBCE20F" w14:textId="77777777" w:rsidR="00223A02" w:rsidRPr="00A43961" w:rsidRDefault="00223A02" w:rsidP="00460C69">
            <w:pPr>
              <w:pStyle w:val="GraphSource"/>
              <w:keepNext/>
            </w:pPr>
            <w:r w:rsidRPr="00A43961">
              <w:rPr>
                <w:b/>
                <w:i/>
              </w:rPr>
              <w:t>Source:</w:t>
            </w:r>
            <w:r w:rsidRPr="00A43961">
              <w:t xml:space="preserve"> Commission services, EPC.</w:t>
            </w:r>
          </w:p>
        </w:tc>
      </w:tr>
    </w:tbl>
    <w:p w14:paraId="146BDB54" w14:textId="77777777" w:rsidR="00223A02" w:rsidRPr="00A43961" w:rsidRDefault="00223A02" w:rsidP="00460C69">
      <w:pPr>
        <w:pStyle w:val="NumberedHeading2"/>
        <w:tabs>
          <w:tab w:val="left" w:pos="567"/>
        </w:tabs>
      </w:pPr>
      <w:r w:rsidRPr="00A43961">
        <w:t>4.2.2.</w:t>
      </w:r>
      <w:r w:rsidRPr="00A43961">
        <w:tab/>
        <w:t>Students-to-Staff ratio (average class size)</w:t>
      </w:r>
    </w:p>
    <w:p w14:paraId="08C9CFEE" w14:textId="77777777" w:rsidR="00223A02" w:rsidRPr="00A43961" w:rsidRDefault="00223A02" w:rsidP="00460C69">
      <w:r w:rsidRPr="00A43961">
        <w:t xml:space="preserve">Average class sizes vary significantly both across countries and level of education, reflecting specific organisational features of education systems. </w:t>
      </w:r>
    </w:p>
    <w:p w14:paraId="413A8998" w14:textId="77777777" w:rsidR="00223A02" w:rsidRPr="00A43961" w:rsidRDefault="00223A02" w:rsidP="00460C69">
      <w:r w:rsidRPr="00A43961">
        <w:t xml:space="preserve">The size of primary education classes is on average slightly larger than that of secondary education (both lower and upper). In most countries, average class size is largest in tertiary education (see Graph </w:t>
      </w:r>
      <w:r w:rsidRPr="00A43961">
        <w:fldChar w:fldCharType="begin"/>
      </w:r>
      <w:r w:rsidRPr="00A43961">
        <w:instrText xml:space="preserve"> QUOTE "II.4.1"</w:instrText>
      </w:r>
      <w:r w:rsidRPr="00A43961">
        <w:fldChar w:fldCharType="begin">
          <w:fldData xml:space="preserve">QwBSAE8AUwBTAFIARQBGAEUAUgBFAE4AQwBFACoARwBSAEEAUABIACoAMAAzADYAZgA3ADUAYwBj
AC0AZAA3AGEAMAAtADQAZQA0ADUALQA5ADYANQBhAC0ANgAyADMAZQBjADkAMQBiADIAOQBkAGIA
</w:fldData>
        </w:fldChar>
      </w:r>
      <w:r w:rsidRPr="00A43961">
        <w:instrText xml:space="preserve"> ADDIN </w:instrText>
      </w:r>
      <w:r w:rsidRPr="00A43961">
        <w:fldChar w:fldCharType="end"/>
      </w:r>
      <w:r w:rsidRPr="00A43961">
        <w:instrText xml:space="preserve"> </w:instrText>
      </w:r>
      <w:r w:rsidRPr="00A43961">
        <w:fldChar w:fldCharType="separate"/>
      </w:r>
      <w:r w:rsidR="009F3ED8" w:rsidRPr="00A43961">
        <w:t>II.4.1</w:t>
      </w:r>
      <w:r w:rsidRPr="00A43961">
        <w:fldChar w:fldCharType="end"/>
      </w:r>
      <w:r w:rsidRPr="00A43961">
        <w:t>), reflecting teaching methods relying more on individual research and library work.</w:t>
      </w:r>
    </w:p>
    <w:p w14:paraId="7DBD6588" w14:textId="77777777" w:rsidR="00223A02" w:rsidRPr="00A43961" w:rsidRDefault="00223A02" w:rsidP="00460C69">
      <w:r w:rsidRPr="00A43961">
        <w:br w:type="column"/>
      </w:r>
      <w:r w:rsidRPr="00A43961">
        <w:lastRenderedPageBreak/>
        <w:fldChar w:fldCharType="begin"/>
      </w:r>
      <w:r w:rsidRPr="009F3ED8">
        <w:instrText xml:space="preserve"> TC "</w:instrText>
      </w:r>
      <w:bookmarkStart w:id="250" w:name="_Toc511664704"/>
      <w:r w:rsidRPr="009F3ED8">
        <w:instrText>II.4.2.</w:instrText>
      </w:r>
      <w:r w:rsidRPr="009F3ED8">
        <w:tab/>
        <w:instrText>Average compensation per member of staff as ratio of GDP per worker (Base Year 2016)</w:instrText>
      </w:r>
      <w:bookmarkEnd w:id="250"/>
      <w:r w:rsidRPr="009F3ED8">
        <w:instrText xml:space="preserve">" \fgraph \l 5 </w:instrText>
      </w:r>
      <w:r w:rsidRPr="00A43961">
        <w:fldChar w:fldCharType="end"/>
      </w:r>
    </w:p>
    <w:p w14:paraId="65ED0006" w14:textId="77777777" w:rsidR="00223A02" w:rsidRPr="00A43961" w:rsidRDefault="00223A02" w:rsidP="00460C69">
      <w:pPr>
        <w:pStyle w:val="NumberedHeading2"/>
        <w:tabs>
          <w:tab w:val="left" w:pos="567"/>
        </w:tabs>
      </w:pPr>
      <w:r w:rsidRPr="00A43961">
        <w:t>4.2.3.</w:t>
      </w:r>
      <w:r w:rsidRPr="00A43961">
        <w:tab/>
        <w:t>Staff compensation in the education sector</w:t>
      </w:r>
    </w:p>
    <w:p w14:paraId="5026DC7E" w14:textId="77777777" w:rsidR="00223A02" w:rsidRPr="00A43961" w:rsidRDefault="00223A02" w:rsidP="00460C69">
      <w:r w:rsidRPr="00A43961">
        <w:t xml:space="preserve">There is considerable variation across Member States in the wages paid in the education sector. Graph II.4.2 plots average data for the base year 2016 for the compensation per public employee in the education sector to GDP per worker.  </w:t>
      </w:r>
    </w:p>
    <w:p w14:paraId="7DE5A057" w14:textId="77777777" w:rsidR="00223A02" w:rsidRPr="00A43961" w:rsidRDefault="00223A02" w:rsidP="00460C69">
      <w:r w:rsidRPr="00A43961">
        <w:t xml:space="preserve">Both the wage distribution and the structure of employment in the education sector (i.e. the relative importance of different professional categories, such as professors, assistants and non-teaching staff) play a role in explaining these differences. As expected, on average, wages are highest in the tertiary level of education, reflecting the higher qualifications required of the staff. </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223A02" w:rsidRPr="00A43961" w14:paraId="1258F0D4" w14:textId="77777777" w:rsidTr="00460C69">
        <w:trPr>
          <w:cantSplit/>
        </w:trPr>
        <w:tc>
          <w:tcPr>
            <w:tcW w:w="8505" w:type="dxa"/>
            <w:shd w:val="clear" w:color="auto" w:fill="auto"/>
          </w:tcPr>
          <w:p w14:paraId="6D453040" w14:textId="77777777" w:rsidR="00223A02" w:rsidRPr="00A43961" w:rsidRDefault="00223A02" w:rsidP="00460C69">
            <w:pPr>
              <w:pStyle w:val="GraphTitle"/>
              <w:rPr>
                <w:b/>
              </w:rPr>
            </w:pPr>
            <w:r w:rsidRPr="00A43961">
              <w:t>Graph II.4.2:</w:t>
            </w:r>
            <w:r w:rsidRPr="00A43961">
              <w:rPr>
                <w:b/>
              </w:rPr>
              <w:tab/>
              <w:t>Average compensation per member of staff as ratio of GDP per worker (Base Year 2016)</w:t>
            </w:r>
          </w:p>
        </w:tc>
      </w:tr>
      <w:tr w:rsidR="00223A02" w:rsidRPr="00A43961" w14:paraId="34B9FFD8" w14:textId="77777777" w:rsidTr="00460C69">
        <w:trPr>
          <w:cantSplit/>
        </w:trPr>
        <w:tc>
          <w:tcPr>
            <w:tcW w:w="8505" w:type="dxa"/>
            <w:shd w:val="clear" w:color="auto" w:fill="auto"/>
          </w:tcPr>
          <w:p w14:paraId="791BA5F1" w14:textId="77777777" w:rsidR="00223A02" w:rsidRPr="00A43961" w:rsidRDefault="00223A02" w:rsidP="00460C69">
            <w:pPr>
              <w:pStyle w:val="GraphShape"/>
              <w:rPr>
                <w:sz w:val="2"/>
              </w:rPr>
            </w:pPr>
            <w:r w:rsidRPr="00A43961">
              <w:rPr>
                <w:noProof/>
                <w:sz w:val="2"/>
                <w:lang w:val="hr-HR" w:eastAsia="hr-HR"/>
              </w:rPr>
              <w:drawing>
                <wp:inline distT="0" distB="0" distL="0" distR="0" wp14:anchorId="115EFC15" wp14:editId="03F96ED9">
                  <wp:extent cx="5400929" cy="2048804"/>
                  <wp:effectExtent l="0" t="0" r="0" b="8890"/>
                  <wp:docPr id="1040" name="Picture 1040" descr="&lt;nbr&gt;&lt;GETTEXTFROMWORD&gt;&lt;/nbr&gt;&#10;&lt;title&gt;&lt;GETTEXTFROMWORD&gt;&lt;/title&gt;&#10;&lt;id&gt;b9e916c7-b2fc-4225-88cf-568988fa1cd2&lt;/id&gt;&#10;&lt;srcType&gt;EXCEL&lt;/srcType&gt;&#10;&lt;srcPath&gt;U:\Budgetary projections 2018\Reports\2018 AR\Tables_and_graphs\Part II  Chapter 4\&lt;/srcPath&gt;&#10;&lt;srcName&gt;Graph II.4.2.xlsx&lt;/srcName&gt;&#10;&lt;type&gt;graph&lt;/type&gt;&#10; &lt;srcSheet&gt;Graph&lt;/srcSheet&gt;&#10; &lt;srcChartTitle&gt;Chart 1&lt;/srcChartTitl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3-08T13:33:44&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400929" cy="2048804"/>
                          </a:xfrm>
                          <a:prstGeom prst="rect">
                            <a:avLst/>
                          </a:prstGeom>
                          <a:noFill/>
                          <a:ln>
                            <a:noFill/>
                          </a:ln>
                        </pic:spPr>
                      </pic:pic>
                    </a:graphicData>
                  </a:graphic>
                </wp:inline>
              </w:drawing>
            </w:r>
          </w:p>
        </w:tc>
      </w:tr>
      <w:tr w:rsidR="00223A02" w:rsidRPr="00A43961" w14:paraId="5E16F505" w14:textId="77777777" w:rsidTr="00460C69">
        <w:trPr>
          <w:cantSplit/>
        </w:trPr>
        <w:tc>
          <w:tcPr>
            <w:tcW w:w="8505" w:type="dxa"/>
            <w:shd w:val="clear" w:color="auto" w:fill="auto"/>
          </w:tcPr>
          <w:p w14:paraId="5E98CD85" w14:textId="77777777" w:rsidR="00223A02" w:rsidRDefault="00223A02" w:rsidP="00460C69">
            <w:pPr>
              <w:pStyle w:val="GraphFootnote"/>
              <w:keepNext/>
            </w:pPr>
            <w:r>
              <w:t xml:space="preserve">Compensation per public employee in the education sector to GDP per worker by ISCED level (UOE dataset). A few observations not reported because of missing values or outliers. </w:t>
            </w:r>
          </w:p>
          <w:p w14:paraId="27114F2B" w14:textId="77777777" w:rsidR="00223A02" w:rsidRPr="00A43961" w:rsidRDefault="00223A02" w:rsidP="00460C69">
            <w:pPr>
              <w:pStyle w:val="GraphSource"/>
              <w:keepNext/>
            </w:pPr>
            <w:r w:rsidRPr="00A43961">
              <w:rPr>
                <w:b/>
                <w:i/>
              </w:rPr>
              <w:t>Source:</w:t>
            </w:r>
            <w:r w:rsidRPr="00A43961">
              <w:t xml:space="preserve"> Commission services, EPC.</w:t>
            </w:r>
          </w:p>
        </w:tc>
      </w:tr>
    </w:tbl>
    <w:p w14:paraId="31C296D6" w14:textId="77777777" w:rsidR="00223A02" w:rsidRPr="00A43961" w:rsidRDefault="00223A02" w:rsidP="00460C69">
      <w:r w:rsidRPr="00A43961">
        <w:t xml:space="preserve">Graph II.4.3 presents average total public expenditure in education, in year 2016, for the four levels of education and for total expenditure. Total public expenditure ranges from 2.5 % of GDP (Romania) to 7.6 % (Norway) (for more details see Tables II.AV.2 and II.AV.3 in Annex V). </w:t>
      </w:r>
    </w:p>
    <w:p w14:paraId="1121574D" w14:textId="77777777" w:rsidR="00223A02" w:rsidRPr="00A43961" w:rsidRDefault="00223A02" w:rsidP="00460C69"/>
    <w:p w14:paraId="471EEA5B" w14:textId="77777777" w:rsidR="00223A02" w:rsidRPr="00A43961" w:rsidRDefault="00223A02" w:rsidP="00460C69"/>
    <w:p w14:paraId="0811868B" w14:textId="77777777" w:rsidR="00223A02" w:rsidRPr="00A43961" w:rsidRDefault="00223A02" w:rsidP="00460C69"/>
    <w:p w14:paraId="2363420A" w14:textId="77777777" w:rsidR="00223A02" w:rsidRPr="00A43961" w:rsidRDefault="00223A02" w:rsidP="00460C69"/>
    <w:tbl>
      <w:tblPr>
        <w:tblW w:w="0" w:type="auto"/>
        <w:tblLayout w:type="fixed"/>
        <w:tblCellMar>
          <w:left w:w="0" w:type="dxa"/>
          <w:right w:w="0" w:type="dxa"/>
        </w:tblCellMar>
        <w:tblLook w:val="0000" w:firstRow="0" w:lastRow="0" w:firstColumn="0" w:lastColumn="0" w:noHBand="0" w:noVBand="0"/>
      </w:tblPr>
      <w:tblGrid>
        <w:gridCol w:w="4110"/>
      </w:tblGrid>
      <w:tr w:rsidR="00223A02" w:rsidRPr="00A43961" w14:paraId="59A25AC6" w14:textId="77777777" w:rsidTr="00460C69">
        <w:trPr>
          <w:cantSplit/>
        </w:trPr>
        <w:tc>
          <w:tcPr>
            <w:tcW w:w="4110" w:type="dxa"/>
            <w:shd w:val="clear" w:color="auto" w:fill="auto"/>
          </w:tcPr>
          <w:p w14:paraId="31E92E4F" w14:textId="77777777" w:rsidR="00223A02" w:rsidRPr="00A43961" w:rsidRDefault="00223A02" w:rsidP="00460C69">
            <w:pPr>
              <w:pStyle w:val="GraphTitle"/>
              <w:rPr>
                <w:b/>
              </w:rPr>
            </w:pPr>
            <w:r w:rsidRPr="00A43961">
              <w:t>Graph II.4.3:</w:t>
            </w:r>
            <w:r w:rsidRPr="00A43961">
              <w:rPr>
                <w:b/>
              </w:rPr>
              <w:tab/>
              <w:t>Structure of public expenditure on education as a percentage of GDP (Base Year 2016)</w:t>
            </w:r>
          </w:p>
        </w:tc>
      </w:tr>
      <w:tr w:rsidR="00223A02" w:rsidRPr="00A43961" w14:paraId="2DD20065" w14:textId="77777777" w:rsidTr="00460C69">
        <w:trPr>
          <w:cantSplit/>
        </w:trPr>
        <w:tc>
          <w:tcPr>
            <w:tcW w:w="4110" w:type="dxa"/>
            <w:shd w:val="clear" w:color="auto" w:fill="auto"/>
          </w:tcPr>
          <w:p w14:paraId="4481421C" w14:textId="77777777" w:rsidR="00223A02" w:rsidRPr="00A43961" w:rsidRDefault="00223A02" w:rsidP="00460C69">
            <w:pPr>
              <w:pStyle w:val="GraphShape"/>
              <w:rPr>
                <w:sz w:val="2"/>
              </w:rPr>
            </w:pPr>
            <w:r w:rsidRPr="00A43961">
              <w:fldChar w:fldCharType="begin"/>
            </w:r>
            <w:r w:rsidRPr="009F3ED8">
              <w:instrText xml:space="preserve"> TC "</w:instrText>
            </w:r>
            <w:bookmarkStart w:id="251" w:name="_Toc511664705"/>
            <w:r w:rsidRPr="009F3ED8">
              <w:instrText>II.4.3.</w:instrText>
            </w:r>
            <w:r w:rsidRPr="009F3ED8">
              <w:tab/>
              <w:instrText>Structure of public expenditure on education as a percentage of GDP (Base Year 2016)</w:instrText>
            </w:r>
            <w:bookmarkEnd w:id="251"/>
            <w:r w:rsidRPr="009F3ED8">
              <w:instrText xml:space="preserve">" \fgraph \l 5 </w:instrText>
            </w:r>
            <w:r w:rsidRPr="00A43961">
              <w:fldChar w:fldCharType="end"/>
            </w:r>
            <w:r w:rsidRPr="00A43961">
              <w:rPr>
                <w:noProof/>
                <w:sz w:val="2"/>
                <w:lang w:val="hr-HR" w:eastAsia="hr-HR"/>
              </w:rPr>
              <w:drawing>
                <wp:inline distT="0" distB="0" distL="0" distR="0" wp14:anchorId="131E3DAC" wp14:editId="0A30A3DD">
                  <wp:extent cx="2597595" cy="1665666"/>
                  <wp:effectExtent l="0" t="0" r="0" b="0"/>
                  <wp:docPr id="1041" name="Picture 1041" descr="&lt;nbr&gt;&lt;GETTEXTFROMWORD&gt;&lt;/nbr&gt;&#10;&lt;title&gt;&lt;GETTEXTFROMWORD&gt;&lt;/title&gt;&#10;&lt;id&gt;cd837ac8-cf25-425f-8023-bd655417969c&lt;/id&gt;&#10;&lt;srcType&gt;EXCEL&lt;/srcType&gt;&#10;&lt;srcPath&gt;U:\Budgetary projections 2018\Reports\2018 AR\Tables_and_graphs\Part II  Chapter 4\&lt;/srcPath&gt;&#10;&lt;srcName&gt;Graph II.4.3.xlsx&lt;/srcName&gt;&#10;&lt;type&gt;graph&lt;/type&gt;&#10; &lt;srcSheet&gt;graph3&lt;/srcSheet&gt;&#10; &lt;srcChartTitle&gt;Chart 1&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08T14:45: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597595" cy="1665666"/>
                          </a:xfrm>
                          <a:prstGeom prst="rect">
                            <a:avLst/>
                          </a:prstGeom>
                          <a:noFill/>
                          <a:ln>
                            <a:noFill/>
                          </a:ln>
                        </pic:spPr>
                      </pic:pic>
                    </a:graphicData>
                  </a:graphic>
                </wp:inline>
              </w:drawing>
            </w:r>
          </w:p>
        </w:tc>
      </w:tr>
      <w:tr w:rsidR="00223A02" w:rsidRPr="00A43961" w14:paraId="1AC7766F" w14:textId="77777777" w:rsidTr="00460C69">
        <w:trPr>
          <w:cantSplit/>
        </w:trPr>
        <w:tc>
          <w:tcPr>
            <w:tcW w:w="4110" w:type="dxa"/>
            <w:shd w:val="clear" w:color="auto" w:fill="auto"/>
            <w:tcMar>
              <w:bottom w:w="240" w:type="dxa"/>
            </w:tcMar>
          </w:tcPr>
          <w:p w14:paraId="6C65DC75" w14:textId="77777777" w:rsidR="00223A02" w:rsidRPr="00A43961" w:rsidRDefault="00223A02" w:rsidP="00460C69">
            <w:pPr>
              <w:pStyle w:val="GraphSource"/>
              <w:keepNext/>
            </w:pPr>
            <w:r w:rsidRPr="00A43961">
              <w:rPr>
                <w:b/>
                <w:i/>
              </w:rPr>
              <w:t>Source:</w:t>
            </w:r>
            <w:r w:rsidRPr="00A43961">
              <w:t xml:space="preserve"> Commission services, EPC</w:t>
            </w:r>
          </w:p>
        </w:tc>
      </w:tr>
    </w:tbl>
    <w:p w14:paraId="71173299" w14:textId="77777777" w:rsidR="00223A02" w:rsidRPr="00A43961" w:rsidRDefault="00223A02" w:rsidP="00460C69"/>
    <w:p w14:paraId="21FD1337" w14:textId="77777777" w:rsidR="00223A02" w:rsidRPr="00A43961" w:rsidRDefault="00223A02" w:rsidP="00460C69">
      <w:pPr>
        <w:pageBreakBefore/>
      </w:pPr>
    </w:p>
    <w:p w14:paraId="04D6F3BC" w14:textId="77777777" w:rsidR="00223A02" w:rsidRPr="00A43961" w:rsidRDefault="00223A02" w:rsidP="00460C69">
      <w:pPr>
        <w:pStyle w:val="NumberedHeading1"/>
        <w:tabs>
          <w:tab w:val="left" w:pos="567"/>
        </w:tabs>
      </w:pPr>
      <w:bookmarkStart w:id="252" w:name="_Toc511664451"/>
      <w:r w:rsidRPr="00A43961">
        <w:t>4.3.</w:t>
      </w:r>
      <w:r w:rsidRPr="00A43961">
        <w:tab/>
        <w:t>Projection results</w:t>
      </w:r>
      <w:bookmarkEnd w:id="252"/>
    </w:p>
    <w:p w14:paraId="4551231A" w14:textId="77777777" w:rsidR="00223A02" w:rsidRPr="00A43961" w:rsidRDefault="00223A02" w:rsidP="00460C69">
      <w:pPr>
        <w:pStyle w:val="NumberedHeading2"/>
        <w:tabs>
          <w:tab w:val="left" w:pos="567"/>
        </w:tabs>
      </w:pPr>
      <w:r w:rsidRPr="00A43961">
        <w:t>4.3.1.</w:t>
      </w:r>
      <w:r w:rsidRPr="00A43961">
        <w:tab/>
        <w:t>Baseline scenario projections</w:t>
      </w:r>
    </w:p>
    <w:p w14:paraId="54BC71F0" w14:textId="77777777" w:rsidR="00223A02" w:rsidRPr="00A43961" w:rsidRDefault="00223A02" w:rsidP="00460C69">
      <w:r w:rsidRPr="00A43961">
        <w:t>A simple simulation model is used to project expenditure on education (</w:t>
      </w:r>
      <w:r w:rsidRPr="00A43961">
        <w:rPr>
          <w:rStyle w:val="Referencafusnote"/>
        </w:rPr>
        <w:footnoteReference w:id="127"/>
      </w:r>
      <w:r w:rsidRPr="00A43961">
        <w:t xml:space="preserve">). </w:t>
      </w:r>
    </w:p>
    <w:p w14:paraId="5C6BE7B1" w14:textId="77777777" w:rsidR="00223A02" w:rsidRPr="00A43961" w:rsidRDefault="00223A02" w:rsidP="00460C69">
      <w:r w:rsidRPr="00A43961">
        <w:t xml:space="preserve">Assuming "a no-policy-change" scenario in the provision of education, the baseline scenario attempts to illustrate the pure impact of demographic changes on government education expenditure for the 29 countries considered in the projections. The baseline scenario assumes a fixed students-to-teaching staff ratio. The extent to which the latter is compatible with an assumption of "no-policy-change" merits some reflexion. In fact, assuming that staff levels in the education sector adjust instantaneously to student levels might prove unrealistic, besides actually demanding discretionary action to change staff levels. Instead, it might be preferable to assume some lag or inertia in the adjustment. Conversely, any mechanism chosen to adjust staff to the number of students would essentially be arbitrary. </w:t>
      </w:r>
    </w:p>
    <w:p w14:paraId="32A45388" w14:textId="77777777" w:rsidR="00223A02" w:rsidRPr="00A43961" w:rsidRDefault="00223A02" w:rsidP="00460C69">
      <w:r w:rsidRPr="00A43961">
        <w:br w:type="column"/>
      </w:r>
      <w:r w:rsidRPr="00A43961">
        <w:lastRenderedPageBreak/>
        <w:t xml:space="preserve">Table </w:t>
      </w:r>
      <w:r w:rsidRPr="00A43961">
        <w:fldChar w:fldCharType="begin"/>
      </w:r>
      <w:r w:rsidRPr="00A43961">
        <w:instrText xml:space="preserve"> QUOTE "II.4.1"</w:instrText>
      </w:r>
      <w:r w:rsidRPr="00A43961">
        <w:fldChar w:fldCharType="begin">
          <w:fldData xml:space="preserve">QwBSAE8AUwBTAFIARQBGAEUAUgBFAE4AQwBFACoAVABBAEIATABFACoAYgA5ADYAMwAzAGEAOQA0
AC0AYgA3ADkAYgAtADQAMgA1AGMALQA4ADgAMwBjAC0AYQAyAGEAYwBkADYAMgBhAGYANAA2AGQA
</w:fldData>
        </w:fldChar>
      </w:r>
      <w:r w:rsidRPr="00A43961">
        <w:instrText xml:space="preserve"> ADDIN </w:instrText>
      </w:r>
      <w:r w:rsidRPr="00A43961">
        <w:fldChar w:fldCharType="end"/>
      </w:r>
      <w:r w:rsidRPr="00A43961">
        <w:instrText xml:space="preserve"> </w:instrText>
      </w:r>
      <w:r w:rsidRPr="00A43961">
        <w:fldChar w:fldCharType="separate"/>
      </w:r>
      <w:r w:rsidR="009F3ED8" w:rsidRPr="00A43961">
        <w:t>II.4.1</w:t>
      </w:r>
      <w:r w:rsidRPr="00A43961">
        <w:fldChar w:fldCharType="end"/>
      </w:r>
      <w:r w:rsidRPr="00A43961">
        <w:t xml:space="preserve"> shows the variation in education expenditure projections for the baseline scenario, between 2016 (start year) and 2070 (final year) (</w:t>
      </w:r>
      <w:r w:rsidRPr="00A43961">
        <w:rPr>
          <w:rStyle w:val="Referencafusnote"/>
        </w:rPr>
        <w:footnoteReference w:id="128"/>
      </w:r>
      <w:r w:rsidRPr="00A43961">
        <w:t xml:space="preserve">). </w:t>
      </w:r>
    </w:p>
    <w:p w14:paraId="65256743" w14:textId="77777777" w:rsidR="00223A02" w:rsidRPr="00A43961" w:rsidRDefault="00223A02" w:rsidP="00460C69">
      <w:r w:rsidRPr="00A43961">
        <w:t xml:space="preserve">In the baseline scenario, government expenditure is expected to nearly stabilise at 4.5% and 4.3% of GDP in 2070, respectively, in the EU and euro area. Government expenditure on education increases in 15 countries and falls in 14 countries. However, the impact varies across individual countries ranging from a decline of 1.6 pps. in Cyprus to a 0.8 pps. increase in Czech Republic. </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A43961" w14:paraId="3E25EA03" w14:textId="77777777" w:rsidTr="00460C69">
        <w:trPr>
          <w:cantSplit/>
          <w:trHeight w:val="20"/>
        </w:trPr>
        <w:tc>
          <w:tcPr>
            <w:tcW w:w="4110" w:type="dxa"/>
            <w:shd w:val="clear" w:color="auto" w:fill="auto"/>
          </w:tcPr>
          <w:p w14:paraId="66F773E4" w14:textId="77777777" w:rsidR="00223A02" w:rsidRPr="00A43961" w:rsidRDefault="00223A02" w:rsidP="00460C69">
            <w:pPr>
              <w:pStyle w:val="SlimCell"/>
              <w:keepNext/>
            </w:pPr>
          </w:p>
        </w:tc>
      </w:tr>
      <w:tr w:rsidR="00223A02" w:rsidRPr="00A43961" w14:paraId="49D93ADB" w14:textId="77777777" w:rsidTr="00460C69">
        <w:trPr>
          <w:cantSplit/>
        </w:trPr>
        <w:tc>
          <w:tcPr>
            <w:tcW w:w="4110" w:type="dxa"/>
            <w:shd w:val="clear" w:color="auto" w:fill="auto"/>
          </w:tcPr>
          <w:p w14:paraId="4F8F5C6A" w14:textId="77777777" w:rsidR="00223A02" w:rsidRPr="00A43961" w:rsidRDefault="00223A02" w:rsidP="00460C69">
            <w:pPr>
              <w:pStyle w:val="TableTitle"/>
              <w:rPr>
                <w:b/>
              </w:rPr>
            </w:pPr>
            <w:r w:rsidRPr="00A43961">
              <w:t>Table II.4.1:</w:t>
            </w:r>
            <w:r w:rsidRPr="00A43961">
              <w:rPr>
                <w:b/>
              </w:rPr>
              <w:tab/>
              <w:t>Government expenditure on education, baseline scenario, % of GDP</w:t>
            </w:r>
          </w:p>
        </w:tc>
      </w:tr>
      <w:tr w:rsidR="00223A02" w:rsidRPr="00A43961" w14:paraId="61761ABF" w14:textId="77777777" w:rsidTr="00460C69">
        <w:trPr>
          <w:cantSplit/>
        </w:trPr>
        <w:tc>
          <w:tcPr>
            <w:tcW w:w="4110" w:type="dxa"/>
            <w:shd w:val="clear" w:color="auto" w:fill="auto"/>
          </w:tcPr>
          <w:p w14:paraId="2DB3B010" w14:textId="77777777" w:rsidR="00223A02" w:rsidRPr="00A43961" w:rsidRDefault="00223A02" w:rsidP="00460C69">
            <w:pPr>
              <w:pStyle w:val="TableShape"/>
              <w:rPr>
                <w:sz w:val="2"/>
              </w:rPr>
            </w:pPr>
            <w:r w:rsidRPr="00A43961">
              <w:fldChar w:fldCharType="begin"/>
            </w:r>
            <w:r w:rsidRPr="009F3ED8">
              <w:instrText xml:space="preserve"> TC "</w:instrText>
            </w:r>
            <w:bookmarkStart w:id="253" w:name="_Toc511664580"/>
            <w:r w:rsidRPr="009F3ED8">
              <w:instrText>II.4.1.</w:instrText>
            </w:r>
            <w:r w:rsidRPr="009F3ED8">
              <w:tab/>
              <w:instrText>Government expenditure on education, baseline scenario, % of GDP</w:instrText>
            </w:r>
            <w:bookmarkEnd w:id="253"/>
            <w:r w:rsidRPr="009F3ED8">
              <w:instrText xml:space="preserve">" \ftable \l 5 </w:instrText>
            </w:r>
            <w:r w:rsidRPr="00A43961">
              <w:fldChar w:fldCharType="end"/>
            </w:r>
            <w:r>
              <w:rPr>
                <w:noProof/>
                <w:sz w:val="2"/>
                <w:lang w:val="hr-HR" w:eastAsia="hr-HR"/>
              </w:rPr>
              <w:drawing>
                <wp:inline distT="0" distB="0" distL="0" distR="0" wp14:anchorId="070B077E" wp14:editId="4D2B14B6">
                  <wp:extent cx="2597595" cy="4222276"/>
                  <wp:effectExtent l="0" t="0" r="0" b="6985"/>
                  <wp:docPr id="1042" name="Picture 1042" descr="&lt;nbr&gt;&lt;GETTEXTFROMWORD&gt;&lt;/nbr&gt;&#10;&lt;title&gt;&lt;GETTEXTFROMWORD&gt;&lt;/title&gt;&#10;&lt;id&gt;b9633a94-b79b-425c-883c-a2acd62af46d&lt;/id&gt;&#10;&lt;srcType&gt;EXCEL&lt;/srcType&gt;&#10;&lt;srcPath&gt;U:\Budgetary projections 2018\Reports\2018 AR\Tables_and_graphs\Part II  Chapter 4\&lt;/srcPath&gt;&#10;&lt;srcName&gt;Tables II.4.1-II.4.5.xlsx&lt;/srcName&gt;&#10;&lt;type&gt;table&lt;/type&gt;&#10; &lt;srcSheet&gt;Table II.4.1&lt;/srcSheet&gt;&#10; &lt;srcRange&gt;R2C2:R35C5&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08T17:26:4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597595" cy="4222276"/>
                          </a:xfrm>
                          <a:prstGeom prst="rect">
                            <a:avLst/>
                          </a:prstGeom>
                          <a:noFill/>
                          <a:ln>
                            <a:noFill/>
                          </a:ln>
                        </pic:spPr>
                      </pic:pic>
                    </a:graphicData>
                  </a:graphic>
                </wp:inline>
              </w:drawing>
            </w:r>
          </w:p>
        </w:tc>
      </w:tr>
      <w:tr w:rsidR="00223A02" w:rsidRPr="00A43961" w14:paraId="3EA9DA80" w14:textId="77777777" w:rsidTr="00460C69">
        <w:trPr>
          <w:cantSplit/>
        </w:trPr>
        <w:tc>
          <w:tcPr>
            <w:tcW w:w="4110" w:type="dxa"/>
            <w:shd w:val="clear" w:color="auto" w:fill="auto"/>
          </w:tcPr>
          <w:p w14:paraId="0AECEF6D" w14:textId="77777777" w:rsidR="00223A02" w:rsidRPr="00A43961" w:rsidRDefault="00223A02" w:rsidP="00460C69">
            <w:pPr>
              <w:pStyle w:val="TableSource"/>
            </w:pPr>
            <w:r w:rsidRPr="00A43961">
              <w:rPr>
                <w:b/>
                <w:i/>
              </w:rPr>
              <w:t>Source:</w:t>
            </w:r>
            <w:r w:rsidRPr="00A43961">
              <w:t xml:space="preserve"> Commission services, EPC.</w:t>
            </w:r>
          </w:p>
        </w:tc>
      </w:tr>
      <w:tr w:rsidR="00223A02" w:rsidRPr="00A43961" w14:paraId="7612AF16" w14:textId="77777777" w:rsidTr="00460C69">
        <w:trPr>
          <w:cantSplit/>
          <w:trHeight w:val="20"/>
        </w:trPr>
        <w:tc>
          <w:tcPr>
            <w:tcW w:w="4110" w:type="dxa"/>
            <w:shd w:val="clear" w:color="auto" w:fill="auto"/>
            <w:tcMar>
              <w:bottom w:w="240" w:type="dxa"/>
            </w:tcMar>
          </w:tcPr>
          <w:p w14:paraId="1530394B" w14:textId="77777777" w:rsidR="00223A02" w:rsidRPr="00A43961" w:rsidRDefault="00223A02" w:rsidP="00460C69">
            <w:pPr>
              <w:pStyle w:val="SlimCell"/>
            </w:pPr>
          </w:p>
        </w:tc>
      </w:tr>
    </w:tbl>
    <w:p w14:paraId="45D3CBB7" w14:textId="77777777" w:rsidR="00223A02" w:rsidRPr="00A43961" w:rsidRDefault="00223A02" w:rsidP="00460C69">
      <w:pPr>
        <w:pageBreakBefore/>
      </w:pPr>
      <w:r w:rsidRPr="00A43961">
        <w:lastRenderedPageBreak/>
        <w:t xml:space="preserve">Graph </w:t>
      </w:r>
      <w:r w:rsidRPr="00A43961">
        <w:fldChar w:fldCharType="begin"/>
      </w:r>
      <w:r w:rsidRPr="00A43961">
        <w:instrText xml:space="preserve"> QUOTE "II.4.4"</w:instrText>
      </w:r>
      <w:r w:rsidRPr="00A43961">
        <w:fldChar w:fldCharType="begin">
          <w:fldData xml:space="preserve">QwBSAE8AUwBTAFIARQBGAEUAUgBFAE4AQwBFACoARwBSAEEAUABIACoANQBiADEAMQA5AGIANgA3
AC0ANQAyADYAYwAtADQAMwBlADAALQBhAGYAYwA4AC0ANwA5ADYAMQBkAGYAZABkAGUAMgBmAGMA
</w:fldData>
        </w:fldChar>
      </w:r>
      <w:r w:rsidRPr="00A43961">
        <w:instrText xml:space="preserve"> ADDIN </w:instrText>
      </w:r>
      <w:r w:rsidRPr="00A43961">
        <w:fldChar w:fldCharType="end"/>
      </w:r>
      <w:r w:rsidRPr="00A43961">
        <w:instrText xml:space="preserve"> </w:instrText>
      </w:r>
      <w:r w:rsidRPr="00A43961">
        <w:fldChar w:fldCharType="separate"/>
      </w:r>
      <w:r w:rsidR="009F3ED8" w:rsidRPr="00A43961">
        <w:t>II.4.4</w:t>
      </w:r>
      <w:r w:rsidRPr="00A43961">
        <w:fldChar w:fldCharType="end"/>
      </w:r>
      <w:r w:rsidRPr="00A43961">
        <w:t xml:space="preserve"> shows the projected changes in expenditure to GDP ratios between 2016 and 2070 by country, total expenditure, and ISCED level in the baseline scenario. </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A43961" w14:paraId="15C4096F" w14:textId="77777777" w:rsidTr="00460C69">
        <w:trPr>
          <w:cantSplit/>
        </w:trPr>
        <w:tc>
          <w:tcPr>
            <w:tcW w:w="4110" w:type="dxa"/>
            <w:shd w:val="clear" w:color="auto" w:fill="auto"/>
          </w:tcPr>
          <w:p w14:paraId="693AF489" w14:textId="77777777" w:rsidR="00223A02" w:rsidRPr="00A43961" w:rsidRDefault="00223A02" w:rsidP="00460C69">
            <w:pPr>
              <w:pStyle w:val="GraphTitle"/>
              <w:rPr>
                <w:b/>
              </w:rPr>
            </w:pPr>
            <w:r w:rsidRPr="00A43961">
              <w:t>Graph II.4.4:</w:t>
            </w:r>
            <w:r w:rsidRPr="00A43961">
              <w:rPr>
                <w:b/>
              </w:rPr>
              <w:tab/>
              <w:t>Changes in government expenditure by ISCED level between 2016 and 2070</w:t>
            </w:r>
          </w:p>
        </w:tc>
      </w:tr>
      <w:tr w:rsidR="00223A02" w:rsidRPr="00A43961" w14:paraId="584C38C8" w14:textId="77777777" w:rsidTr="00460C69">
        <w:trPr>
          <w:cantSplit/>
        </w:trPr>
        <w:tc>
          <w:tcPr>
            <w:tcW w:w="4110" w:type="dxa"/>
            <w:shd w:val="clear" w:color="auto" w:fill="auto"/>
          </w:tcPr>
          <w:p w14:paraId="1CAA9CC0" w14:textId="77777777" w:rsidR="00223A02" w:rsidRPr="00A43961" w:rsidRDefault="00223A02" w:rsidP="00460C69">
            <w:pPr>
              <w:pStyle w:val="GraphShape"/>
              <w:rPr>
                <w:sz w:val="2"/>
              </w:rPr>
            </w:pPr>
            <w:r w:rsidRPr="00A43961">
              <w:fldChar w:fldCharType="begin"/>
            </w:r>
            <w:r w:rsidRPr="009F3ED8">
              <w:instrText xml:space="preserve"> TC "</w:instrText>
            </w:r>
            <w:bookmarkStart w:id="254" w:name="_Toc511664706"/>
            <w:r w:rsidRPr="009F3ED8">
              <w:instrText>II.4.4.</w:instrText>
            </w:r>
            <w:r w:rsidRPr="009F3ED8">
              <w:tab/>
              <w:instrText>Changes in government expenditure by ISCED level between 2016 and 2070</w:instrText>
            </w:r>
            <w:bookmarkEnd w:id="254"/>
            <w:r w:rsidRPr="009F3ED8">
              <w:instrText xml:space="preserve">" \fgraph \l 5 </w:instrText>
            </w:r>
            <w:r w:rsidRPr="00A43961">
              <w:fldChar w:fldCharType="end"/>
            </w:r>
            <w:r w:rsidRPr="00A43961">
              <w:rPr>
                <w:noProof/>
                <w:sz w:val="2"/>
                <w:lang w:val="hr-HR" w:eastAsia="hr-HR"/>
              </w:rPr>
              <w:drawing>
                <wp:inline distT="0" distB="0" distL="0" distR="0" wp14:anchorId="08C65CD7" wp14:editId="3CE46BF6">
                  <wp:extent cx="2597595" cy="1570845"/>
                  <wp:effectExtent l="0" t="0" r="0" b="0"/>
                  <wp:docPr id="47" name="Picture 47" descr="&lt;nbr&gt;&lt;GETTEXTFROMWORD&gt;&lt;/nbr&gt;&#10;&lt;title&gt;&lt;GETTEXTFROMWORD&gt;&lt;/title&gt;&#10;&lt;id&gt;5b119b67-526c-43e0-afc8-7961dfdde2fc&lt;/id&gt;&#10;&lt;srcType&gt;EXCEL&lt;/srcType&gt;&#10;&lt;srcPath&gt;U:\Budgetary projections 2018\Reports\2018 AR\Tables_and_graphs\Part II  Chapter 4\&lt;/srcPath&gt;&#10;&lt;srcName&gt;Graph II.4.4.xlsx&lt;/srcName&gt;&#10;&lt;type&gt;graph&lt;/type&gt;&#10; &lt;srcSheet&gt;Graph&lt;/srcSheet&gt;&#10; &lt;srcChartTitle&gt;Chart 5&lt;/srcChartTitl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08T14:53:43&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597595" cy="1570845"/>
                          </a:xfrm>
                          <a:prstGeom prst="rect">
                            <a:avLst/>
                          </a:prstGeom>
                          <a:noFill/>
                          <a:ln>
                            <a:noFill/>
                          </a:ln>
                        </pic:spPr>
                      </pic:pic>
                    </a:graphicData>
                  </a:graphic>
                </wp:inline>
              </w:drawing>
            </w:r>
          </w:p>
        </w:tc>
      </w:tr>
      <w:tr w:rsidR="00223A02" w:rsidRPr="00A43961" w14:paraId="37298EE0" w14:textId="77777777" w:rsidTr="00460C69">
        <w:trPr>
          <w:cantSplit/>
        </w:trPr>
        <w:tc>
          <w:tcPr>
            <w:tcW w:w="4110" w:type="dxa"/>
            <w:shd w:val="clear" w:color="auto" w:fill="auto"/>
            <w:tcMar>
              <w:bottom w:w="240" w:type="dxa"/>
            </w:tcMar>
          </w:tcPr>
          <w:p w14:paraId="7F2B31FC" w14:textId="77777777" w:rsidR="00223A02" w:rsidRPr="00A43961" w:rsidRDefault="00223A02" w:rsidP="00460C69">
            <w:pPr>
              <w:pStyle w:val="GraphSource"/>
              <w:keepNext/>
            </w:pPr>
            <w:r w:rsidRPr="00A43961">
              <w:rPr>
                <w:b/>
                <w:i/>
              </w:rPr>
              <w:t>Source:</w:t>
            </w:r>
            <w:r w:rsidRPr="00A43961">
              <w:t xml:space="preserve"> Commission services, EPC.</w:t>
            </w:r>
          </w:p>
        </w:tc>
      </w:tr>
    </w:tbl>
    <w:p w14:paraId="505B0ACE" w14:textId="77777777" w:rsidR="00223A02" w:rsidRPr="00A43961" w:rsidRDefault="00223A02" w:rsidP="00460C69">
      <w:r w:rsidRPr="00A43961">
        <w:t>In those countries for which a reduction in total expenditure between 2016 and 2070 is projected, it is common that primary and secondary education (ISCED levels 1 to 4) contribute the most to the projected fall in total expenditure. At the same time, in Member States where total education expenditure is projected to rise between 2016 and 2070, tertiary education tends to dampen the overall increase in expenditure.</w:t>
      </w:r>
    </w:p>
    <w:p w14:paraId="4FBA5C19" w14:textId="77777777" w:rsidR="00223A02" w:rsidRPr="00A43961" w:rsidRDefault="00223A02" w:rsidP="00460C69">
      <w:r w:rsidRPr="00A43961">
        <w:br w:type="column"/>
      </w:r>
    </w:p>
    <w:p w14:paraId="3B6C0E10" w14:textId="77777777" w:rsidR="00223A02" w:rsidRPr="00A43961" w:rsidRDefault="00223A02" w:rsidP="00460C69">
      <w:pPr>
        <w:pStyle w:val="NumberedHeading2"/>
        <w:tabs>
          <w:tab w:val="left" w:pos="567"/>
        </w:tabs>
      </w:pPr>
      <w:r w:rsidRPr="00A43961">
        <w:t>4.3.2.</w:t>
      </w:r>
      <w:r w:rsidRPr="00A43961">
        <w:tab/>
        <w:t>Drivers of education expenditure</w:t>
      </w:r>
    </w:p>
    <w:p w14:paraId="3B6453A1" w14:textId="77777777" w:rsidR="00223A02" w:rsidRPr="00A43961" w:rsidRDefault="00223A02" w:rsidP="00460C69">
      <w:r w:rsidRPr="00A43961">
        <w:t xml:space="preserve">Table </w:t>
      </w:r>
      <w:r w:rsidRPr="00A43961">
        <w:fldChar w:fldCharType="begin"/>
      </w:r>
      <w:r w:rsidRPr="00A43961">
        <w:instrText xml:space="preserve"> QUOTE "II.4.2"</w:instrText>
      </w:r>
      <w:r w:rsidRPr="00A43961">
        <w:fldChar w:fldCharType="begin">
          <w:fldData xml:space="preserve">QwBSAE8AUwBTAFIARQBGAEUAUgBFAE4AQwBFACoAVABBAEIATABFACoAYwBiAGUAYQBhADcAMwBh
AC0ANwBkADQAZAAtADQAOQBhADMALQA5ADAAYgAxAC0AOQAxADEAYQAyADQAMAAyADEAMQA0AGUA
</w:fldData>
        </w:fldChar>
      </w:r>
      <w:r w:rsidRPr="00A43961">
        <w:instrText xml:space="preserve"> ADDIN </w:instrText>
      </w:r>
      <w:r w:rsidRPr="00A43961">
        <w:fldChar w:fldCharType="end"/>
      </w:r>
      <w:r w:rsidRPr="00A43961">
        <w:instrText xml:space="preserve"> </w:instrText>
      </w:r>
      <w:r w:rsidRPr="00A43961">
        <w:fldChar w:fldCharType="separate"/>
      </w:r>
      <w:r w:rsidR="009F3ED8" w:rsidRPr="00A43961">
        <w:t>II.4.2</w:t>
      </w:r>
      <w:r w:rsidRPr="00A43961">
        <w:fldChar w:fldCharType="end"/>
      </w:r>
      <w:r w:rsidRPr="00A43961">
        <w:t xml:space="preserve"> illustrates a breakdown, according to students and employment effects, for the changes in the GDP ratio of public expenditure on education between 2016 and 2070.</w:t>
      </w:r>
    </w:p>
    <w:p w14:paraId="12E91CD6" w14:textId="77777777" w:rsidR="00223A02" w:rsidRPr="00A43961" w:rsidRDefault="00223A02" w:rsidP="00460C69">
      <w:r w:rsidRPr="00A43961">
        <w:t>In line with the underlying assumptions, the idea is to show the impact of a change in the number of students and of the number of employed (in the economy) on the evolution of the expenditure-to-GDP ratio.</w:t>
      </w:r>
    </w:p>
    <w:p w14:paraId="1403ECF3" w14:textId="77777777" w:rsidR="00223A02" w:rsidRPr="00A43961" w:rsidRDefault="00223A02" w:rsidP="00460C69">
      <w:r w:rsidRPr="00A43961">
        <w:br w:type="column"/>
      </w:r>
      <w:r w:rsidRPr="00A43961">
        <w:lastRenderedPageBreak/>
        <w:fldChar w:fldCharType="begin"/>
      </w:r>
      <w:r w:rsidRPr="009F3ED8">
        <w:instrText xml:space="preserve"> TC "</w:instrText>
      </w:r>
      <w:bookmarkStart w:id="255" w:name="_Toc511664581"/>
      <w:r w:rsidRPr="009F3ED8">
        <w:instrText>II.4.2.</w:instrText>
      </w:r>
      <w:r w:rsidRPr="009F3ED8">
        <w:tab/>
        <w:instrText>Breakdown of total variation in expenditure between 2016 and 2070 - Baseline scenario</w:instrText>
      </w:r>
      <w:bookmarkEnd w:id="255"/>
      <w:r w:rsidRPr="009F3ED8">
        <w:instrText xml:space="preserve">" \ftable \l 5 </w:instrText>
      </w:r>
      <w:r w:rsidRPr="00A43961">
        <w:fldChar w:fldCharType="end"/>
      </w:r>
      <w:r w:rsidRPr="00A43961">
        <w:t>The countries with the largest expected reduction appear to be Cyprus, Greece and Denmark, respectively. Results for Cyprus are in line with the intuition of our model. A decrease in the number of students, counterbalanced by an increase of people in employment, turns out in lower education expenditure levels.</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223A02" w:rsidRPr="00A43961" w14:paraId="791DB612" w14:textId="77777777" w:rsidTr="00460C69">
        <w:trPr>
          <w:cantSplit/>
          <w:trHeight w:val="20"/>
        </w:trPr>
        <w:tc>
          <w:tcPr>
            <w:tcW w:w="8505" w:type="dxa"/>
            <w:shd w:val="clear" w:color="auto" w:fill="auto"/>
          </w:tcPr>
          <w:p w14:paraId="75A5EA62" w14:textId="77777777" w:rsidR="00223A02" w:rsidRPr="00A43961" w:rsidRDefault="00223A02" w:rsidP="00460C69">
            <w:pPr>
              <w:pStyle w:val="SlimCell"/>
              <w:keepNext/>
            </w:pPr>
          </w:p>
        </w:tc>
      </w:tr>
      <w:tr w:rsidR="00223A02" w:rsidRPr="00A43961" w14:paraId="16C9D176" w14:textId="77777777" w:rsidTr="00460C69">
        <w:trPr>
          <w:cantSplit/>
        </w:trPr>
        <w:tc>
          <w:tcPr>
            <w:tcW w:w="8505" w:type="dxa"/>
            <w:shd w:val="clear" w:color="auto" w:fill="auto"/>
          </w:tcPr>
          <w:p w14:paraId="03DED624" w14:textId="77777777" w:rsidR="00223A02" w:rsidRPr="00A43961" w:rsidRDefault="00223A02" w:rsidP="00460C69">
            <w:pPr>
              <w:pStyle w:val="TableTitle"/>
              <w:rPr>
                <w:b/>
              </w:rPr>
            </w:pPr>
            <w:r w:rsidRPr="00A43961">
              <w:t>Table II.4.2:</w:t>
            </w:r>
            <w:r w:rsidRPr="00A43961">
              <w:rPr>
                <w:b/>
              </w:rPr>
              <w:tab/>
              <w:t>Breakdown of total variation in expenditure between 2016 and 2070 - Baseline scenario</w:t>
            </w:r>
          </w:p>
        </w:tc>
      </w:tr>
      <w:tr w:rsidR="00223A02" w:rsidRPr="00A43961" w14:paraId="4CF2B7CD" w14:textId="77777777" w:rsidTr="00460C69">
        <w:trPr>
          <w:cantSplit/>
        </w:trPr>
        <w:tc>
          <w:tcPr>
            <w:tcW w:w="8505" w:type="dxa"/>
            <w:shd w:val="clear" w:color="auto" w:fill="auto"/>
          </w:tcPr>
          <w:p w14:paraId="5775600D" w14:textId="77777777" w:rsidR="00223A02" w:rsidRPr="00A43961" w:rsidRDefault="00223A02" w:rsidP="00460C69">
            <w:pPr>
              <w:pStyle w:val="TableShape"/>
              <w:rPr>
                <w:sz w:val="2"/>
              </w:rPr>
            </w:pPr>
            <w:r w:rsidRPr="00A43961">
              <w:rPr>
                <w:noProof/>
                <w:sz w:val="2"/>
                <w:lang w:val="hr-HR" w:eastAsia="hr-HR"/>
              </w:rPr>
              <w:drawing>
                <wp:inline distT="0" distB="0" distL="0" distR="0" wp14:anchorId="220E9DA0" wp14:editId="25C1D420">
                  <wp:extent cx="5400929" cy="4174109"/>
                  <wp:effectExtent l="0" t="0" r="0" b="0"/>
                  <wp:docPr id="1043" name="Picture 1043" descr="&lt;nbr&gt;&lt;GETTEXTFROMWORD&gt;&lt;/nbr&gt;&#10;&lt;title&gt;&lt;GETTEXTFROMWORD&gt;&lt;/title&gt;&#10;&lt;id&gt;cbeaa73a-7d4d-49a3-90b1-911a2402114e&lt;/id&gt;&#10;&lt;srcType&gt;EXCEL&lt;/srcType&gt;&#10;&lt;srcPath&gt;U:\Budgetary projections 2018\Reports\2018 AR\Tables_and_graphs\Part II  Chapter 4\&lt;/srcPath&gt;&#10;&lt;srcName&gt;Tables II.4.1-II.4.5.xlsx&lt;/srcName&gt;&#10;&lt;type&gt;table&lt;/type&gt;&#10; &lt;srcSheet&gt;Table II.4.2&lt;/srcSheet&gt;&#10; &lt;srcRange&gt;R2C2:R36C10&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3-08T17:26:4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5400929" cy="4174109"/>
                          </a:xfrm>
                          <a:prstGeom prst="rect">
                            <a:avLst/>
                          </a:prstGeom>
                          <a:noFill/>
                          <a:ln>
                            <a:noFill/>
                          </a:ln>
                        </pic:spPr>
                      </pic:pic>
                    </a:graphicData>
                  </a:graphic>
                </wp:inline>
              </w:drawing>
            </w:r>
          </w:p>
        </w:tc>
      </w:tr>
      <w:tr w:rsidR="00223A02" w:rsidRPr="00A43961" w14:paraId="572218D4" w14:textId="77777777" w:rsidTr="00460C69">
        <w:trPr>
          <w:cantSplit/>
        </w:trPr>
        <w:tc>
          <w:tcPr>
            <w:tcW w:w="8505" w:type="dxa"/>
            <w:shd w:val="clear" w:color="auto" w:fill="auto"/>
          </w:tcPr>
          <w:p w14:paraId="16820E97" w14:textId="77777777" w:rsidR="00223A02" w:rsidRDefault="00223A02" w:rsidP="00460C69">
            <w:pPr>
              <w:pStyle w:val="TableFootnote"/>
            </w:pPr>
            <w:r>
              <w:t>(1) Students and Employment effects are computed as growth rates, between 2016 and 2070, of the number of students and employed, respectively (and weighted by the expenditure-to-GDP ratio in 2016).</w:t>
            </w:r>
            <w:r>
              <w:br/>
              <w:t xml:space="preserve">(2) EA and EU aggregates are computed as simple averages. </w:t>
            </w:r>
          </w:p>
          <w:p w14:paraId="1676658A" w14:textId="77777777" w:rsidR="00223A02" w:rsidRPr="00A43961" w:rsidRDefault="00223A02" w:rsidP="00460C69">
            <w:pPr>
              <w:pStyle w:val="TableSource"/>
            </w:pPr>
            <w:r w:rsidRPr="00A43961">
              <w:rPr>
                <w:b/>
                <w:i/>
              </w:rPr>
              <w:t>Source:</w:t>
            </w:r>
            <w:r w:rsidRPr="00A43961">
              <w:t xml:space="preserve">  Commission services, EPC.</w:t>
            </w:r>
          </w:p>
        </w:tc>
      </w:tr>
      <w:tr w:rsidR="00223A02" w:rsidRPr="00A43961" w14:paraId="168AAA49" w14:textId="77777777" w:rsidTr="00460C69">
        <w:trPr>
          <w:cantSplit/>
          <w:trHeight w:val="20"/>
        </w:trPr>
        <w:tc>
          <w:tcPr>
            <w:tcW w:w="8505" w:type="dxa"/>
            <w:shd w:val="clear" w:color="auto" w:fill="auto"/>
          </w:tcPr>
          <w:p w14:paraId="521F519C" w14:textId="77777777" w:rsidR="00223A02" w:rsidRPr="00A43961" w:rsidRDefault="00223A02" w:rsidP="00460C69">
            <w:pPr>
              <w:pStyle w:val="SlimCell"/>
            </w:pPr>
          </w:p>
        </w:tc>
      </w:tr>
    </w:tbl>
    <w:p w14:paraId="60B3797A" w14:textId="77777777" w:rsidR="00223A02" w:rsidRPr="00A43961" w:rsidRDefault="00223A02" w:rsidP="00460C69"/>
    <w:p w14:paraId="604817AF" w14:textId="77777777" w:rsidR="00223A02" w:rsidRPr="00A43961" w:rsidRDefault="00223A02" w:rsidP="00460C69">
      <w:r w:rsidRPr="00A43961">
        <w:br w:type="column"/>
        <w:t xml:space="preserve">In Greece, the drop in the expenditure ratio is related to a noticeable decline in enrolled students and of people entering the workforce (see Table </w:t>
      </w:r>
      <w:r w:rsidRPr="00A43961">
        <w:fldChar w:fldCharType="begin"/>
      </w:r>
      <w:r w:rsidRPr="00A43961">
        <w:instrText xml:space="preserve"> QUOTE "II.4.2"</w:instrText>
      </w:r>
      <w:r w:rsidRPr="00A43961">
        <w:fldChar w:fldCharType="begin">
          <w:fldData xml:space="preserve">QwBSAE8AUwBTAFIARQBGAEUAUgBFAE4AQwBFACoAVABBAEIATABFACoAYwBiAGUAYQBhADcAMwBh
AC0ANwBkADQAZAAtADQAOQBhADMALQA5ADAAYgAxAC0AOQAxADEAYQAyADQAMAAyADEAMQA0AGUA
</w:fldData>
        </w:fldChar>
      </w:r>
      <w:r w:rsidRPr="00A43961">
        <w:instrText xml:space="preserve"> ADDIN </w:instrText>
      </w:r>
      <w:r w:rsidRPr="00A43961">
        <w:fldChar w:fldCharType="end"/>
      </w:r>
      <w:r w:rsidRPr="00A43961">
        <w:instrText xml:space="preserve"> </w:instrText>
      </w:r>
      <w:r w:rsidRPr="00A43961">
        <w:fldChar w:fldCharType="separate"/>
      </w:r>
      <w:r w:rsidR="009F3ED8" w:rsidRPr="00A43961">
        <w:t>II.4.2</w:t>
      </w:r>
      <w:r w:rsidRPr="00A43961">
        <w:fldChar w:fldCharType="end"/>
      </w:r>
      <w:r w:rsidRPr="00A43961">
        <w:t>. On the contrary, Denmark's lower expenditure is explained by a significant expected increase in employment levels (about 12.5%), which outweighs the rise in the number of students.</w:t>
      </w:r>
    </w:p>
    <w:p w14:paraId="48C170A9" w14:textId="77777777" w:rsidR="00223A02" w:rsidRPr="00A43961" w:rsidRDefault="00223A02" w:rsidP="00460C69"/>
    <w:p w14:paraId="400BE64D" w14:textId="77777777" w:rsidR="00223A02" w:rsidRPr="00A43961" w:rsidRDefault="00223A02" w:rsidP="00460C69">
      <w:r w:rsidRPr="00A43961">
        <w:br w:type="column"/>
      </w:r>
      <w:r w:rsidRPr="00A43961">
        <w:lastRenderedPageBreak/>
        <w:fldChar w:fldCharType="begin"/>
      </w:r>
      <w:r w:rsidRPr="009F3ED8">
        <w:instrText xml:space="preserve"> TC "</w:instrText>
      </w:r>
      <w:bookmarkStart w:id="256" w:name="_Toc511664582"/>
      <w:r w:rsidRPr="009F3ED8">
        <w:instrText>II.4.3.</w:instrText>
      </w:r>
      <w:r w:rsidRPr="009F3ED8">
        <w:tab/>
        <w:instrText>Breakdown of revisions in expenditure-to-GDP ratio (2018 AR round minus 2015 AR round) - Values for the Baseline scenario in 2060</w:instrText>
      </w:r>
      <w:bookmarkEnd w:id="256"/>
      <w:r w:rsidRPr="009F3ED8">
        <w:instrText xml:space="preserve">" \ftable \l 5 </w:instrText>
      </w:r>
      <w:r w:rsidRPr="00A43961">
        <w:fldChar w:fldCharType="end"/>
      </w:r>
      <w:r w:rsidRPr="00A43961">
        <w:t xml:space="preserve">In addition, we can see that the countries showing the highest increase in expenditure appear to be Czech Republic, immediately followed by Bulgaria and Slovenia. In the first two cases, a decline in the number of students (which would justify a decrease in expenditure) is offset by a large reduction in the amount of employed. In Slovenia, a decrease in the number of employed, an almost unchanged amount of students engenders higher education costs. </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223A02" w:rsidRPr="00A43961" w14:paraId="3C8699C1" w14:textId="77777777" w:rsidTr="00460C69">
        <w:trPr>
          <w:cantSplit/>
          <w:trHeight w:val="20"/>
        </w:trPr>
        <w:tc>
          <w:tcPr>
            <w:tcW w:w="8505" w:type="dxa"/>
            <w:shd w:val="clear" w:color="auto" w:fill="auto"/>
          </w:tcPr>
          <w:p w14:paraId="238EE8D3" w14:textId="77777777" w:rsidR="00223A02" w:rsidRPr="00A43961" w:rsidRDefault="00223A02" w:rsidP="00460C69">
            <w:pPr>
              <w:pStyle w:val="SlimCell"/>
              <w:keepNext/>
            </w:pPr>
          </w:p>
        </w:tc>
      </w:tr>
      <w:tr w:rsidR="00223A02" w:rsidRPr="00A43961" w14:paraId="378CDC55" w14:textId="77777777" w:rsidTr="00460C69">
        <w:trPr>
          <w:cantSplit/>
        </w:trPr>
        <w:tc>
          <w:tcPr>
            <w:tcW w:w="8505" w:type="dxa"/>
            <w:shd w:val="clear" w:color="auto" w:fill="auto"/>
          </w:tcPr>
          <w:p w14:paraId="12C5564F" w14:textId="77777777" w:rsidR="00223A02" w:rsidRPr="00A43961" w:rsidRDefault="00223A02" w:rsidP="00460C69">
            <w:pPr>
              <w:pStyle w:val="TableTitle"/>
              <w:rPr>
                <w:b/>
              </w:rPr>
            </w:pPr>
            <w:r w:rsidRPr="00A43961">
              <w:t>Table II.4.3:</w:t>
            </w:r>
            <w:r w:rsidRPr="00A43961">
              <w:rPr>
                <w:b/>
              </w:rPr>
              <w:tab/>
              <w:t>Breakdown of revisions in expenditure-to-GDP ratio (2018 AR round minus 2015 AR round) - Values for the Baseline scenario in 2060</w:t>
            </w:r>
          </w:p>
        </w:tc>
      </w:tr>
      <w:tr w:rsidR="00223A02" w:rsidRPr="00A43961" w14:paraId="7DB735CA" w14:textId="77777777" w:rsidTr="00460C69">
        <w:trPr>
          <w:cantSplit/>
        </w:trPr>
        <w:tc>
          <w:tcPr>
            <w:tcW w:w="8505" w:type="dxa"/>
            <w:shd w:val="clear" w:color="auto" w:fill="auto"/>
          </w:tcPr>
          <w:p w14:paraId="31ED753B" w14:textId="77777777" w:rsidR="00223A02" w:rsidRPr="00A43961" w:rsidRDefault="00223A02" w:rsidP="00460C69">
            <w:pPr>
              <w:pStyle w:val="TableShape"/>
              <w:rPr>
                <w:sz w:val="2"/>
              </w:rPr>
            </w:pPr>
            <w:r w:rsidRPr="00A43961">
              <w:rPr>
                <w:noProof/>
                <w:sz w:val="2"/>
                <w:lang w:val="hr-HR" w:eastAsia="hr-HR"/>
              </w:rPr>
              <w:drawing>
                <wp:inline distT="0" distB="0" distL="0" distR="0" wp14:anchorId="17F390AA" wp14:editId="760196B5">
                  <wp:extent cx="5400929" cy="4384201"/>
                  <wp:effectExtent l="0" t="0" r="9525" b="0"/>
                  <wp:docPr id="1044" name="Picture 1044" descr="&lt;nbr&gt;&lt;GETTEXTFROMWORD&gt;&lt;/nbr&gt;&#10;&lt;title&gt;&lt;GETTEXTFROMWORD&gt;&lt;/title&gt;&#10;&lt;id&gt;5c03c883-3a72-4ba1-b3da-6c40e0d7590d&lt;/id&gt;&#10;&lt;srcType&gt;EXCEL&lt;/srcType&gt;&#10;&lt;srcPath&gt;U:\Budgetary projections 2018\Reports\2018 AR\Tables_and_graphs\Part II  Chapter 4\&lt;/srcPath&gt;&#10;&lt;srcName&gt;Tables II.4.1-II.4.5.xlsx&lt;/srcName&gt;&#10;&lt;type&gt;table&lt;/type&gt;&#10; &lt;srcSheet&gt;Table II.4.3&lt;/srcSheet&gt;&#10; &lt;srcRange&gt;R2C2:R37C12&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3-08T17:26:4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400929" cy="4384201"/>
                          </a:xfrm>
                          <a:prstGeom prst="rect">
                            <a:avLst/>
                          </a:prstGeom>
                          <a:noFill/>
                          <a:ln>
                            <a:noFill/>
                          </a:ln>
                        </pic:spPr>
                      </pic:pic>
                    </a:graphicData>
                  </a:graphic>
                </wp:inline>
              </w:drawing>
            </w:r>
          </w:p>
        </w:tc>
      </w:tr>
      <w:tr w:rsidR="00223A02" w:rsidRPr="00A43961" w14:paraId="3CBF8072" w14:textId="77777777" w:rsidTr="00460C69">
        <w:trPr>
          <w:cantSplit/>
        </w:trPr>
        <w:tc>
          <w:tcPr>
            <w:tcW w:w="8505" w:type="dxa"/>
            <w:shd w:val="clear" w:color="auto" w:fill="auto"/>
          </w:tcPr>
          <w:p w14:paraId="78979305" w14:textId="77777777" w:rsidR="00223A02" w:rsidRDefault="00223A02" w:rsidP="00460C69">
            <w:pPr>
              <w:pStyle w:val="TableFootnote"/>
            </w:pPr>
            <w:r>
              <w:t xml:space="preserve">(1) Base is the difference, between the 2018 AR and 2015 AR, of the total expenditure-to-GDP ratio in year 2016. </w:t>
            </w:r>
            <w:r>
              <w:br/>
              <w:t>Students (Employment) Index is given by the ratio of the number of students (employed) at time t and in the base period 0.</w:t>
            </w:r>
            <w:r>
              <w:br/>
              <w:t xml:space="preserve">(2) EA and EU aggregates are computed as simple averages. </w:t>
            </w:r>
          </w:p>
          <w:p w14:paraId="69F024C5" w14:textId="77777777" w:rsidR="00223A02" w:rsidRPr="00A43961" w:rsidRDefault="00223A02" w:rsidP="00460C69">
            <w:pPr>
              <w:pStyle w:val="TableSource"/>
            </w:pPr>
            <w:r w:rsidRPr="00A43961">
              <w:rPr>
                <w:b/>
                <w:i/>
              </w:rPr>
              <w:t>Source:</w:t>
            </w:r>
            <w:r w:rsidRPr="00A43961">
              <w:t xml:space="preserve">  Commission services, EPC.</w:t>
            </w:r>
          </w:p>
        </w:tc>
      </w:tr>
      <w:tr w:rsidR="00223A02" w:rsidRPr="00A43961" w14:paraId="76CDEA81" w14:textId="77777777" w:rsidTr="00460C69">
        <w:trPr>
          <w:cantSplit/>
          <w:trHeight w:val="20"/>
        </w:trPr>
        <w:tc>
          <w:tcPr>
            <w:tcW w:w="8505" w:type="dxa"/>
            <w:shd w:val="clear" w:color="auto" w:fill="auto"/>
          </w:tcPr>
          <w:p w14:paraId="19AF57F4" w14:textId="77777777" w:rsidR="00223A02" w:rsidRPr="00A43961" w:rsidRDefault="00223A02" w:rsidP="00460C69">
            <w:pPr>
              <w:pStyle w:val="SlimCell"/>
            </w:pPr>
          </w:p>
        </w:tc>
      </w:tr>
    </w:tbl>
    <w:p w14:paraId="54AA3FE9" w14:textId="77777777" w:rsidR="00223A02" w:rsidRPr="00A43961" w:rsidRDefault="00223A02" w:rsidP="00460C69"/>
    <w:p w14:paraId="2262C0F6" w14:textId="77777777" w:rsidR="00223A02" w:rsidRPr="00A43961" w:rsidRDefault="00223A02" w:rsidP="00460C69">
      <w:r w:rsidRPr="00A43961">
        <w:br w:type="column"/>
        <w:t xml:space="preserve">To complement the above discussion, Table </w:t>
      </w:r>
      <w:r w:rsidRPr="00A43961">
        <w:fldChar w:fldCharType="begin"/>
      </w:r>
      <w:r w:rsidRPr="00A43961">
        <w:instrText xml:space="preserve"> QUOTE "II.4.3"</w:instrText>
      </w:r>
      <w:r w:rsidRPr="00A43961">
        <w:fldChar w:fldCharType="begin">
          <w:fldData xml:space="preserve">QwBSAE8AUwBTAFIARQBGAEUAUgBFAE4AQwBFACoAVABBAEIATABFACoANQBjADAAMwBjADgAOAAz
AC0AMwBhADcAMgAtADQAYgBhADEALQBiADMAZABhAC0ANgBjADQAMABlADAAZAA3ADUAOQAwAGQA
</w:fldData>
        </w:fldChar>
      </w:r>
      <w:r w:rsidRPr="00A43961">
        <w:instrText xml:space="preserve"> ADDIN </w:instrText>
      </w:r>
      <w:r w:rsidRPr="00A43961">
        <w:fldChar w:fldCharType="end"/>
      </w:r>
      <w:r w:rsidRPr="00A43961">
        <w:instrText xml:space="preserve"> </w:instrText>
      </w:r>
      <w:r w:rsidRPr="00A43961">
        <w:fldChar w:fldCharType="separate"/>
      </w:r>
      <w:r w:rsidR="009F3ED8" w:rsidRPr="00A43961">
        <w:t>II.4.3</w:t>
      </w:r>
      <w:r w:rsidRPr="00A43961">
        <w:fldChar w:fldCharType="end"/>
      </w:r>
      <w:r w:rsidRPr="00A43961">
        <w:t xml:space="preserve"> compares the evolution of public expenditure on education between the 2015 and 2018 Ageing Report projection exercises (</w:t>
      </w:r>
      <w:r w:rsidRPr="00A43961">
        <w:rPr>
          <w:rStyle w:val="Referencafusnote"/>
        </w:rPr>
        <w:footnoteReference w:id="129"/>
      </w:r>
      <w:r w:rsidRPr="00A43961">
        <w:t xml:space="preserve">). </w:t>
      </w:r>
    </w:p>
    <w:p w14:paraId="419165C0" w14:textId="77777777" w:rsidR="00223A02" w:rsidRPr="00A43961" w:rsidRDefault="00223A02" w:rsidP="00460C69">
      <w:r w:rsidRPr="00A43961">
        <w:t>The idea is to provide a breakdown of AR revisions according to the following formula (</w:t>
      </w:r>
      <w:r w:rsidRPr="00A43961">
        <w:rPr>
          <w:rStyle w:val="Referencafusnote"/>
        </w:rPr>
        <w:footnoteReference w:id="130"/>
      </w:r>
      <w:r w:rsidRPr="00A43961">
        <w:t xml:space="preserve">): </w:t>
      </w:r>
    </w:p>
    <w:p w14:paraId="01F93C10" w14:textId="77777777" w:rsidR="00223A02" w:rsidRPr="00A43961" w:rsidRDefault="002F4485" w:rsidP="00460C69">
      <m:oMath>
        <m:f>
          <m:fPr>
            <m:ctrlPr>
              <w:rPr>
                <w:rFonts w:ascii="Cambria Math" w:hAnsi="Cambria Math"/>
                <w:i/>
                <w:color w:val="auto"/>
                <w:sz w:val="24"/>
                <w:lang w:val="pt-PT" w:eastAsia="en-GB"/>
              </w:rPr>
            </m:ctrlPr>
          </m:fPr>
          <m:num>
            <m:f>
              <m:fPr>
                <m:ctrlPr>
                  <w:rPr>
                    <w:rFonts w:ascii="Cambria Math" w:hAnsi="Cambria Math"/>
                    <w:i/>
                    <w:color w:val="auto"/>
                    <w:sz w:val="24"/>
                    <w:lang w:val="pt-PT" w:eastAsia="en-GB"/>
                  </w:rPr>
                </m:ctrlPr>
              </m:fPr>
              <m:num>
                <m:sSubSup>
                  <m:sSubSupPr>
                    <m:ctrlPr>
                      <w:rPr>
                        <w:rFonts w:ascii="Cambria Math" w:hAnsi="Cambria Math"/>
                        <w:i/>
                        <w:color w:val="auto"/>
                        <w:sz w:val="24"/>
                        <w:lang w:eastAsia="en-GB"/>
                      </w:rPr>
                    </m:ctrlPr>
                  </m:sSubSupPr>
                  <m:e>
                    <m:r>
                      <w:rPr>
                        <w:rFonts w:ascii="Cambria Math" w:hAnsi="Cambria Math"/>
                        <w:color w:val="auto"/>
                        <w:sz w:val="24"/>
                        <w:lang w:eastAsia="en-GB"/>
                      </w:rPr>
                      <m:t>EDU</m:t>
                    </m:r>
                  </m:e>
                  <m:sub>
                    <m:r>
                      <w:rPr>
                        <w:rFonts w:ascii="Cambria Math" w:hAnsi="Cambria Math"/>
                        <w:color w:val="auto"/>
                        <w:sz w:val="24"/>
                        <w:lang w:eastAsia="en-GB"/>
                      </w:rPr>
                      <m:t>t</m:t>
                    </m:r>
                  </m:sub>
                  <m:sup>
                    <m:r>
                      <w:rPr>
                        <w:rFonts w:ascii="Cambria Math" w:hAnsi="Cambria Math"/>
                        <w:color w:val="auto"/>
                        <w:sz w:val="24"/>
                        <w:lang w:eastAsia="en-GB"/>
                      </w:rPr>
                      <m:t>1_8</m:t>
                    </m:r>
                  </m:sup>
                </m:sSubSup>
              </m:num>
              <m:den>
                <m:sSub>
                  <m:sSubPr>
                    <m:ctrlPr>
                      <w:rPr>
                        <w:rFonts w:ascii="Cambria Math" w:hAnsi="Cambria Math"/>
                        <w:i/>
                        <w:color w:val="auto"/>
                        <w:sz w:val="24"/>
                        <w:lang w:eastAsia="en-GB"/>
                      </w:rPr>
                    </m:ctrlPr>
                  </m:sSubPr>
                  <m:e>
                    <m:r>
                      <w:rPr>
                        <w:rFonts w:ascii="Cambria Math" w:hAnsi="Cambria Math"/>
                        <w:color w:val="auto"/>
                        <w:sz w:val="24"/>
                        <w:lang w:eastAsia="en-GB"/>
                      </w:rPr>
                      <m:t>GDP</m:t>
                    </m:r>
                  </m:e>
                  <m:sub>
                    <m:r>
                      <w:rPr>
                        <w:rFonts w:ascii="Cambria Math" w:hAnsi="Cambria Math"/>
                        <w:color w:val="auto"/>
                        <w:sz w:val="24"/>
                        <w:lang w:eastAsia="en-GB"/>
                      </w:rPr>
                      <m:t>t</m:t>
                    </m:r>
                  </m:sub>
                </m:sSub>
              </m:den>
            </m:f>
          </m:num>
          <m:den>
            <m:f>
              <m:fPr>
                <m:ctrlPr>
                  <w:rPr>
                    <w:rFonts w:ascii="Cambria Math" w:hAnsi="Cambria Math"/>
                    <w:i/>
                    <w:color w:val="auto"/>
                    <w:sz w:val="24"/>
                    <w:lang w:val="pt-PT" w:eastAsia="en-GB"/>
                  </w:rPr>
                </m:ctrlPr>
              </m:fPr>
              <m:num>
                <m:sSubSup>
                  <m:sSubSupPr>
                    <m:ctrlPr>
                      <w:rPr>
                        <w:rFonts w:ascii="Cambria Math" w:hAnsi="Cambria Math"/>
                        <w:i/>
                        <w:color w:val="auto"/>
                        <w:sz w:val="24"/>
                        <w:lang w:eastAsia="en-GB"/>
                      </w:rPr>
                    </m:ctrlPr>
                  </m:sSubSupPr>
                  <m:e>
                    <m:r>
                      <w:rPr>
                        <w:rFonts w:ascii="Cambria Math" w:hAnsi="Cambria Math"/>
                        <w:color w:val="auto"/>
                        <w:sz w:val="24"/>
                        <w:lang w:eastAsia="en-GB"/>
                      </w:rPr>
                      <m:t>EDU</m:t>
                    </m:r>
                  </m:e>
                  <m:sub>
                    <m:r>
                      <w:rPr>
                        <w:rFonts w:ascii="Cambria Math" w:hAnsi="Cambria Math"/>
                        <w:color w:val="auto"/>
                        <w:sz w:val="24"/>
                        <w:lang w:eastAsia="en-GB"/>
                      </w:rPr>
                      <m:t>0</m:t>
                    </m:r>
                  </m:sub>
                  <m:sup>
                    <m:r>
                      <w:rPr>
                        <w:rFonts w:ascii="Cambria Math" w:hAnsi="Cambria Math"/>
                        <w:color w:val="auto"/>
                        <w:sz w:val="24"/>
                        <w:lang w:eastAsia="en-GB"/>
                      </w:rPr>
                      <m:t>1_8</m:t>
                    </m:r>
                  </m:sup>
                </m:sSubSup>
              </m:num>
              <m:den>
                <m:sSub>
                  <m:sSubPr>
                    <m:ctrlPr>
                      <w:rPr>
                        <w:rFonts w:ascii="Cambria Math" w:hAnsi="Cambria Math"/>
                        <w:i/>
                        <w:color w:val="auto"/>
                        <w:sz w:val="24"/>
                        <w:lang w:eastAsia="en-GB"/>
                      </w:rPr>
                    </m:ctrlPr>
                  </m:sSubPr>
                  <m:e>
                    <m:r>
                      <w:rPr>
                        <w:rFonts w:ascii="Cambria Math" w:hAnsi="Cambria Math"/>
                        <w:color w:val="auto"/>
                        <w:sz w:val="24"/>
                        <w:lang w:eastAsia="en-GB"/>
                      </w:rPr>
                      <m:t>GDP</m:t>
                    </m:r>
                  </m:e>
                  <m:sub>
                    <m:r>
                      <w:rPr>
                        <w:rFonts w:ascii="Cambria Math" w:hAnsi="Cambria Math"/>
                        <w:color w:val="auto"/>
                        <w:sz w:val="24"/>
                        <w:lang w:eastAsia="en-GB"/>
                      </w:rPr>
                      <m:t>0</m:t>
                    </m:r>
                  </m:sub>
                </m:sSub>
              </m:den>
            </m:f>
          </m:den>
        </m:f>
        <m:r>
          <w:rPr>
            <w:rFonts w:ascii="Cambria Math" w:hAnsi="Cambria Math"/>
            <w:color w:val="auto"/>
            <w:sz w:val="24"/>
            <w:lang w:eastAsia="en-GB"/>
          </w:rPr>
          <m:t>=</m:t>
        </m:r>
        <m:f>
          <m:fPr>
            <m:ctrlPr>
              <w:rPr>
                <w:rFonts w:ascii="Cambria Math" w:hAnsi="Cambria Math"/>
                <w:i/>
                <w:color w:val="auto"/>
                <w:sz w:val="24"/>
                <w:lang w:val="pt-PT" w:eastAsia="en-GB"/>
              </w:rPr>
            </m:ctrlPr>
          </m:fPr>
          <m:num>
            <m:sSub>
              <m:sSubPr>
                <m:ctrlPr>
                  <w:rPr>
                    <w:rFonts w:ascii="Cambria Math" w:hAnsi="Cambria Math"/>
                    <w:i/>
                    <w:color w:val="auto"/>
                    <w:sz w:val="24"/>
                    <w:lang w:eastAsia="en-GB"/>
                  </w:rPr>
                </m:ctrlPr>
              </m:sSubPr>
              <m:e>
                <m:acc>
                  <m:accPr>
                    <m:chr m:val="̅"/>
                    <m:ctrlPr>
                      <w:rPr>
                        <w:rFonts w:ascii="Cambria Math" w:hAnsi="Cambria Math"/>
                        <w:i/>
                        <w:color w:val="auto"/>
                        <w:sz w:val="24"/>
                        <w:lang w:eastAsia="en-GB"/>
                      </w:rPr>
                    </m:ctrlPr>
                  </m:accPr>
                  <m:e>
                    <m:r>
                      <w:rPr>
                        <w:rFonts w:ascii="Cambria Math" w:hAnsi="Cambria Math"/>
                        <w:color w:val="auto"/>
                        <w:sz w:val="24"/>
                        <w:lang w:eastAsia="en-GB"/>
                      </w:rPr>
                      <m:t>IS</m:t>
                    </m:r>
                  </m:e>
                </m:acc>
              </m:e>
              <m:sub>
                <m:r>
                  <w:rPr>
                    <w:rFonts w:ascii="Cambria Math" w:hAnsi="Cambria Math"/>
                    <w:color w:val="auto"/>
                    <w:sz w:val="24"/>
                    <w:lang w:eastAsia="en-GB"/>
                  </w:rPr>
                  <m:t>t</m:t>
                </m:r>
              </m:sub>
            </m:sSub>
          </m:num>
          <m:den>
            <m:sSub>
              <m:sSubPr>
                <m:ctrlPr>
                  <w:rPr>
                    <w:rFonts w:ascii="Cambria Math" w:hAnsi="Cambria Math"/>
                    <w:i/>
                    <w:color w:val="auto"/>
                    <w:sz w:val="24"/>
                    <w:lang w:eastAsia="en-GB"/>
                  </w:rPr>
                </m:ctrlPr>
              </m:sSubPr>
              <m:e>
                <m:r>
                  <w:rPr>
                    <w:rFonts w:ascii="Cambria Math" w:hAnsi="Cambria Math"/>
                    <w:color w:val="auto"/>
                    <w:sz w:val="24"/>
                    <w:lang w:eastAsia="en-GB"/>
                  </w:rPr>
                  <m:t>IE</m:t>
                </m:r>
              </m:e>
              <m:sub>
                <m:r>
                  <w:rPr>
                    <w:rFonts w:ascii="Cambria Math" w:hAnsi="Cambria Math"/>
                    <w:color w:val="auto"/>
                    <w:sz w:val="24"/>
                    <w:lang w:eastAsia="en-GB"/>
                  </w:rPr>
                  <m:t>t</m:t>
                </m:r>
              </m:sub>
            </m:sSub>
          </m:den>
        </m:f>
      </m:oMath>
      <w:r w:rsidR="00223A02" w:rsidRPr="00A43961">
        <w:tab/>
      </w:r>
      <w:r w:rsidR="00223A02" w:rsidRPr="00A43961">
        <w:tab/>
      </w:r>
      <w:r w:rsidR="00223A02" w:rsidRPr="00A43961">
        <w:tab/>
      </w:r>
      <w:r w:rsidR="00223A02" w:rsidRPr="00A43961">
        <w:tab/>
      </w:r>
      <w:r w:rsidR="00223A02" w:rsidRPr="00A43961">
        <w:fldChar w:fldCharType="begin"/>
      </w:r>
      <w:r w:rsidR="00223A02" w:rsidRPr="00A43961">
        <w:instrText xml:space="preserve"> QUOTE </w:instrText>
      </w:r>
      <w:r w:rsidR="00223A02">
        <w:instrText>"4."</w:instrText>
      </w:r>
      <w:r w:rsidR="00223A02" w:rsidRPr="00A43961">
        <w:instrText xml:space="preserve"> </w:instrText>
      </w:r>
      <w:fldSimple w:instr=" SEQ EPKitFormulaNumber_{3F516EFF-DEAB-4647-9363-F757F562F871} ">
        <w:r w:rsidR="00394B95">
          <w:rPr>
            <w:noProof/>
          </w:rPr>
          <w:instrText>1</w:instrText>
        </w:r>
      </w:fldSimple>
      <w:r w:rsidR="00223A02" w:rsidRPr="00A43961">
        <w:instrText xml:space="preserve"> </w:instrText>
      </w:r>
      <w:r w:rsidR="00223A02" w:rsidRPr="00A43961">
        <w:fldChar w:fldCharType="separate"/>
      </w:r>
      <w:r w:rsidR="00394B95">
        <w:t>4.</w:t>
      </w:r>
      <w:r w:rsidR="00394B95">
        <w:rPr>
          <w:noProof/>
        </w:rPr>
        <w:t>1</w:t>
      </w:r>
      <w:r w:rsidR="00223A02" w:rsidRPr="00A43961">
        <w:fldChar w:fldCharType="end"/>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223A02" w:rsidRPr="00A43961" w14:paraId="7F5FF864" w14:textId="77777777" w:rsidTr="00460C69">
        <w:trPr>
          <w:cantSplit/>
        </w:trPr>
        <w:tc>
          <w:tcPr>
            <w:tcW w:w="8505" w:type="dxa"/>
            <w:shd w:val="clear" w:color="auto" w:fill="auto"/>
          </w:tcPr>
          <w:p w14:paraId="5181E5F6" w14:textId="77777777" w:rsidR="00223A02" w:rsidRPr="00A43961" w:rsidRDefault="00223A02" w:rsidP="00460C69">
            <w:pPr>
              <w:pStyle w:val="GraphTitle"/>
              <w:rPr>
                <w:b/>
              </w:rPr>
            </w:pPr>
            <w:r w:rsidRPr="00A43961">
              <w:lastRenderedPageBreak/>
              <w:fldChar w:fldCharType="begin"/>
            </w:r>
            <w:r w:rsidRPr="009F3ED8">
              <w:instrText xml:space="preserve"> TC "</w:instrText>
            </w:r>
            <w:bookmarkStart w:id="257" w:name="_Toc511664707"/>
            <w:r w:rsidRPr="009F3ED8">
              <w:instrText>II.4.5.</w:instrText>
            </w:r>
            <w:r w:rsidRPr="009F3ED8">
              <w:tab/>
              <w:instrText>Comparison of students and employed between the 2015 AR and the 2018 AR - Values for the baseline scenario in 2060</w:instrText>
            </w:r>
            <w:bookmarkEnd w:id="257"/>
            <w:r w:rsidRPr="009F3ED8">
              <w:instrText xml:space="preserve">" \fgraph \l 5 </w:instrText>
            </w:r>
            <w:r w:rsidRPr="00A43961">
              <w:fldChar w:fldCharType="end"/>
            </w:r>
            <w:r w:rsidRPr="00A43961">
              <w:t>Graph II.4.5:</w:t>
            </w:r>
            <w:r w:rsidRPr="00A43961">
              <w:rPr>
                <w:b/>
              </w:rPr>
              <w:tab/>
              <w:t>Comparison of students and employed between the 2015 AR and the 2018 AR - Values for the baseline scenario in 2060</w:t>
            </w:r>
          </w:p>
        </w:tc>
      </w:tr>
      <w:tr w:rsidR="00223A02" w:rsidRPr="00A43961" w14:paraId="7DF7D03D" w14:textId="77777777" w:rsidTr="00460C69">
        <w:trPr>
          <w:cantSplit/>
        </w:trPr>
        <w:tc>
          <w:tcPr>
            <w:tcW w:w="8505" w:type="dxa"/>
            <w:shd w:val="clear" w:color="auto" w:fill="auto"/>
          </w:tcPr>
          <w:p w14:paraId="1FC905FF" w14:textId="77777777" w:rsidR="00223A02" w:rsidRPr="00A43961" w:rsidRDefault="00223A02" w:rsidP="00460C69">
            <w:pPr>
              <w:pStyle w:val="GraphShape"/>
              <w:rPr>
                <w:sz w:val="2"/>
              </w:rPr>
            </w:pPr>
            <w:r w:rsidRPr="00A43961">
              <w:rPr>
                <w:noProof/>
                <w:sz w:val="2"/>
                <w:lang w:val="hr-HR" w:eastAsia="hr-HR"/>
              </w:rPr>
              <w:drawing>
                <wp:inline distT="0" distB="0" distL="0" distR="0" wp14:anchorId="35FF8C80" wp14:editId="27BDCFF6">
                  <wp:extent cx="5400929" cy="3764958"/>
                  <wp:effectExtent l="0" t="0" r="9525" b="6985"/>
                  <wp:docPr id="1045" name="Picture 1045" descr="&lt;nbr&gt;&lt;GETTEXTFROMWORD&gt;&lt;/nbr&gt;&#10;&lt;title&gt;&lt;GETTEXTFROMWORD&gt;&lt;/title&gt;&#10;&lt;id&gt;f8ac0a13-edd0-4957-b5ad-38889ca7f863&lt;/id&gt;&#10;&lt;srcType&gt;EXCEL&lt;/srcType&gt;&#10;&lt;srcPath&gt;U:\Budgetary projections 2018\Reports\2018 AR\Tables_and_graphs\Part II  Chapter 4\&lt;/srcPath&gt;&#10;&lt;srcName&gt;Graph II.4.5_mix.xlsx&lt;/srcName&gt;&#10;&lt;type&gt;clusterofgraphs&lt;/type&gt;&#10; &lt;srcSheet&gt;Graph&lt;/srcSheet&gt;&#10; &lt;individualNumbers&gt;no&lt;/individualNumbers&gt;&#10;&lt;pos&gt;top&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08T17:05:10&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400929" cy="3764958"/>
                          </a:xfrm>
                          <a:prstGeom prst="rect">
                            <a:avLst/>
                          </a:prstGeom>
                          <a:noFill/>
                          <a:ln>
                            <a:noFill/>
                          </a:ln>
                        </pic:spPr>
                      </pic:pic>
                    </a:graphicData>
                  </a:graphic>
                </wp:inline>
              </w:drawing>
            </w:r>
          </w:p>
        </w:tc>
      </w:tr>
      <w:tr w:rsidR="00223A02" w:rsidRPr="00A43961" w14:paraId="47AE84CF" w14:textId="77777777" w:rsidTr="00460C69">
        <w:trPr>
          <w:cantSplit/>
        </w:trPr>
        <w:tc>
          <w:tcPr>
            <w:tcW w:w="8505" w:type="dxa"/>
            <w:shd w:val="clear" w:color="auto" w:fill="auto"/>
          </w:tcPr>
          <w:p w14:paraId="26FCB4BD" w14:textId="77777777" w:rsidR="00223A02" w:rsidRPr="00A43961" w:rsidRDefault="00223A02" w:rsidP="00460C69">
            <w:pPr>
              <w:pStyle w:val="GraphSource"/>
              <w:keepNext/>
            </w:pPr>
            <w:r w:rsidRPr="00A43961">
              <w:rPr>
                <w:b/>
                <w:i/>
              </w:rPr>
              <w:t>Source:</w:t>
            </w:r>
            <w:r w:rsidRPr="00A43961">
              <w:t xml:space="preserve"> Commission services, EPC</w:t>
            </w:r>
          </w:p>
        </w:tc>
      </w:tr>
    </w:tbl>
    <w:p w14:paraId="0D29E45A" w14:textId="77777777" w:rsidR="00223A02" w:rsidRPr="00A43961" w:rsidRDefault="00223A02" w:rsidP="00460C69"/>
    <w:p w14:paraId="1B29FA6F" w14:textId="77777777" w:rsidR="00223A02" w:rsidRPr="00A43961" w:rsidRDefault="00223A02" w:rsidP="00460C69">
      <w:r w:rsidRPr="00A43961">
        <w:t xml:space="preserve">Equivalently, equation 4.1 can be rewritten as: </w:t>
      </w:r>
    </w:p>
    <w:p w14:paraId="34792E78" w14:textId="77777777" w:rsidR="00223A02" w:rsidRPr="00A43961" w:rsidRDefault="002F4485" w:rsidP="00460C69">
      <m:oMath>
        <m:f>
          <m:fPr>
            <m:ctrlPr>
              <w:rPr>
                <w:rFonts w:ascii="Cambria Math" w:hAnsi="Cambria Math"/>
                <w:i/>
                <w:color w:val="auto"/>
                <w:sz w:val="24"/>
                <w:lang w:val="pt-PT" w:eastAsia="en-GB"/>
              </w:rPr>
            </m:ctrlPr>
          </m:fPr>
          <m:num>
            <m:sSubSup>
              <m:sSubSupPr>
                <m:ctrlPr>
                  <w:rPr>
                    <w:rFonts w:ascii="Cambria Math" w:hAnsi="Cambria Math"/>
                    <w:i/>
                    <w:color w:val="auto"/>
                    <w:sz w:val="24"/>
                    <w:lang w:eastAsia="en-GB"/>
                  </w:rPr>
                </m:ctrlPr>
              </m:sSubSupPr>
              <m:e>
                <m:r>
                  <w:rPr>
                    <w:rFonts w:ascii="Cambria Math" w:hAnsi="Cambria Math"/>
                    <w:color w:val="auto"/>
                    <w:sz w:val="24"/>
                    <w:lang w:eastAsia="en-GB"/>
                  </w:rPr>
                  <m:t>EDU</m:t>
                </m:r>
              </m:e>
              <m:sub>
                <m:r>
                  <w:rPr>
                    <w:rFonts w:ascii="Cambria Math" w:hAnsi="Cambria Math"/>
                    <w:color w:val="auto"/>
                    <w:sz w:val="24"/>
                    <w:lang w:eastAsia="en-GB"/>
                  </w:rPr>
                  <m:t>t</m:t>
                </m:r>
              </m:sub>
              <m:sup>
                <m:r>
                  <w:rPr>
                    <w:rFonts w:ascii="Cambria Math" w:hAnsi="Cambria Math"/>
                    <w:color w:val="auto"/>
                    <w:sz w:val="24"/>
                    <w:lang w:eastAsia="en-GB"/>
                  </w:rPr>
                  <m:t>1_8</m:t>
                </m:r>
              </m:sup>
            </m:sSubSup>
          </m:num>
          <m:den>
            <m:sSub>
              <m:sSubPr>
                <m:ctrlPr>
                  <w:rPr>
                    <w:rFonts w:ascii="Cambria Math" w:hAnsi="Cambria Math"/>
                    <w:i/>
                    <w:color w:val="auto"/>
                    <w:sz w:val="24"/>
                    <w:lang w:eastAsia="en-GB"/>
                  </w:rPr>
                </m:ctrlPr>
              </m:sSubPr>
              <m:e>
                <m:r>
                  <w:rPr>
                    <w:rFonts w:ascii="Cambria Math" w:hAnsi="Cambria Math"/>
                    <w:color w:val="auto"/>
                    <w:sz w:val="24"/>
                    <w:lang w:eastAsia="en-GB"/>
                  </w:rPr>
                  <m:t>GDP</m:t>
                </m:r>
              </m:e>
              <m:sub>
                <m:r>
                  <w:rPr>
                    <w:rFonts w:ascii="Cambria Math" w:hAnsi="Cambria Math"/>
                    <w:color w:val="auto"/>
                    <w:sz w:val="24"/>
                    <w:lang w:eastAsia="en-GB"/>
                  </w:rPr>
                  <m:t>t</m:t>
                </m:r>
              </m:sub>
            </m:sSub>
          </m:den>
        </m:f>
        <m:r>
          <w:rPr>
            <w:rFonts w:ascii="Cambria Math" w:hAnsi="Cambria Math"/>
            <w:color w:val="auto"/>
            <w:sz w:val="24"/>
            <w:lang w:eastAsia="en-GB"/>
          </w:rPr>
          <m:t>=</m:t>
        </m:r>
        <m:f>
          <m:fPr>
            <m:ctrlPr>
              <w:rPr>
                <w:rFonts w:ascii="Cambria Math" w:hAnsi="Cambria Math"/>
                <w:i/>
                <w:color w:val="auto"/>
                <w:sz w:val="24"/>
                <w:lang w:val="pt-PT" w:eastAsia="en-GB"/>
              </w:rPr>
            </m:ctrlPr>
          </m:fPr>
          <m:num>
            <m:sSubSup>
              <m:sSubSupPr>
                <m:ctrlPr>
                  <w:rPr>
                    <w:rFonts w:ascii="Cambria Math" w:hAnsi="Cambria Math"/>
                    <w:i/>
                    <w:color w:val="auto"/>
                    <w:sz w:val="24"/>
                    <w:lang w:eastAsia="en-GB"/>
                  </w:rPr>
                </m:ctrlPr>
              </m:sSubSupPr>
              <m:e>
                <m:r>
                  <w:rPr>
                    <w:rFonts w:ascii="Cambria Math" w:hAnsi="Cambria Math"/>
                    <w:color w:val="auto"/>
                    <w:sz w:val="24"/>
                    <w:lang w:eastAsia="en-GB"/>
                  </w:rPr>
                  <m:t>EDU</m:t>
                </m:r>
              </m:e>
              <m:sub>
                <m:r>
                  <w:rPr>
                    <w:rFonts w:ascii="Cambria Math" w:hAnsi="Cambria Math"/>
                    <w:color w:val="auto"/>
                    <w:sz w:val="24"/>
                    <w:lang w:eastAsia="en-GB"/>
                  </w:rPr>
                  <m:t>0</m:t>
                </m:r>
              </m:sub>
              <m:sup>
                <m:sSub>
                  <m:sSubPr>
                    <m:ctrlPr>
                      <w:rPr>
                        <w:rFonts w:ascii="Cambria Math" w:hAnsi="Cambria Math"/>
                        <w:i/>
                        <w:color w:val="auto"/>
                        <w:sz w:val="24"/>
                        <w:lang w:eastAsia="en-GB"/>
                      </w:rPr>
                    </m:ctrlPr>
                  </m:sSubPr>
                  <m:e>
                    <m:r>
                      <w:rPr>
                        <w:rFonts w:ascii="Cambria Math" w:hAnsi="Cambria Math"/>
                        <w:color w:val="auto"/>
                        <w:sz w:val="24"/>
                        <w:lang w:eastAsia="en-GB"/>
                      </w:rPr>
                      <m:t>1_</m:t>
                    </m:r>
                  </m:e>
                  <m:sub>
                    <m:r>
                      <w:rPr>
                        <w:rFonts w:ascii="Cambria Math" w:hAnsi="Cambria Math"/>
                        <w:color w:val="auto"/>
                        <w:sz w:val="24"/>
                        <w:lang w:eastAsia="en-GB"/>
                      </w:rPr>
                      <m:t>8</m:t>
                    </m:r>
                  </m:sub>
                </m:sSub>
              </m:sup>
            </m:sSubSup>
          </m:num>
          <m:den>
            <m:sSub>
              <m:sSubPr>
                <m:ctrlPr>
                  <w:rPr>
                    <w:rFonts w:ascii="Cambria Math" w:hAnsi="Cambria Math"/>
                    <w:i/>
                    <w:color w:val="auto"/>
                    <w:sz w:val="24"/>
                    <w:lang w:eastAsia="en-GB"/>
                  </w:rPr>
                </m:ctrlPr>
              </m:sSubPr>
              <m:e>
                <m:r>
                  <w:rPr>
                    <w:rFonts w:ascii="Cambria Math" w:hAnsi="Cambria Math"/>
                    <w:color w:val="auto"/>
                    <w:sz w:val="24"/>
                    <w:lang w:eastAsia="en-GB"/>
                  </w:rPr>
                  <m:t>GDP</m:t>
                </m:r>
              </m:e>
              <m:sub>
                <m:r>
                  <w:rPr>
                    <w:rFonts w:ascii="Cambria Math" w:hAnsi="Cambria Math"/>
                    <w:color w:val="auto"/>
                    <w:sz w:val="24"/>
                    <w:lang w:eastAsia="en-GB"/>
                  </w:rPr>
                  <m:t>0</m:t>
                </m:r>
              </m:sub>
            </m:sSub>
          </m:den>
        </m:f>
        <m:r>
          <w:rPr>
            <w:rFonts w:ascii="Cambria Math" w:hAnsi="Cambria Math"/>
            <w:color w:val="auto"/>
            <w:sz w:val="24"/>
            <w:lang w:eastAsia="en-GB"/>
          </w:rPr>
          <m:t>*</m:t>
        </m:r>
        <m:f>
          <m:fPr>
            <m:ctrlPr>
              <w:rPr>
                <w:rFonts w:ascii="Cambria Math" w:hAnsi="Cambria Math"/>
                <w:i/>
                <w:color w:val="auto"/>
                <w:sz w:val="24"/>
                <w:lang w:val="pt-PT" w:eastAsia="en-GB"/>
              </w:rPr>
            </m:ctrlPr>
          </m:fPr>
          <m:num>
            <m:sSub>
              <m:sSubPr>
                <m:ctrlPr>
                  <w:rPr>
                    <w:rFonts w:ascii="Cambria Math" w:hAnsi="Cambria Math"/>
                    <w:i/>
                    <w:color w:val="auto"/>
                    <w:sz w:val="24"/>
                    <w:lang w:eastAsia="en-GB"/>
                  </w:rPr>
                </m:ctrlPr>
              </m:sSubPr>
              <m:e>
                <m:acc>
                  <m:accPr>
                    <m:chr m:val="̅"/>
                    <m:ctrlPr>
                      <w:rPr>
                        <w:rFonts w:ascii="Cambria Math" w:hAnsi="Cambria Math"/>
                        <w:i/>
                        <w:color w:val="auto"/>
                        <w:sz w:val="24"/>
                        <w:lang w:eastAsia="en-GB"/>
                      </w:rPr>
                    </m:ctrlPr>
                  </m:accPr>
                  <m:e>
                    <m:r>
                      <w:rPr>
                        <w:rFonts w:ascii="Cambria Math" w:hAnsi="Cambria Math"/>
                        <w:color w:val="auto"/>
                        <w:sz w:val="24"/>
                        <w:lang w:eastAsia="en-GB"/>
                      </w:rPr>
                      <m:t>IS</m:t>
                    </m:r>
                  </m:e>
                </m:acc>
              </m:e>
              <m:sub>
                <m:r>
                  <w:rPr>
                    <w:rFonts w:ascii="Cambria Math" w:hAnsi="Cambria Math"/>
                    <w:color w:val="auto"/>
                    <w:sz w:val="24"/>
                    <w:lang w:eastAsia="en-GB"/>
                  </w:rPr>
                  <m:t>t</m:t>
                </m:r>
              </m:sub>
            </m:sSub>
          </m:num>
          <m:den>
            <m:sSub>
              <m:sSubPr>
                <m:ctrlPr>
                  <w:rPr>
                    <w:rFonts w:ascii="Cambria Math" w:hAnsi="Cambria Math"/>
                    <w:i/>
                    <w:color w:val="auto"/>
                    <w:sz w:val="24"/>
                    <w:lang w:eastAsia="en-GB"/>
                  </w:rPr>
                </m:ctrlPr>
              </m:sSubPr>
              <m:e>
                <m:r>
                  <w:rPr>
                    <w:rFonts w:ascii="Cambria Math" w:hAnsi="Cambria Math"/>
                    <w:color w:val="auto"/>
                    <w:sz w:val="24"/>
                    <w:lang w:eastAsia="en-GB"/>
                  </w:rPr>
                  <m:t>IE</m:t>
                </m:r>
              </m:e>
              <m:sub>
                <m:r>
                  <w:rPr>
                    <w:rFonts w:ascii="Cambria Math" w:hAnsi="Cambria Math"/>
                    <w:color w:val="auto"/>
                    <w:sz w:val="24"/>
                    <w:lang w:eastAsia="en-GB"/>
                  </w:rPr>
                  <m:t>t</m:t>
                </m:r>
              </m:sub>
            </m:sSub>
          </m:den>
        </m:f>
      </m:oMath>
      <w:r w:rsidR="00223A02" w:rsidRPr="00A43961">
        <w:tab/>
      </w:r>
      <w:r w:rsidR="00223A02" w:rsidRPr="00A43961">
        <w:tab/>
      </w:r>
      <w:r w:rsidR="00223A02" w:rsidRPr="00A43961">
        <w:tab/>
        <w:t>4.2</w:t>
      </w:r>
      <w:r w:rsidR="00223A02" w:rsidRPr="00A43961">
        <w:tab/>
      </w:r>
    </w:p>
    <w:p w14:paraId="27F889A3" w14:textId="77777777" w:rsidR="00223A02" w:rsidRPr="00A43961" w:rsidRDefault="00223A02" w:rsidP="00460C69">
      <w:r w:rsidRPr="00A43961">
        <w:t xml:space="preserve">That is, the expenditure in education-to-GDP ratio at time </w:t>
      </w:r>
      <w:r w:rsidRPr="00A43961">
        <w:rPr>
          <w:i/>
        </w:rPr>
        <w:t>t</w:t>
      </w:r>
      <w:r w:rsidRPr="00A43961">
        <w:t xml:space="preserve">, for ISCED levels 1-8, can be expressed as a function of base period ratios, and of the ratio between the (average) student and employment indexes at time </w:t>
      </w:r>
      <w:r w:rsidRPr="00A43961">
        <w:rPr>
          <w:i/>
        </w:rPr>
        <w:t>t</w:t>
      </w:r>
      <w:r w:rsidRPr="00A43961">
        <w:t xml:space="preserve"> (</w:t>
      </w:r>
      <w:r w:rsidRPr="00A43961">
        <w:rPr>
          <w:rStyle w:val="Referencafusnote"/>
        </w:rPr>
        <w:footnoteReference w:id="131"/>
      </w:r>
      <w:r w:rsidRPr="00A43961">
        <w:t xml:space="preserve">). </w:t>
      </w:r>
    </w:p>
    <w:p w14:paraId="04C4F61B" w14:textId="77777777" w:rsidR="00223A02" w:rsidRPr="00A43961" w:rsidRDefault="00223A02" w:rsidP="00460C69">
      <w:r w:rsidRPr="00A43961">
        <w:t xml:space="preserve">Table </w:t>
      </w:r>
      <w:r w:rsidRPr="00A43961">
        <w:fldChar w:fldCharType="begin"/>
      </w:r>
      <w:r w:rsidRPr="00A43961">
        <w:instrText xml:space="preserve"> QUOTE "II.4.3"</w:instrText>
      </w:r>
      <w:r w:rsidRPr="00A43961">
        <w:fldChar w:fldCharType="begin">
          <w:fldData xml:space="preserve">QwBSAE8AUwBTAFIARQBGAEUAUgBFAE4AQwBFACoAVABBAEIATABFACoANQBjADAAMwBjADgAOAAz
AC0AMwBhADcAMgAtADQAYgBhADEALQBiADMAZABhAC0ANgBjADQAMABlADAAZAA3ADUAOQAwAGQA
</w:fldData>
        </w:fldChar>
      </w:r>
      <w:r w:rsidRPr="00A43961">
        <w:instrText xml:space="preserve"> ADDIN </w:instrText>
      </w:r>
      <w:r w:rsidRPr="00A43961">
        <w:fldChar w:fldCharType="end"/>
      </w:r>
      <w:r w:rsidRPr="00A43961">
        <w:instrText xml:space="preserve"> </w:instrText>
      </w:r>
      <w:r w:rsidRPr="00A43961">
        <w:fldChar w:fldCharType="separate"/>
      </w:r>
      <w:r w:rsidR="009F3ED8" w:rsidRPr="00A43961">
        <w:t>II.4.3</w:t>
      </w:r>
      <w:r w:rsidRPr="00A43961">
        <w:fldChar w:fldCharType="end"/>
      </w:r>
      <w:r w:rsidRPr="00A43961">
        <w:t xml:space="preserve"> shows that, despite considerable cross-country variations, the expenditure-to-GDP ratio for 2060 at EU level is, on average, revised downwards by about 0.31 pps. between the 2015 and the 2018 AR. </w:t>
      </w:r>
    </w:p>
    <w:p w14:paraId="13220CA7" w14:textId="77777777" w:rsidR="00223A02" w:rsidRPr="00A43961" w:rsidRDefault="00223A02" w:rsidP="00460C69">
      <w:r w:rsidRPr="00A43961">
        <w:br w:type="column"/>
      </w:r>
    </w:p>
    <w:p w14:paraId="1C4C27E7" w14:textId="77777777" w:rsidR="00223A02" w:rsidRPr="00A43961" w:rsidRDefault="00223A02" w:rsidP="00460C69">
      <w:r w:rsidRPr="00A43961">
        <w:t xml:space="preserve">This largely reflects a downward revision of 0.12 pps. in base period values, together with a 0.06 pps. decrease in the number of students, which is offset by an employment decrease of 0.09 pps. </w:t>
      </w:r>
    </w:p>
    <w:p w14:paraId="30A39C77" w14:textId="77777777" w:rsidR="00223A02" w:rsidRPr="00A43961" w:rsidRDefault="00223A02" w:rsidP="00460C69">
      <w:r w:rsidRPr="00A43961">
        <w:t xml:space="preserve"> A country-level investigation highlights a remarkable downward revision of the expenditure-to-GDP ratio in Ireland (-2.36 pps.) and Cyprus </w:t>
      </w:r>
      <w:r w:rsidRPr="00A43961">
        <w:br/>
      </w:r>
      <w:r w:rsidRPr="00A43961">
        <w:softHyphen/>
        <w:t>(</w:t>
      </w:r>
      <w:r w:rsidRPr="00A43961">
        <w:softHyphen/>
      </w:r>
      <w:r w:rsidRPr="00A43961">
        <w:softHyphen/>
        <w:t>-2.15 pps.). Such results are upheld by Graph II.4.5, that provides a comparison of the number of students and employed between the current and previous Ageing Report.</w:t>
      </w:r>
    </w:p>
    <w:p w14:paraId="0FB64904" w14:textId="77777777" w:rsidR="00223A02" w:rsidRPr="00A43961" w:rsidRDefault="00223A02" w:rsidP="00460C69">
      <w:r w:rsidRPr="00A43961">
        <w:br w:type="column"/>
      </w:r>
      <w:r w:rsidRPr="00A43961">
        <w:lastRenderedPageBreak/>
        <w:t xml:space="preserve">For Ireland, the downward effect can be explained by a decline in base period values of the expenditure-to-GDP ratio (-2.45 pps.), which derives from the surge in GDP growth that has characterized the country as of 2015. On the contrary, only a modest impact is ascribable to the change in students (+0.12 pps.) and workers (+0.34 pps.), as supported by our graphical evidence.  </w:t>
      </w:r>
    </w:p>
    <w:p w14:paraId="5F1BD260" w14:textId="77777777" w:rsidR="00223A02" w:rsidRPr="00A43961" w:rsidRDefault="00223A02" w:rsidP="00460C69">
      <w:r w:rsidRPr="00A43961">
        <w:t xml:space="preserve">Concerning Cyprus, results in Table </w:t>
      </w:r>
      <w:r w:rsidRPr="00A43961">
        <w:fldChar w:fldCharType="begin"/>
      </w:r>
      <w:r w:rsidRPr="00A43961">
        <w:instrText xml:space="preserve"> QUOTE "II.4.3"</w:instrText>
      </w:r>
      <w:r w:rsidRPr="00A43961">
        <w:fldChar w:fldCharType="begin">
          <w:fldData xml:space="preserve">QwBSAE8AUwBTAFIARQBGAEUAUgBFAE4AQwBFACoAVABBAEIATABFACoANQBjADAAMwBjADgAOAAz
AC0AMwBhADcAMgAtADQAYgBhADEALQBiADMAZABhAC0ANgBjADQAMABlADAAZAA3ADUAOQAwAGQA
</w:fldData>
        </w:fldChar>
      </w:r>
      <w:r w:rsidRPr="00A43961">
        <w:instrText xml:space="preserve"> ADDIN </w:instrText>
      </w:r>
      <w:r w:rsidRPr="00A43961">
        <w:fldChar w:fldCharType="end"/>
      </w:r>
      <w:r w:rsidRPr="00A43961">
        <w:instrText xml:space="preserve"> </w:instrText>
      </w:r>
      <w:r w:rsidRPr="00A43961">
        <w:fldChar w:fldCharType="separate"/>
      </w:r>
      <w:r w:rsidR="009F3ED8" w:rsidRPr="00A43961">
        <w:t>II.4.3</w:t>
      </w:r>
      <w:r w:rsidRPr="00A43961">
        <w:fldChar w:fldCharType="end"/>
      </w:r>
      <w:r w:rsidRPr="00A43961">
        <w:t xml:space="preserve"> confirm the intuition of Graph II.4.5. That is, the substantial decline in the forecast number of students in 2060 (-1.70 pps.) is the major driver behind the overall downward revision; although accompanied by a non-negligible reduction in base year values (-0.97 pps.). </w:t>
      </w:r>
    </w:p>
    <w:p w14:paraId="4962A85B" w14:textId="77777777" w:rsidR="00223A02" w:rsidRPr="00A43961" w:rsidRDefault="00223A02" w:rsidP="00460C69">
      <w:pPr>
        <w:pStyle w:val="NumberedHeading1"/>
        <w:tabs>
          <w:tab w:val="left" w:pos="567"/>
        </w:tabs>
      </w:pPr>
      <w:bookmarkStart w:id="258" w:name="_Toc511664452"/>
      <w:r w:rsidRPr="00A43961">
        <w:t>4.4.</w:t>
      </w:r>
      <w:r w:rsidRPr="00A43961">
        <w:tab/>
        <w:t>Sensitivity tests</w:t>
      </w:r>
      <w:bookmarkEnd w:id="258"/>
    </w:p>
    <w:p w14:paraId="68E19215" w14:textId="77777777" w:rsidR="00223A02" w:rsidRPr="00A43961" w:rsidRDefault="00223A02" w:rsidP="00460C69">
      <w:pPr>
        <w:pStyle w:val="NumberedHeading2"/>
        <w:tabs>
          <w:tab w:val="left" w:pos="567"/>
        </w:tabs>
      </w:pPr>
      <w:r w:rsidRPr="00A43961">
        <w:t>4.4.1.</w:t>
      </w:r>
      <w:r w:rsidRPr="00A43961">
        <w:tab/>
        <w:t>The High Enrolment Rate Scenario</w:t>
      </w:r>
    </w:p>
    <w:p w14:paraId="30AE2677" w14:textId="77777777" w:rsidR="00223A02" w:rsidRPr="00A43961" w:rsidRDefault="00223A02" w:rsidP="00460C69">
      <w:r w:rsidRPr="00A43961">
        <w:t xml:space="preserve">Different sensitivity scenarios are considered in the 2018 Ageing Report. In line with the 2015 AR, a first test assumes a demand shock that raises enrolment rates in ISCED levels 3-4 and 5-8 to the average of the three best performing countries. </w:t>
      </w:r>
    </w:p>
    <w:p w14:paraId="24068038" w14:textId="77777777" w:rsidR="00223A02" w:rsidRPr="00A43961" w:rsidRDefault="00223A02" w:rsidP="00460C69">
      <w:r w:rsidRPr="00A43961">
        <w:t xml:space="preserve">In the base period 2016, the three countries with the highest enrolment rates in ISCED levels 3-4 and 5-8 are Finland, Belgium and Denmark. By age bracket (15 years and older) and ISCED level (3-4 and 5-8), countries are assumed to converge linearly from 2016 until 2045 to the average enrolment rate in Finland, Belgium and Denmark. Higher enrolment rates are then kept constant (although still considering the impact of participation rates) between 2046 and 2070. A country keeps its initial enrolment rate break (by ISCED and age) if it is higher than the target average. </w:t>
      </w:r>
    </w:p>
    <w:p w14:paraId="2871A7C8" w14:textId="77777777" w:rsidR="00223A02" w:rsidRPr="00A43961" w:rsidRDefault="00223A02" w:rsidP="00460C69">
      <w:r w:rsidRPr="00A43961">
        <w:t xml:space="preserve">In 2070, the additional budgetary cost due to higher enrolment rates is projected at +0.8 pps., on average, both in the EU and the euro area (Tables II.4.4, II.AV.4 and II.AV.5). Across countries, the increase in education expenditure varies considerably, ranging from +0.2 pps. in Finland to +1.5 pps. in Luxembourg and Malta. </w:t>
      </w:r>
    </w:p>
    <w:p w14:paraId="2B3E696B" w14:textId="77777777" w:rsidR="00223A02" w:rsidRPr="00A43961" w:rsidRDefault="00223A02" w:rsidP="00460C69">
      <w:r w:rsidRPr="00A43961">
        <w:br w:type="column"/>
      </w:r>
      <w:r w:rsidRPr="00A43961">
        <w:lastRenderedPageBreak/>
        <w:t xml:space="preserve">Notice that even in best performing countries expenditure increases occur, reflecting the fact that while the rank of best performing countries is determined by averaging across all ISCED levels (3-4 and 5-8) and ages, convergence will occur at single combinations of ISCED and age (for every outcome below best performing outcomes/targets). </w:t>
      </w:r>
    </w:p>
    <w:p w14:paraId="145EE579" w14:textId="77777777" w:rsidR="00223A02" w:rsidRPr="00A43961" w:rsidRDefault="00223A02" w:rsidP="00460C69">
      <w:pPr>
        <w:pStyle w:val="NumberedHeading2"/>
        <w:tabs>
          <w:tab w:val="left" w:pos="567"/>
        </w:tabs>
      </w:pPr>
      <w:r w:rsidRPr="00A43961">
        <w:t>4.4.2.</w:t>
      </w:r>
      <w:r w:rsidRPr="00A43961">
        <w:tab/>
        <w:t>Additional Sensitivity Tests</w:t>
      </w:r>
    </w:p>
    <w:p w14:paraId="1795FDE5" w14:textId="77777777" w:rsidR="00223A02" w:rsidRPr="00A43961" w:rsidRDefault="00223A02" w:rsidP="00460C69">
      <w:r w:rsidRPr="00A43961">
        <w:t xml:space="preserve">Alongside the high enrolment scenario, the 2018 AR includes another set of sensitivity tests. Namely, a uniform shock to the baseline projection framework (i.e. life expectancy, higher/lower migration, lower fertility, higher/lower total employment rate, older workers employment rate, higher/lower TFP growth, risk scenario, policy scenario) has been applied, each time, to all Member States. </w:t>
      </w:r>
    </w:p>
    <w:p w14:paraId="7039F0BD" w14:textId="77777777" w:rsidR="00223A02" w:rsidRPr="00A43961" w:rsidRDefault="00223A02" w:rsidP="00460C69">
      <w:r w:rsidRPr="00A43961">
        <w:t xml:space="preserve">Table </w:t>
      </w:r>
      <w:r w:rsidRPr="00A43961">
        <w:fldChar w:fldCharType="begin"/>
      </w:r>
      <w:r w:rsidRPr="00A43961">
        <w:instrText xml:space="preserve"> QUOTE "II.4.4"</w:instrText>
      </w:r>
      <w:r w:rsidRPr="00A43961">
        <w:fldChar w:fldCharType="begin">
          <w:fldData xml:space="preserve">QwBSAE8AUwBTAFIARQBGAEUAUgBFAE4AQwBFACoAVABBAEIATABFACoAMwA2AGIAMgAxAGEANAA5
AC0AMABhAGYAMgAtADQAMAA0ADgALQBhADkANAA0AC0ANwBmAGYAYwAzADcAYwBhADkAOQA5ADcA
</w:fldData>
        </w:fldChar>
      </w:r>
      <w:r w:rsidRPr="00A43961">
        <w:instrText xml:space="preserve"> ADDIN </w:instrText>
      </w:r>
      <w:r w:rsidRPr="00A43961">
        <w:fldChar w:fldCharType="end"/>
      </w:r>
      <w:r w:rsidRPr="00A43961">
        <w:instrText xml:space="preserve"> </w:instrText>
      </w:r>
      <w:r w:rsidRPr="00A43961">
        <w:fldChar w:fldCharType="separate"/>
      </w:r>
      <w:r w:rsidR="009F3ED8" w:rsidRPr="00A43961">
        <w:t>II.4.4</w:t>
      </w:r>
      <w:r w:rsidRPr="00A43961">
        <w:fldChar w:fldCharType="end"/>
      </w:r>
      <w:r w:rsidRPr="00A43961">
        <w:t xml:space="preserve"> illustrates the differences, between 2016 and 2070, of each alternative sensitivity scenario with respect to the baseline projections. </w:t>
      </w:r>
    </w:p>
    <w:p w14:paraId="79D5657D" w14:textId="77777777" w:rsidR="00223A02" w:rsidRPr="00A43961" w:rsidRDefault="00223A02" w:rsidP="00460C69">
      <w:r w:rsidRPr="00A43961">
        <w:t xml:space="preserve">In addition, Table </w:t>
      </w:r>
      <w:r w:rsidRPr="00A43961">
        <w:fldChar w:fldCharType="begin"/>
      </w:r>
      <w:r w:rsidRPr="00A43961">
        <w:instrText xml:space="preserve"> QUOTE "II.4.5"</w:instrText>
      </w:r>
      <w:r w:rsidRPr="00A43961">
        <w:fldChar w:fldCharType="begin">
          <w:fldData xml:space="preserve">QwBSAE8AUwBTAFIARQBGAEUAUgBFAE4AQwBFACoAVABBAEIATABFACoAZQAwADMAMwAwAGEAYgBj
AC0ANQAwADkAMAAtADQAYwA4AGIALQBiADIAZQA4AC0ANgBlAGEAOAA3AGMANQA4ADAAMABjADcA
</w:fldData>
        </w:fldChar>
      </w:r>
      <w:r w:rsidRPr="00A43961">
        <w:instrText xml:space="preserve"> ADDIN </w:instrText>
      </w:r>
      <w:r w:rsidRPr="00A43961">
        <w:fldChar w:fldCharType="end"/>
      </w:r>
      <w:r w:rsidRPr="00A43961">
        <w:instrText xml:space="preserve"> </w:instrText>
      </w:r>
      <w:r w:rsidRPr="00A43961">
        <w:fldChar w:fldCharType="separate"/>
      </w:r>
      <w:r w:rsidR="009F3ED8" w:rsidRPr="00A43961">
        <w:t>II.4.5</w:t>
      </w:r>
      <w:r w:rsidRPr="00A43961">
        <w:fldChar w:fldCharType="end"/>
      </w:r>
      <w:r w:rsidRPr="00A43961">
        <w:t xml:space="preserve"> highlights the differences, in year 2070, between the alternative sensitivity scenarios and the baseline projections. </w:t>
      </w:r>
    </w:p>
    <w:p w14:paraId="0AA35CBB" w14:textId="77777777" w:rsidR="00223A02" w:rsidRPr="00A43961" w:rsidRDefault="00223A02" w:rsidP="00460C69">
      <w:r w:rsidRPr="00A43961">
        <w:t xml:space="preserve">There are no differences with respect to baseline projections whenever scenarios affecting productivity are considered (as no change in the number of students or population is assumed). On the contrary, heterogeneous variations occur in the remaining scenarios (with a direct impact on population).  </w:t>
      </w:r>
    </w:p>
    <w:p w14:paraId="38293033" w14:textId="77777777" w:rsidR="00223A02" w:rsidRPr="00A43961" w:rsidRDefault="00223A02" w:rsidP="00460C69">
      <w:r w:rsidRPr="00A43961">
        <w:t xml:space="preserve">In particular, results from Table </w:t>
      </w:r>
      <w:r w:rsidRPr="00A43961">
        <w:fldChar w:fldCharType="begin"/>
      </w:r>
      <w:r w:rsidRPr="00A43961">
        <w:instrText xml:space="preserve"> QUOTE "II.4.5"</w:instrText>
      </w:r>
      <w:r w:rsidRPr="00A43961">
        <w:fldChar w:fldCharType="begin">
          <w:fldData xml:space="preserve">QwBSAE8AUwBTAFIARQBGAEUAUgBFAE4AQwBFACoAVABBAEIATABFACoAZQAwADMAMwAwAGEAYgBj
AC0ANQAwADkAMAAtADQAYwA4AGIALQBiADIAZQA4AC0ANgBlAGEAOAA3AGMANQA4ADAAMABjADcA
</w:fldData>
        </w:fldChar>
      </w:r>
      <w:r w:rsidRPr="00A43961">
        <w:instrText xml:space="preserve"> ADDIN </w:instrText>
      </w:r>
      <w:r w:rsidRPr="00A43961">
        <w:fldChar w:fldCharType="end"/>
      </w:r>
      <w:r w:rsidRPr="00A43961">
        <w:instrText xml:space="preserve"> </w:instrText>
      </w:r>
      <w:r w:rsidRPr="00A43961">
        <w:fldChar w:fldCharType="separate"/>
      </w:r>
      <w:r w:rsidR="009F3ED8" w:rsidRPr="00A43961">
        <w:t>II.4.5</w:t>
      </w:r>
      <w:r w:rsidRPr="00A43961">
        <w:fldChar w:fldCharType="end"/>
      </w:r>
      <w:r w:rsidRPr="00A43961">
        <w:t xml:space="preserve"> show that, when an increase (decrease) in the employment rate for the age group 20-64 is taken into account, education budgetary costs are forecast to decline (rise) by -0.10 pps. (+0.12 pps.),on average, at the EU and euro area level.</w:t>
      </w:r>
    </w:p>
    <w:p w14:paraId="1F2AEC32" w14:textId="77777777" w:rsidR="00223A02" w:rsidRPr="00A43961" w:rsidRDefault="00223A02" w:rsidP="00460C69">
      <w:r w:rsidRPr="00A43961">
        <w:t xml:space="preserve">Higher (lower) employment levels lead to a reduction (increase) in education expenditure in all countries.  Namely, values range from -0.06 pps. (Greece) to -0.15 pps. (Belgium) in the former case, and from +0.06 pps. (Greece) to 0.17 pps. (Norway) in the latter. </w:t>
      </w:r>
    </w:p>
    <w:p w14:paraId="4CB40192" w14:textId="77777777" w:rsidR="00223A02" w:rsidRPr="00A43961" w:rsidRDefault="00223A02" w:rsidP="00460C69">
      <w:r w:rsidRPr="00A43961">
        <w:br w:type="column"/>
      </w:r>
      <w:r w:rsidRPr="00A43961">
        <w:lastRenderedPageBreak/>
        <w:fldChar w:fldCharType="begin"/>
      </w:r>
      <w:r w:rsidRPr="009F3ED8">
        <w:instrText xml:space="preserve"> TC "</w:instrText>
      </w:r>
      <w:bookmarkStart w:id="259" w:name="_Toc511664583"/>
      <w:r w:rsidRPr="009F3ED8">
        <w:instrText>II.4.4.</w:instrText>
      </w:r>
      <w:r w:rsidRPr="009F3ED8">
        <w:tab/>
        <w:instrText>Baseline and Sensitivity Scenarios (Public Expenditure-to-GDP ratio) - Difference between 2016 and 2070</w:instrText>
      </w:r>
      <w:bookmarkEnd w:id="259"/>
      <w:r w:rsidRPr="009F3ED8">
        <w:instrText xml:space="preserve">" \ftable \l 5 </w:instrText>
      </w:r>
      <w:r w:rsidRPr="00A43961">
        <w:fldChar w:fldCharType="end"/>
      </w:r>
      <w:r w:rsidRPr="00A43961">
        <w:t>When considering a contraction in the amount of inactive population (by raising the employment rate of older workers for the age group 55-74), expenditure is subject to a general downsizing (an average of -0.24 pps. and -0.22 pps. for the EU and euro area aggregates); moving from -0.14 pps. (Greece) to -0.39 pps. (Norway).</w:t>
      </w:r>
    </w:p>
    <w:p w14:paraId="30AD1BDA" w14:textId="77777777" w:rsidR="00223A02" w:rsidRPr="00A43961" w:rsidRDefault="00223A02" w:rsidP="00460C69">
      <w:r w:rsidRPr="00A43961">
        <w:br w:type="column"/>
        <w:t xml:space="preserve">Under higher and lower migration hypotheses, results are once again in line with our assumptions. A rise and a decrease in overall population engender, respectively, a modest positive and negative variation in education expenditure (+0.03 and -0.03 pps. at EU-level and +0.03 and -0.02 pps. for the euro area). Similarly, the impacts of a higher life expectancy also appear quite limited. </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223A02" w:rsidRPr="00A43961" w14:paraId="62D055BD" w14:textId="77777777" w:rsidTr="00460C69">
        <w:trPr>
          <w:cantSplit/>
          <w:trHeight w:val="20"/>
        </w:trPr>
        <w:tc>
          <w:tcPr>
            <w:tcW w:w="8505" w:type="dxa"/>
            <w:shd w:val="clear" w:color="auto" w:fill="auto"/>
          </w:tcPr>
          <w:p w14:paraId="7C123D8D" w14:textId="77777777" w:rsidR="00223A02" w:rsidRPr="00A43961" w:rsidRDefault="00223A02" w:rsidP="00460C69">
            <w:pPr>
              <w:pStyle w:val="SlimCell"/>
              <w:keepNext/>
            </w:pPr>
          </w:p>
        </w:tc>
      </w:tr>
      <w:tr w:rsidR="00223A02" w:rsidRPr="00A43961" w14:paraId="6632AAAF" w14:textId="77777777" w:rsidTr="00460C69">
        <w:trPr>
          <w:cantSplit/>
        </w:trPr>
        <w:tc>
          <w:tcPr>
            <w:tcW w:w="8505" w:type="dxa"/>
            <w:shd w:val="clear" w:color="auto" w:fill="auto"/>
          </w:tcPr>
          <w:p w14:paraId="6D7615E4" w14:textId="77777777" w:rsidR="00223A02" w:rsidRPr="00A43961" w:rsidRDefault="00223A02" w:rsidP="00460C69">
            <w:pPr>
              <w:pStyle w:val="TableTitle"/>
              <w:rPr>
                <w:b/>
              </w:rPr>
            </w:pPr>
            <w:r w:rsidRPr="00A43961">
              <w:t>Table II.4.4:</w:t>
            </w:r>
            <w:r w:rsidRPr="00A43961">
              <w:rPr>
                <w:b/>
              </w:rPr>
              <w:tab/>
              <w:t>Baseline and Sensitivity Scenarios (Public Expenditure-to-GDP ratio) - Difference between 2016 and 2070</w:t>
            </w:r>
          </w:p>
        </w:tc>
      </w:tr>
      <w:tr w:rsidR="00223A02" w:rsidRPr="00A43961" w14:paraId="45F0558D" w14:textId="77777777" w:rsidTr="00460C69">
        <w:trPr>
          <w:cantSplit/>
        </w:trPr>
        <w:tc>
          <w:tcPr>
            <w:tcW w:w="8505" w:type="dxa"/>
            <w:shd w:val="clear" w:color="auto" w:fill="auto"/>
          </w:tcPr>
          <w:p w14:paraId="40CAFA47" w14:textId="77777777" w:rsidR="00223A02" w:rsidRPr="00A43961" w:rsidRDefault="00223A02" w:rsidP="00460C69">
            <w:pPr>
              <w:pStyle w:val="TableShape"/>
              <w:rPr>
                <w:sz w:val="2"/>
              </w:rPr>
            </w:pPr>
            <w:r>
              <w:rPr>
                <w:noProof/>
                <w:sz w:val="2"/>
                <w:lang w:val="hr-HR" w:eastAsia="hr-HR"/>
              </w:rPr>
              <w:drawing>
                <wp:inline distT="0" distB="0" distL="0" distR="0" wp14:anchorId="37DFD274" wp14:editId="20998DED">
                  <wp:extent cx="5400929" cy="3346366"/>
                  <wp:effectExtent l="0" t="0" r="0" b="6985"/>
                  <wp:docPr id="1046" name="Picture 1046" descr="&lt;nbr&gt;&lt;GETTEXTFROMWORD&gt;&lt;/nbr&gt;&#10;&lt;title&gt;&lt;GETTEXTFROMWORD&gt;&lt;/title&gt;&#10;&lt;id&gt;36b21a49-0af2-4048-a944-7ffc37ca9997&lt;/id&gt;&#10;&lt;srcType&gt;EXCEL&lt;/srcType&gt;&#10;&lt;srcPath&gt;U:\Budgetary projections 2018\Reports\2018 AR\Tables_and_graphs\Part II  Chapter 4\&lt;/srcPath&gt;&#10;&lt;srcName&gt;Tables II.4.1-II.4.5.xlsx&lt;/srcName&gt;&#10;&lt;type&gt;table&lt;/type&gt;&#10; &lt;srcSheet&gt;Table II.4.5&lt;/srcSheet&gt;&#10; &lt;srcRange&gt;R2C2:R36C17&lt;/srcRange&gt;&#10;&lt;pos&gt;top&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08T17:26:4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400929" cy="3346366"/>
                          </a:xfrm>
                          <a:prstGeom prst="rect">
                            <a:avLst/>
                          </a:prstGeom>
                          <a:noFill/>
                          <a:ln>
                            <a:noFill/>
                          </a:ln>
                        </pic:spPr>
                      </pic:pic>
                    </a:graphicData>
                  </a:graphic>
                </wp:inline>
              </w:drawing>
            </w:r>
          </w:p>
        </w:tc>
      </w:tr>
      <w:tr w:rsidR="00223A02" w:rsidRPr="00A43961" w14:paraId="45E65A6E" w14:textId="77777777" w:rsidTr="00460C69">
        <w:trPr>
          <w:cantSplit/>
        </w:trPr>
        <w:tc>
          <w:tcPr>
            <w:tcW w:w="8505" w:type="dxa"/>
            <w:shd w:val="clear" w:color="auto" w:fill="auto"/>
          </w:tcPr>
          <w:p w14:paraId="300EE14F" w14:textId="77777777" w:rsidR="00223A02" w:rsidRPr="00A43961" w:rsidRDefault="00223A02" w:rsidP="00460C69">
            <w:pPr>
              <w:pStyle w:val="TableSource"/>
            </w:pPr>
            <w:r w:rsidRPr="00A43961">
              <w:rPr>
                <w:b/>
                <w:i/>
              </w:rPr>
              <w:t>Source:</w:t>
            </w:r>
            <w:r w:rsidRPr="00A43961">
              <w:t xml:space="preserve"> Commission services, EPC.</w:t>
            </w:r>
          </w:p>
        </w:tc>
      </w:tr>
      <w:tr w:rsidR="00223A02" w:rsidRPr="00A43961" w14:paraId="6A71F61B" w14:textId="77777777" w:rsidTr="00460C69">
        <w:trPr>
          <w:cantSplit/>
          <w:trHeight w:val="20"/>
        </w:trPr>
        <w:tc>
          <w:tcPr>
            <w:tcW w:w="8505" w:type="dxa"/>
            <w:shd w:val="clear" w:color="auto" w:fill="auto"/>
          </w:tcPr>
          <w:p w14:paraId="312819C9" w14:textId="77777777" w:rsidR="00223A02" w:rsidRPr="00A43961" w:rsidRDefault="00223A02" w:rsidP="00460C69">
            <w:pPr>
              <w:pStyle w:val="SlimCell"/>
            </w:pPr>
          </w:p>
        </w:tc>
      </w:tr>
    </w:tbl>
    <w:p w14:paraId="30FB4B97" w14:textId="77777777" w:rsidR="00223A02" w:rsidRPr="00A43961" w:rsidRDefault="00223A02" w:rsidP="00460C69"/>
    <w:p w14:paraId="338FBB45" w14:textId="77777777" w:rsidR="00223A02" w:rsidRPr="00A43961" w:rsidRDefault="00223A02" w:rsidP="00460C69">
      <w:r w:rsidRPr="00A43961">
        <w:br w:type="column"/>
      </w:r>
      <w:r w:rsidRPr="00A43961">
        <w:lastRenderedPageBreak/>
        <w:fldChar w:fldCharType="begin"/>
      </w:r>
      <w:r w:rsidRPr="009F3ED8">
        <w:instrText xml:space="preserve"> TC "</w:instrText>
      </w:r>
      <w:bookmarkStart w:id="260" w:name="_Toc511664584"/>
      <w:r w:rsidRPr="009F3ED8">
        <w:instrText>II.4.5.</w:instrText>
      </w:r>
      <w:r w:rsidRPr="009F3ED8">
        <w:tab/>
        <w:instrText>Alternative sensitivity scenarios - Difference from the Baseline in 2070</w:instrText>
      </w:r>
      <w:bookmarkEnd w:id="260"/>
      <w:r w:rsidRPr="009F3ED8">
        <w:instrText xml:space="preserve">" \ftable \l 5 </w:instrText>
      </w:r>
      <w:r w:rsidRPr="00A43961">
        <w:fldChar w:fldCharType="end"/>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223A02" w:rsidRPr="00A43961" w14:paraId="7F5A7355" w14:textId="77777777" w:rsidTr="00460C69">
        <w:trPr>
          <w:cantSplit/>
          <w:trHeight w:val="20"/>
        </w:trPr>
        <w:tc>
          <w:tcPr>
            <w:tcW w:w="8505" w:type="dxa"/>
            <w:shd w:val="clear" w:color="auto" w:fill="auto"/>
          </w:tcPr>
          <w:p w14:paraId="2C10109F" w14:textId="77777777" w:rsidR="00223A02" w:rsidRPr="00A43961" w:rsidRDefault="00223A02" w:rsidP="00460C69">
            <w:pPr>
              <w:pStyle w:val="SlimCell"/>
              <w:keepNext/>
            </w:pPr>
          </w:p>
        </w:tc>
      </w:tr>
      <w:tr w:rsidR="00223A02" w:rsidRPr="00A43961" w14:paraId="56D331D7" w14:textId="77777777" w:rsidTr="00460C69">
        <w:trPr>
          <w:cantSplit/>
        </w:trPr>
        <w:tc>
          <w:tcPr>
            <w:tcW w:w="8505" w:type="dxa"/>
            <w:shd w:val="clear" w:color="auto" w:fill="auto"/>
          </w:tcPr>
          <w:p w14:paraId="4C078056" w14:textId="77777777" w:rsidR="00223A02" w:rsidRPr="00A43961" w:rsidRDefault="00223A02" w:rsidP="00460C69">
            <w:pPr>
              <w:pStyle w:val="TableTitle"/>
              <w:rPr>
                <w:b/>
              </w:rPr>
            </w:pPr>
            <w:r w:rsidRPr="00A43961">
              <w:t>Table II.4.5:</w:t>
            </w:r>
            <w:r w:rsidRPr="00A43961">
              <w:rPr>
                <w:b/>
              </w:rPr>
              <w:tab/>
              <w:t>Alternative sensitivity scenarios - Difference from the Baseline in 2070</w:t>
            </w:r>
          </w:p>
        </w:tc>
      </w:tr>
      <w:tr w:rsidR="00223A02" w:rsidRPr="00A43961" w14:paraId="5430F7C3" w14:textId="77777777" w:rsidTr="00460C69">
        <w:trPr>
          <w:cantSplit/>
        </w:trPr>
        <w:tc>
          <w:tcPr>
            <w:tcW w:w="8505" w:type="dxa"/>
            <w:shd w:val="clear" w:color="auto" w:fill="auto"/>
          </w:tcPr>
          <w:p w14:paraId="7F2BF3B2" w14:textId="77777777" w:rsidR="00223A02" w:rsidRPr="00A43961" w:rsidRDefault="00223A02" w:rsidP="00460C69">
            <w:pPr>
              <w:pStyle w:val="TableShape"/>
              <w:rPr>
                <w:sz w:val="2"/>
              </w:rPr>
            </w:pPr>
            <w:r>
              <w:rPr>
                <w:noProof/>
                <w:sz w:val="2"/>
                <w:lang w:val="hr-HR" w:eastAsia="hr-HR"/>
              </w:rPr>
              <w:drawing>
                <wp:inline distT="0" distB="0" distL="0" distR="0" wp14:anchorId="3DE67226" wp14:editId="4CB5E65C">
                  <wp:extent cx="5400040" cy="4206240"/>
                  <wp:effectExtent l="0" t="0" r="0" b="3810"/>
                  <wp:docPr id="1047" name="Picture 1047" descr="&lt;nbr&gt;&lt;GETTEXTFROMWORD&gt;&lt;/nbr&gt;&#10;&lt;title&gt;&lt;GETTEXTFROMWORD&gt;&lt;/title&gt;&#10;&lt;id&gt;e0330abc-5090-4c8b-b2e8-6ea87c5800c7&lt;/id&gt;&#10;&lt;srcType&gt;EXCEL&lt;/srcType&gt;&#10;&lt;srcPath&gt;U:\Budgetary projections 2018\Reports\2018 AR\Tables_and_graphs\Part II  Chapter 4\&lt;/srcPath&gt;&#10;&lt;srcName&gt;Tables II.4.1-II.4.5.xlsx&lt;/srcName&gt;&#10;&lt;type&gt;table&lt;/type&gt;&#10; &lt;srcSheet&gt;Table II.4.6&lt;/srcSheet&gt;&#10; &lt;srcRange&gt;R2C2:R36C18&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3-08T17:26:42&lt;/scrFileTime&gt;&#10;&lt;imageInformation&gt;&#10; &lt;dontScaleUp&gt;yes&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400040" cy="4206240"/>
                          </a:xfrm>
                          <a:prstGeom prst="rect">
                            <a:avLst/>
                          </a:prstGeom>
                          <a:noFill/>
                          <a:ln>
                            <a:noFill/>
                          </a:ln>
                        </pic:spPr>
                      </pic:pic>
                    </a:graphicData>
                  </a:graphic>
                </wp:inline>
              </w:drawing>
            </w:r>
          </w:p>
        </w:tc>
      </w:tr>
      <w:tr w:rsidR="00223A02" w:rsidRPr="00A43961" w14:paraId="3B682385" w14:textId="77777777" w:rsidTr="00460C69">
        <w:trPr>
          <w:cantSplit/>
        </w:trPr>
        <w:tc>
          <w:tcPr>
            <w:tcW w:w="8505" w:type="dxa"/>
            <w:shd w:val="clear" w:color="auto" w:fill="auto"/>
          </w:tcPr>
          <w:p w14:paraId="759DD6AB" w14:textId="77777777" w:rsidR="00223A02" w:rsidRDefault="00223A02" w:rsidP="00460C69">
            <w:pPr>
              <w:pStyle w:val="TableFootnote"/>
            </w:pPr>
            <w:r>
              <w:t>(1)The sensitivity scenarios on productivity development (TFP Risk, Higher TFP, and Lower TFP) are the same as the baseline and are not reported here.</w:t>
            </w:r>
          </w:p>
          <w:p w14:paraId="43414E5D" w14:textId="77777777" w:rsidR="00223A02" w:rsidRPr="00A43961" w:rsidRDefault="00223A02" w:rsidP="00460C69">
            <w:pPr>
              <w:pStyle w:val="TableSource"/>
            </w:pPr>
            <w:r w:rsidRPr="00A43961">
              <w:rPr>
                <w:b/>
                <w:i/>
              </w:rPr>
              <w:t>Source:</w:t>
            </w:r>
            <w:r w:rsidRPr="00A43961">
              <w:t xml:space="preserve"> Commission services, EPC.</w:t>
            </w:r>
          </w:p>
        </w:tc>
      </w:tr>
      <w:tr w:rsidR="00223A02" w:rsidRPr="00A43961" w14:paraId="789C03CF" w14:textId="77777777" w:rsidTr="00460C69">
        <w:trPr>
          <w:cantSplit/>
          <w:trHeight w:val="20"/>
        </w:trPr>
        <w:tc>
          <w:tcPr>
            <w:tcW w:w="8505" w:type="dxa"/>
            <w:shd w:val="clear" w:color="auto" w:fill="auto"/>
          </w:tcPr>
          <w:p w14:paraId="25278813" w14:textId="77777777" w:rsidR="00223A02" w:rsidRPr="00A43961" w:rsidRDefault="00223A02" w:rsidP="00460C69">
            <w:pPr>
              <w:pStyle w:val="SlimCell"/>
            </w:pPr>
          </w:p>
        </w:tc>
      </w:tr>
    </w:tbl>
    <w:p w14:paraId="144B2446" w14:textId="77777777" w:rsidR="00223A02" w:rsidRPr="00A43961" w:rsidRDefault="00223A02" w:rsidP="00460C69">
      <w:r w:rsidRPr="00A43961">
        <w:t xml:space="preserve">Finally, as expected, a lower fertility scenario (where fertility rate is assumed to be 20 % lower compared to the baseline scenario over the entire projection horizon) mainly generates a reduction in expenditure (-0.74 pps. and -0.71 pps. for the EU and euro area, respectively), due to a fall in the number of future students.  </w:t>
      </w:r>
    </w:p>
    <w:p w14:paraId="21BB3F83" w14:textId="77777777" w:rsidR="00223A02" w:rsidRDefault="00223A02" w:rsidP="00460C69">
      <w:r w:rsidRPr="00A43961">
        <w:t xml:space="preserve">Likewise, in the policy scenario (which adopts an automatic mechanism revising the retirement age with the evolution of life expectancy), we observe a widespread reduction in expenditure levels across countries, mainly explained by an increment of people engaged in employment activities. </w:t>
      </w:r>
    </w:p>
    <w:bookmarkEnd w:id="245"/>
    <w:p w14:paraId="27805344" w14:textId="77777777" w:rsidR="00223A02" w:rsidRDefault="00223A02" w:rsidP="00460C69">
      <w:pPr>
        <w:sectPr w:rsidR="00223A02" w:rsidSect="00223A02">
          <w:headerReference w:type="even" r:id="rId279"/>
          <w:headerReference w:type="default" r:id="rId280"/>
          <w:footerReference w:type="even" r:id="rId281"/>
          <w:footerReference w:type="default" r:id="rId282"/>
          <w:headerReference w:type="first" r:id="rId283"/>
          <w:footerReference w:type="first" r:id="rId284"/>
          <w:endnotePr>
            <w:numFmt w:val="decimal"/>
            <w:numRestart w:val="eachSect"/>
          </w:endnotePr>
          <w:pgSz w:w="11907" w:h="16839"/>
          <w:pgMar w:top="2693" w:right="1701" w:bottom="1417" w:left="1701" w:header="709" w:footer="1191" w:gutter="0"/>
          <w:cols w:num="2" w:space="283"/>
          <w:titlePg/>
          <w:docGrid w:linePitch="360"/>
        </w:sectPr>
      </w:pPr>
    </w:p>
    <w:bookmarkStart w:id="261" w:name="GUID7278828F8F044528844D213AC582D10D"/>
    <w:p w14:paraId="010726E8" w14:textId="77777777" w:rsidR="00223A02" w:rsidRPr="009F3ED8" w:rsidRDefault="00223A02" w:rsidP="00460C69">
      <w:pPr>
        <w:pStyle w:val="EPKitTCFrame"/>
      </w:pPr>
      <w:r w:rsidRPr="009F3ED8">
        <w:lastRenderedPageBreak/>
        <w:fldChar w:fldCharType="begin"/>
      </w:r>
      <w:r w:rsidRPr="009F3ED8">
        <w:rPr>
          <w:vanish w:val="0"/>
        </w:rPr>
        <w:instrText xml:space="preserve"> TC "</w:instrText>
      </w:r>
      <w:bookmarkStart w:id="262" w:name="_Toc511664453"/>
      <w:r w:rsidRPr="009F3ED8">
        <w:rPr>
          <w:vanish w:val="0"/>
        </w:rPr>
        <w:instrText>5.</w:instrText>
      </w:r>
      <w:r w:rsidRPr="009F3ED8">
        <w:rPr>
          <w:vanish w:val="0"/>
        </w:rPr>
        <w:tab/>
        <w:instrText>Unemployment benefit expenditure</w:instrText>
      </w:r>
      <w:bookmarkEnd w:id="262"/>
      <w:r w:rsidRPr="009F3ED8">
        <w:rPr>
          <w:vanish w:val="0"/>
        </w:rPr>
        <w:instrText xml:space="preserve">" \f \l 2 </w:instrText>
      </w:r>
      <w:r w:rsidRPr="009F3ED8">
        <w:fldChar w:fldCharType="end"/>
      </w:r>
    </w:p>
    <w:p w14:paraId="0A6C4589" w14:textId="77777777" w:rsidR="00223A02" w:rsidRPr="007A5B12" w:rsidRDefault="00223A02" w:rsidP="00460C69">
      <w:pPr>
        <w:pStyle w:val="NumberedHeading1"/>
        <w:tabs>
          <w:tab w:val="left" w:pos="567"/>
        </w:tabs>
      </w:pPr>
      <w:bookmarkStart w:id="263" w:name="_Toc511664454"/>
      <w:r w:rsidRPr="007A5B12">
        <w:t>5.1.</w:t>
      </w:r>
      <w:r w:rsidRPr="007A5B12">
        <w:tab/>
        <w:t>Introduction</w:t>
      </w:r>
      <w:bookmarkEnd w:id="263"/>
    </w:p>
    <w:p w14:paraId="76B45589" w14:textId="77777777" w:rsidR="00223A02" w:rsidRPr="007A5B12" w:rsidRDefault="00223A02" w:rsidP="00460C69">
      <w:r w:rsidRPr="007A5B12">
        <w:t>In order to preserve the comprehensive nature of the long term budgetary exercise, unemployment benefit (UB) expenditure projections are carried out although UB expenditure is largely driven by (short- and medium-term) cyclical fluctuations and influenced by structural factors relating to the functioning of the labour market, rather than by (long-term) demographic trends. In addition, and for underperforming countries, UB projections largely depend on the assumption of a decline in the (structural) unemployment rate (UR). This is rather significant in some Member States, converging to an assumed unemployment rate (EU median), implicitly assuming future implementation of structural reforms in labour markets (</w:t>
      </w:r>
      <w:r w:rsidRPr="007A5B12">
        <w:rPr>
          <w:rStyle w:val="Referencafusnote"/>
        </w:rPr>
        <w:footnoteReference w:id="132"/>
      </w:r>
      <w:r w:rsidRPr="007A5B12">
        <w:t xml:space="preserve">). </w:t>
      </w:r>
    </w:p>
    <w:p w14:paraId="7F425A05" w14:textId="77777777" w:rsidR="00223A02" w:rsidRPr="007A5B12" w:rsidRDefault="00223A02" w:rsidP="00460C69">
      <w:r w:rsidRPr="007A5B12">
        <w:t>A simple equation is used to project UB expenditure. In order to apply the methodology described here and secure the comparability of projections across countries, data should be taken from Eurostat's Social Protection Statistics (ESSPROS) (</w:t>
      </w:r>
      <w:r w:rsidRPr="007A5B12">
        <w:rPr>
          <w:rStyle w:val="Referencafusnote"/>
        </w:rPr>
        <w:footnoteReference w:id="133"/>
      </w:r>
      <w:r w:rsidRPr="007A5B12">
        <w:t>).  Furthermore, expenditure data on unemployment benefits should cover recent years, namely 2014 and 2015. Given the delays involved in the official publication of these values by Eurostat, updated values for 2015 as provided by EPC/AWG delegates were used. Eurostat has published ESSPROS data for 2014 for all 29 countries covered in the projections (EU28 and Norway), and partially for 2015 (</w:t>
      </w:r>
      <w:r w:rsidRPr="007A5B12">
        <w:rPr>
          <w:rStyle w:val="Referencafusnote"/>
        </w:rPr>
        <w:footnoteReference w:id="134"/>
      </w:r>
      <w:r w:rsidRPr="007A5B12">
        <w:t>).  Six Member States provided additional information (</w:t>
      </w:r>
      <w:r w:rsidRPr="007A5B12">
        <w:rPr>
          <w:rStyle w:val="Referencafusnote"/>
        </w:rPr>
        <w:footnoteReference w:id="135"/>
      </w:r>
      <w:r w:rsidRPr="007A5B12">
        <w:t xml:space="preserve">).  </w:t>
      </w:r>
    </w:p>
    <w:p w14:paraId="2F8473F8" w14:textId="77777777" w:rsidR="00223A02" w:rsidRPr="007A5B12" w:rsidRDefault="00223A02" w:rsidP="00460C69">
      <w:r w:rsidRPr="007A5B12">
        <w:t xml:space="preserve">UB projections require three elements: i) calibration of UB expenditure for a recent base year/period; ii) assumption of an UR trajectory up to 2070; and, iii) the assumptions of constant replacement and coverage rates of UB systems </w:t>
      </w:r>
      <w:r w:rsidRPr="007A5B12">
        <w:lastRenderedPageBreak/>
        <w:t>from the start of the projection period, in line with the no-policy-change assumption (</w:t>
      </w:r>
      <w:r w:rsidRPr="007A5B12">
        <w:rPr>
          <w:rStyle w:val="Referencafusnote"/>
        </w:rPr>
        <w:footnoteReference w:id="136"/>
      </w:r>
      <w:r w:rsidRPr="007A5B12">
        <w:t xml:space="preserve">). </w:t>
      </w:r>
    </w:p>
    <w:p w14:paraId="0761B834" w14:textId="77777777" w:rsidR="00223A02" w:rsidRPr="007A5B12" w:rsidRDefault="00223A02" w:rsidP="00460C69">
      <w:pPr>
        <w:pStyle w:val="NumberedHeading1"/>
        <w:tabs>
          <w:tab w:val="left" w:pos="567"/>
        </w:tabs>
      </w:pPr>
      <w:bookmarkStart w:id="264" w:name="_Toc511664455"/>
      <w:r w:rsidRPr="007A5B12">
        <w:t>5.2.</w:t>
      </w:r>
      <w:r w:rsidRPr="007A5B12">
        <w:tab/>
        <w:t>The input data</w:t>
      </w:r>
      <w:bookmarkEnd w:id="264"/>
    </w:p>
    <w:p w14:paraId="4AE464D4" w14:textId="77777777" w:rsidR="00223A02" w:rsidRPr="007A5B12" w:rsidRDefault="00223A02" w:rsidP="00460C69">
      <w:r w:rsidRPr="007A5B12">
        <w:t>The methodology uses the AWG's unemployment rate scenario (as the driving variable) and expenditure in periodic full and partial unemployment benefits in the base period 2014-2015 (for most countries) to extrapolate future expenditure levels (</w:t>
      </w:r>
      <w:r w:rsidRPr="007A5B12">
        <w:rPr>
          <w:rStyle w:val="Referencafusnote"/>
        </w:rPr>
        <w:footnoteReference w:id="137"/>
      </w:r>
      <w:r w:rsidRPr="007A5B12">
        <w:t xml:space="preserve">). Using multi-annual averages can limit the impact of any given year on the final results, which is desirable in periods of strong economic fluctuations. </w:t>
      </w:r>
    </w:p>
    <w:p w14:paraId="36FCECDC" w14:textId="77777777" w:rsidR="00223A02" w:rsidRPr="007A5B12" w:rsidRDefault="00223A02" w:rsidP="00460C69">
      <w:r w:rsidRPr="007A5B12">
        <w:t>Given the unemployment rate scenario described in Part I of this report, the calculations assume that factors that affect the number of UB beneficiaries (entitlement rules that affect coverage, take-up rates, and so on) remain constant (</w:t>
      </w:r>
      <w:r w:rsidRPr="007A5B12">
        <w:rPr>
          <w:rStyle w:val="Referencafusnote"/>
        </w:rPr>
        <w:footnoteReference w:id="138"/>
      </w:r>
      <w:r w:rsidRPr="007A5B12">
        <w:t xml:space="preserve">) . This approximation should be neutral, particularly over the long term, not leading to any systematic bias in the projections. </w:t>
      </w:r>
    </w:p>
    <w:p w14:paraId="20179794" w14:textId="77777777" w:rsidR="00223A02" w:rsidRPr="007A5B12" w:rsidRDefault="00223A02" w:rsidP="00460C69">
      <w:r w:rsidRPr="007A5B12">
        <w:t xml:space="preserve">In order to guarantee the comparability of projections across countries, expenditure data were taken mainly from Eurostat's ESSPROS, specifically the sum of periodic full and partial unemployment benefits (Table </w:t>
      </w:r>
      <w:r w:rsidRPr="007A5B12">
        <w:fldChar w:fldCharType="begin"/>
      </w:r>
      <w:r w:rsidRPr="007A5B12">
        <w:instrText xml:space="preserve"> QUOTE "II.5.1"</w:instrText>
      </w:r>
      <w:r w:rsidRPr="007A5B12">
        <w:fldChar w:fldCharType="begin">
          <w:fldData xml:space="preserve">QwBSAE8AUwBTAFIARQBGAEUAUgBFAE4AQwBFACoAVABBAEIATABFACoAMABjADQAMgBkAGEAMAAx
AC0AZQBlAGEANQAtADQANAAwADUALQA4AGYANAA2AC0AYwBiADMAZABjADIAOQA0ADAAZgA1ADQA
</w:fldData>
        </w:fldChar>
      </w:r>
      <w:r w:rsidRPr="007A5B12">
        <w:instrText xml:space="preserve"> ADDIN </w:instrText>
      </w:r>
      <w:r w:rsidRPr="007A5B12">
        <w:fldChar w:fldCharType="end"/>
      </w:r>
      <w:r w:rsidRPr="007A5B12">
        <w:instrText xml:space="preserve"> </w:instrText>
      </w:r>
      <w:r w:rsidRPr="007A5B12">
        <w:fldChar w:fldCharType="separate"/>
      </w:r>
      <w:r w:rsidR="009F3ED8" w:rsidRPr="007A5B12">
        <w:t>II.5.1</w:t>
      </w:r>
      <w:r w:rsidRPr="007A5B12">
        <w:fldChar w:fldCharType="end"/>
      </w:r>
      <w:r w:rsidRPr="007A5B12">
        <w:t>) (</w:t>
      </w:r>
      <w:r w:rsidRPr="007A5B12">
        <w:rPr>
          <w:rStyle w:val="Referencafusnote"/>
        </w:rPr>
        <w:footnoteReference w:id="139"/>
      </w:r>
      <w:r w:rsidRPr="007A5B12">
        <w:t xml:space="preserve">).  </w:t>
      </w:r>
    </w:p>
    <w:p w14:paraId="441ED292" w14:textId="77777777" w:rsidR="00223A02" w:rsidRPr="007A5B12" w:rsidRDefault="00223A02" w:rsidP="00460C69">
      <w:r w:rsidRPr="007A5B12">
        <w:t xml:space="preserve">As in previous long-term projection rounds, DG ECFIN's structural unemployment rate estimates (NAWRU) are used as a proxy for the structural unemployment rate.  </w:t>
      </w:r>
    </w:p>
    <w:p w14:paraId="6D8101A7" w14:textId="77777777" w:rsidR="00223A02" w:rsidRPr="007A5B12" w:rsidRDefault="00223A02" w:rsidP="00460C69">
      <w:r w:rsidRPr="007A5B12">
        <w:t xml:space="preserve">As a general rule, actual unemployment rates are assumed to converge to NAWRU rates in five years (by 2021) corresponding to the assumed </w:t>
      </w:r>
      <w:r w:rsidRPr="007A5B12">
        <w:lastRenderedPageBreak/>
        <w:t>closure of the output gap (</w:t>
      </w:r>
      <w:r w:rsidRPr="007A5B12">
        <w:rPr>
          <w:rStyle w:val="Referencafusnote"/>
        </w:rPr>
        <w:footnoteReference w:id="140"/>
      </w:r>
      <w:r w:rsidRPr="007A5B12">
        <w:t>). Then, NAWRU rates are assumed to gradually converge to the minimum of country</w:t>
      </w:r>
      <w:r w:rsidRPr="007A5B12">
        <w:noBreakHyphen/>
        <w:t xml:space="preserve">specific </w:t>
      </w:r>
      <w:r w:rsidRPr="007A5B12">
        <w:rPr>
          <w:i/>
        </w:rPr>
        <w:t>Anchors</w:t>
      </w:r>
      <w:r w:rsidRPr="007A5B12">
        <w:t xml:space="preserve"> or the median of national </w:t>
      </w:r>
      <w:r w:rsidRPr="007A5B12">
        <w:rPr>
          <w:i/>
        </w:rPr>
        <w:t>Anchors</w:t>
      </w:r>
      <w:r w:rsidRPr="007A5B12">
        <w:t xml:space="preserve"> in the EU (which is 7.9%), whichever is the lowest (see Table </w:t>
      </w:r>
      <w:r w:rsidRPr="007A5B12">
        <w:fldChar w:fldCharType="begin"/>
      </w:r>
      <w:r w:rsidRPr="007A5B12">
        <w:instrText xml:space="preserve"> QUOTE "II.5.2"</w:instrText>
      </w:r>
      <w:r w:rsidRPr="007A5B12">
        <w:fldChar w:fldCharType="begin">
          <w:fldData xml:space="preserve">QwBSAE8AUwBTAFIARQBGAEUAUgBFAE4AQwBFACoAVABBAEIATABFACoANAAyADUAMQBjAGYAMAA2
AC0AMgA0AGMANwAtADQAZQA2AGQALQA5AGUAMwBiAC0AMABiADcAOQBkADYAZgBlADIAMgBiAGEA
</w:fldData>
        </w:fldChar>
      </w:r>
      <w:r w:rsidRPr="007A5B12">
        <w:instrText xml:space="preserve"> ADDIN </w:instrText>
      </w:r>
      <w:r w:rsidRPr="007A5B12">
        <w:fldChar w:fldCharType="end"/>
      </w:r>
      <w:r w:rsidRPr="007A5B12">
        <w:instrText xml:space="preserve"> </w:instrText>
      </w:r>
      <w:r w:rsidRPr="007A5B12">
        <w:fldChar w:fldCharType="separate"/>
      </w:r>
      <w:r w:rsidR="009F3ED8" w:rsidRPr="007A5B12">
        <w:t>II.5.2</w:t>
      </w:r>
      <w:r w:rsidRPr="007A5B12">
        <w:fldChar w:fldCharType="end"/>
      </w:r>
      <w:r w:rsidRPr="007A5B12">
        <w:t xml:space="preserve"> for the unemployment rate projections) (</w:t>
      </w:r>
      <w:r w:rsidRPr="007A5B12">
        <w:rPr>
          <w:rStyle w:val="Referencafusnote"/>
        </w:rPr>
        <w:footnoteReference w:id="141"/>
      </w:r>
      <w:r w:rsidRPr="007A5B12">
        <w:t>) (</w:t>
      </w:r>
      <w:r w:rsidRPr="007A5B12">
        <w:rPr>
          <w:rStyle w:val="Referencafusnote"/>
        </w:rPr>
        <w:footnoteReference w:id="142"/>
      </w:r>
      <w:r w:rsidRPr="007A5B12">
        <w:t>).</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7A5B12" w14:paraId="13C6B550" w14:textId="77777777" w:rsidTr="00460C69">
        <w:trPr>
          <w:cantSplit/>
          <w:trHeight w:val="20"/>
        </w:trPr>
        <w:tc>
          <w:tcPr>
            <w:tcW w:w="4110" w:type="dxa"/>
            <w:shd w:val="clear" w:color="auto" w:fill="auto"/>
          </w:tcPr>
          <w:p w14:paraId="092962FA" w14:textId="77777777" w:rsidR="00223A02" w:rsidRPr="007A5B12" w:rsidRDefault="00223A02" w:rsidP="00460C69">
            <w:pPr>
              <w:pStyle w:val="SlimCell"/>
              <w:keepNext/>
            </w:pPr>
          </w:p>
        </w:tc>
      </w:tr>
      <w:tr w:rsidR="00223A02" w:rsidRPr="007A5B12" w14:paraId="65820E69" w14:textId="77777777" w:rsidTr="00460C69">
        <w:trPr>
          <w:cantSplit/>
        </w:trPr>
        <w:tc>
          <w:tcPr>
            <w:tcW w:w="4110" w:type="dxa"/>
            <w:shd w:val="clear" w:color="auto" w:fill="auto"/>
          </w:tcPr>
          <w:p w14:paraId="49268325" w14:textId="77777777" w:rsidR="00223A02" w:rsidRPr="007A5B12" w:rsidRDefault="00223A02" w:rsidP="00460C69">
            <w:pPr>
              <w:pStyle w:val="TableTitle"/>
              <w:rPr>
                <w:b/>
              </w:rPr>
            </w:pPr>
            <w:r w:rsidRPr="007A5B12">
              <w:t>Table II.5.1:</w:t>
            </w:r>
            <w:r w:rsidRPr="007A5B12">
              <w:rPr>
                <w:b/>
              </w:rPr>
              <w:tab/>
              <w:t>Periodic full and partial unemployment benefits, % of GDP</w:t>
            </w:r>
          </w:p>
        </w:tc>
      </w:tr>
      <w:tr w:rsidR="00223A02" w:rsidRPr="007A5B12" w14:paraId="606CE2F2" w14:textId="77777777" w:rsidTr="00460C69">
        <w:trPr>
          <w:cantSplit/>
        </w:trPr>
        <w:tc>
          <w:tcPr>
            <w:tcW w:w="4110" w:type="dxa"/>
            <w:shd w:val="clear" w:color="auto" w:fill="auto"/>
          </w:tcPr>
          <w:p w14:paraId="496FC888" w14:textId="77777777" w:rsidR="00223A02" w:rsidRPr="007A5B12" w:rsidRDefault="00223A02" w:rsidP="00460C69">
            <w:pPr>
              <w:pStyle w:val="TableShape"/>
              <w:rPr>
                <w:sz w:val="2"/>
              </w:rPr>
            </w:pPr>
            <w:r w:rsidRPr="007A5B12">
              <w:fldChar w:fldCharType="begin"/>
            </w:r>
            <w:r w:rsidRPr="009F3ED8">
              <w:instrText xml:space="preserve"> TC "</w:instrText>
            </w:r>
            <w:bookmarkStart w:id="265" w:name="_Toc511664585"/>
            <w:r w:rsidRPr="009F3ED8">
              <w:instrText>II.5.1.</w:instrText>
            </w:r>
            <w:r w:rsidRPr="009F3ED8">
              <w:tab/>
              <w:instrText>Periodic full and partial unemployment benefits, % of GDP</w:instrText>
            </w:r>
            <w:bookmarkEnd w:id="265"/>
            <w:r w:rsidRPr="009F3ED8">
              <w:instrText xml:space="preserve">" \ftable \l 5 </w:instrText>
            </w:r>
            <w:r w:rsidRPr="007A5B12">
              <w:fldChar w:fldCharType="end"/>
            </w:r>
            <w:r>
              <w:rPr>
                <w:noProof/>
                <w:sz w:val="2"/>
                <w:lang w:val="hr-HR" w:eastAsia="hr-HR"/>
              </w:rPr>
              <w:drawing>
                <wp:inline distT="0" distB="0" distL="0" distR="0" wp14:anchorId="795326FE" wp14:editId="060BDABC">
                  <wp:extent cx="2597595" cy="3324442"/>
                  <wp:effectExtent l="0" t="0" r="0" b="0"/>
                  <wp:docPr id="1048" name="Picture 1048" descr="&lt;nbr&gt;&lt;GETTEXTFROMWORD&gt;&lt;/nbr&gt;&#10;&lt;title&gt;&lt;GETTEXTFROMWORD&gt;&lt;/title&gt;&#10;&lt;id&gt;0c42da01-eea5-4405-8f46-cb3dc2940f54&lt;/id&gt;&#10;&lt;srcType&gt;EXCEL&lt;/srcType&gt;&#10;&lt;srcPath&gt;U:\Budgetary projections 2018\Reports\2018 AR\Tables_and_graphs\Part II Chapter 5\&lt;/srcPath&gt;&#10;&lt;srcName&gt;2018 AR - UB projections.xls&lt;/srcName&gt;&#10;&lt;type&gt;table&lt;/type&gt;&#10; &lt;srcSheet&gt;INPUT UB&lt;/srcSheet&gt;&#10; &lt;srcRange&gt;R2C2:R31C14&lt;/srcRang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3-06T18:29:51&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597595" cy="3324442"/>
                          </a:xfrm>
                          <a:prstGeom prst="rect">
                            <a:avLst/>
                          </a:prstGeom>
                          <a:noFill/>
                          <a:ln>
                            <a:noFill/>
                          </a:ln>
                        </pic:spPr>
                      </pic:pic>
                    </a:graphicData>
                  </a:graphic>
                </wp:inline>
              </w:drawing>
            </w:r>
          </w:p>
        </w:tc>
      </w:tr>
      <w:tr w:rsidR="00223A02" w:rsidRPr="007A5B12" w14:paraId="7D92A304" w14:textId="77777777" w:rsidTr="00460C69">
        <w:trPr>
          <w:cantSplit/>
        </w:trPr>
        <w:tc>
          <w:tcPr>
            <w:tcW w:w="4110" w:type="dxa"/>
            <w:shd w:val="clear" w:color="auto" w:fill="auto"/>
          </w:tcPr>
          <w:p w14:paraId="4C4B3A13" w14:textId="77777777" w:rsidR="00223A02" w:rsidRDefault="00223A02" w:rsidP="00460C69">
            <w:pPr>
              <w:pStyle w:val="TableFootnote"/>
            </w:pPr>
            <w:r>
              <w:t xml:space="preserve">(1) 2016 figures for BE, BG, CY, AT, UK were provided by AWG members. </w:t>
            </w:r>
            <w:r>
              <w:br/>
              <w:t>Data for NO expressed in terms of mainland GDP.</w:t>
            </w:r>
          </w:p>
          <w:p w14:paraId="7CFFD4C6" w14:textId="77777777" w:rsidR="00223A02" w:rsidRPr="007A5B12" w:rsidRDefault="00223A02" w:rsidP="00460C69">
            <w:pPr>
              <w:pStyle w:val="TableSource"/>
            </w:pPr>
            <w:r w:rsidRPr="007A5B12">
              <w:rPr>
                <w:b/>
                <w:i/>
              </w:rPr>
              <w:t>Source:</w:t>
            </w:r>
            <w:r w:rsidRPr="007A5B12">
              <w:t xml:space="preserve"> Eurostat (ESSPROS), AWG, Commission services.</w:t>
            </w:r>
          </w:p>
        </w:tc>
      </w:tr>
      <w:tr w:rsidR="00223A02" w:rsidRPr="007A5B12" w14:paraId="6B458EC7" w14:textId="77777777" w:rsidTr="00460C69">
        <w:trPr>
          <w:cantSplit/>
          <w:trHeight w:val="20"/>
        </w:trPr>
        <w:tc>
          <w:tcPr>
            <w:tcW w:w="4110" w:type="dxa"/>
            <w:shd w:val="clear" w:color="auto" w:fill="auto"/>
            <w:tcMar>
              <w:bottom w:w="240" w:type="dxa"/>
            </w:tcMar>
          </w:tcPr>
          <w:p w14:paraId="7D84D0A7" w14:textId="77777777" w:rsidR="00223A02" w:rsidRPr="007A5B12" w:rsidRDefault="00223A02" w:rsidP="00460C69">
            <w:pPr>
              <w:pStyle w:val="SlimCell"/>
            </w:pPr>
          </w:p>
        </w:tc>
      </w:tr>
    </w:tbl>
    <w:p w14:paraId="668348B9" w14:textId="77777777" w:rsidR="00223A02" w:rsidRPr="007A5B12" w:rsidRDefault="00223A02" w:rsidP="00460C69">
      <w:r w:rsidRPr="007A5B12">
        <w:rPr>
          <w:i/>
        </w:rPr>
        <w:t>Anchors</w:t>
      </w:r>
      <w:r w:rsidRPr="007A5B12">
        <w:t xml:space="preserve"> values are country-specific values for the NAWRU that are calculated on the basis of the coefficients of a panel estimation model in which the short term NAWRU for EU old member states is regressed on a set of structural variables </w:t>
      </w:r>
      <w:r w:rsidRPr="007A5B12">
        <w:lastRenderedPageBreak/>
        <w:t>(unemployment benefit replacement rates, active labour market policies, an index of the employment protection legislation and the tax wedge) together with a set of cyclical variables (TFP, construction index and real interest rate). To derive country-specific anchors, it is assumed then that the non-structural variables are set at their average values (</w:t>
      </w:r>
      <w:r w:rsidRPr="007A5B12">
        <w:rPr>
          <w:rStyle w:val="Referencafusnote"/>
        </w:rPr>
        <w:footnoteReference w:id="143"/>
      </w:r>
      <w:r w:rsidRPr="007A5B12">
        <w:t>).</w:t>
      </w:r>
    </w:p>
    <w:p w14:paraId="5589D8B7" w14:textId="77777777" w:rsidR="00223A02" w:rsidRPr="007A5B12" w:rsidRDefault="00223A02" w:rsidP="00460C69">
      <w:r w:rsidRPr="007A5B12">
        <w:t>Capping country specific NAWRU values to 7.9% (EU median) is done in order to avoid extrapolating into the far future very high unemployment rate values, which are largely a consequence of the economic and financial crisis. Capping unemployment rates, as done in some cases, leads to higher employment, employment growth and GDP growth, and essentially assumes the implementation of future policy measures in the labour market. Therefore, this is not aligned with a 'no-policy-change' approach.</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7A5B12" w14:paraId="0CF01200" w14:textId="77777777" w:rsidTr="00460C69">
        <w:trPr>
          <w:cantSplit/>
          <w:trHeight w:val="20"/>
        </w:trPr>
        <w:tc>
          <w:tcPr>
            <w:tcW w:w="4110" w:type="dxa"/>
            <w:shd w:val="clear" w:color="auto" w:fill="auto"/>
          </w:tcPr>
          <w:p w14:paraId="244BD9D2" w14:textId="77777777" w:rsidR="00223A02" w:rsidRPr="007A5B12" w:rsidRDefault="00223A02" w:rsidP="00460C69">
            <w:pPr>
              <w:pStyle w:val="SlimCell"/>
              <w:keepNext/>
            </w:pPr>
          </w:p>
        </w:tc>
      </w:tr>
      <w:tr w:rsidR="00223A02" w:rsidRPr="007A5B12" w14:paraId="2854FD9E" w14:textId="77777777" w:rsidTr="00460C69">
        <w:trPr>
          <w:cantSplit/>
        </w:trPr>
        <w:tc>
          <w:tcPr>
            <w:tcW w:w="4110" w:type="dxa"/>
            <w:shd w:val="clear" w:color="auto" w:fill="auto"/>
          </w:tcPr>
          <w:p w14:paraId="70EF5321" w14:textId="77777777" w:rsidR="00223A02" w:rsidRPr="007A5B12" w:rsidRDefault="00223A02" w:rsidP="00460C69">
            <w:pPr>
              <w:pStyle w:val="TableTitle"/>
              <w:rPr>
                <w:b/>
              </w:rPr>
            </w:pPr>
            <w:r w:rsidRPr="007A5B12">
              <w:t>Table II.5.2:</w:t>
            </w:r>
            <w:r w:rsidRPr="007A5B12">
              <w:rPr>
                <w:b/>
              </w:rPr>
              <w:tab/>
              <w:t>Unemployment rate projections, age 15-64, % of labour force</w:t>
            </w:r>
          </w:p>
        </w:tc>
      </w:tr>
      <w:tr w:rsidR="00223A02" w:rsidRPr="007A5B12" w14:paraId="0F982975" w14:textId="77777777" w:rsidTr="00460C69">
        <w:trPr>
          <w:cantSplit/>
        </w:trPr>
        <w:tc>
          <w:tcPr>
            <w:tcW w:w="4110" w:type="dxa"/>
            <w:shd w:val="clear" w:color="auto" w:fill="auto"/>
          </w:tcPr>
          <w:p w14:paraId="5F926E23" w14:textId="77777777" w:rsidR="00223A02" w:rsidRPr="007A5B12" w:rsidRDefault="00223A02" w:rsidP="00460C69">
            <w:pPr>
              <w:pStyle w:val="TableShape"/>
              <w:rPr>
                <w:sz w:val="2"/>
              </w:rPr>
            </w:pPr>
            <w:r w:rsidRPr="007A5B12">
              <w:fldChar w:fldCharType="begin"/>
            </w:r>
            <w:r w:rsidRPr="009F3ED8">
              <w:instrText xml:space="preserve"> TC "</w:instrText>
            </w:r>
            <w:bookmarkStart w:id="266" w:name="_Toc511664586"/>
            <w:r w:rsidRPr="009F3ED8">
              <w:instrText>II.5.2.</w:instrText>
            </w:r>
            <w:r w:rsidRPr="009F3ED8">
              <w:tab/>
              <w:instrText>Unemployment rate projections, age 15-64, % of labour force</w:instrText>
            </w:r>
            <w:bookmarkEnd w:id="266"/>
            <w:r w:rsidRPr="009F3ED8">
              <w:instrText xml:space="preserve">" \ftable \l 5 </w:instrText>
            </w:r>
            <w:r w:rsidRPr="007A5B12">
              <w:fldChar w:fldCharType="end"/>
            </w:r>
            <w:r>
              <w:rPr>
                <w:noProof/>
                <w:sz w:val="2"/>
                <w:lang w:val="hr-HR" w:eastAsia="hr-HR"/>
              </w:rPr>
              <w:drawing>
                <wp:inline distT="0" distB="0" distL="0" distR="0" wp14:anchorId="0FD30689" wp14:editId="2DAE7E00">
                  <wp:extent cx="2597595" cy="4072741"/>
                  <wp:effectExtent l="0" t="0" r="0" b="4445"/>
                  <wp:docPr id="1049" name="Picture 1049" descr="&lt;nbr&gt;&lt;GETTEXTFROMWORD&gt;&lt;/nbr&gt;&#10;&lt;title&gt;&lt;GETTEXTFROMWORD&gt;&lt;/title&gt;&#10;&lt;id&gt;4251cf06-24c7-4e6d-9e3b-0b79d6fe22ba&lt;/id&gt;&#10;&lt;srcType&gt;EXCEL&lt;/srcType&gt;&#10;&lt;srcPath&gt;U:\Budgetary projections 2018\Reports\2018 AR\Tables_and_graphs\Part II Chapter 5\&lt;/srcPath&gt;&#10;&lt;srcName&gt;2018 AR - UB projections.xls&lt;/srcName&gt;&#10;&lt;type&gt;table&lt;/type&gt;&#10; &lt;srcSheet&gt;Unemp rates&lt;/srcSheet&gt;&#10; &lt;srcRange&gt;R2C2:R34C7&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06T18:29:51&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597595" cy="4072741"/>
                          </a:xfrm>
                          <a:prstGeom prst="rect">
                            <a:avLst/>
                          </a:prstGeom>
                          <a:noFill/>
                          <a:ln>
                            <a:noFill/>
                          </a:ln>
                        </pic:spPr>
                      </pic:pic>
                    </a:graphicData>
                  </a:graphic>
                </wp:inline>
              </w:drawing>
            </w:r>
          </w:p>
        </w:tc>
      </w:tr>
      <w:tr w:rsidR="00223A02" w:rsidRPr="007A5B12" w14:paraId="1DA74F1E" w14:textId="77777777" w:rsidTr="00460C69">
        <w:trPr>
          <w:cantSplit/>
        </w:trPr>
        <w:tc>
          <w:tcPr>
            <w:tcW w:w="4110" w:type="dxa"/>
            <w:shd w:val="clear" w:color="auto" w:fill="auto"/>
          </w:tcPr>
          <w:p w14:paraId="5B7B20D4" w14:textId="77777777" w:rsidR="00223A02" w:rsidRPr="007A5B12" w:rsidRDefault="00223A02" w:rsidP="00460C69">
            <w:pPr>
              <w:pStyle w:val="TableSource"/>
            </w:pPr>
            <w:r w:rsidRPr="007A5B12">
              <w:rPr>
                <w:b/>
                <w:i/>
              </w:rPr>
              <w:t>Source:</w:t>
            </w:r>
            <w:r w:rsidRPr="007A5B12">
              <w:t xml:space="preserve"> Commission services, EPC.</w:t>
            </w:r>
          </w:p>
        </w:tc>
      </w:tr>
      <w:tr w:rsidR="00223A02" w:rsidRPr="007A5B12" w14:paraId="3DA15819" w14:textId="77777777" w:rsidTr="00460C69">
        <w:trPr>
          <w:cantSplit/>
          <w:trHeight w:val="20"/>
        </w:trPr>
        <w:tc>
          <w:tcPr>
            <w:tcW w:w="4110" w:type="dxa"/>
            <w:shd w:val="clear" w:color="auto" w:fill="auto"/>
            <w:tcMar>
              <w:bottom w:w="240" w:type="dxa"/>
            </w:tcMar>
          </w:tcPr>
          <w:p w14:paraId="3692ED2B" w14:textId="77777777" w:rsidR="00223A02" w:rsidRPr="007A5B12" w:rsidRDefault="00223A02" w:rsidP="00460C69">
            <w:pPr>
              <w:pStyle w:val="SlimCell"/>
            </w:pPr>
          </w:p>
        </w:tc>
      </w:tr>
    </w:tbl>
    <w:p w14:paraId="71BD89E0" w14:textId="77777777" w:rsidR="00223A02" w:rsidRPr="007A5B12" w:rsidRDefault="00223A02" w:rsidP="00460C69">
      <w:pPr>
        <w:pStyle w:val="NumberedHeading1"/>
        <w:tabs>
          <w:tab w:val="left" w:pos="567"/>
        </w:tabs>
      </w:pPr>
      <w:bookmarkStart w:id="267" w:name="_Toc511664456"/>
      <w:r w:rsidRPr="007A5B12">
        <w:t>5.3.</w:t>
      </w:r>
      <w:r w:rsidRPr="007A5B12">
        <w:tab/>
        <w:t>Unemployment benefit expenditure: baseline  projections</w:t>
      </w:r>
      <w:bookmarkEnd w:id="267"/>
      <w:r w:rsidRPr="007A5B12">
        <w:t xml:space="preserve"> </w:t>
      </w:r>
    </w:p>
    <w:p w14:paraId="0F5F4B91" w14:textId="77777777" w:rsidR="00223A02" w:rsidRPr="007A5B12" w:rsidRDefault="00223A02" w:rsidP="00460C69">
      <w:r w:rsidRPr="007A5B12">
        <w:t xml:space="preserve">Table </w:t>
      </w:r>
      <w:r w:rsidRPr="007A5B12">
        <w:fldChar w:fldCharType="begin"/>
      </w:r>
      <w:r w:rsidRPr="007A5B12">
        <w:instrText xml:space="preserve"> QUOTE "II.5.3"</w:instrText>
      </w:r>
      <w:r w:rsidRPr="007A5B12">
        <w:fldChar w:fldCharType="begin">
          <w:fldData xml:space="preserve">QwBSAE8AUwBTAFIARQBGAEUAUgBFAE4AQwBFACoAVABBAEIATABFACoAZQBmAGYAZQBiAGEANwA2
AC0AZAAwAGMAYgAtADQAMwA1ADMALQBhAGMAOQBhAC0AZAA5ADMAZQBlADYAMgAwADcAYwAxADEA
</w:fldData>
        </w:fldChar>
      </w:r>
      <w:r w:rsidRPr="007A5B12">
        <w:instrText xml:space="preserve"> ADDIN </w:instrText>
      </w:r>
      <w:r w:rsidRPr="007A5B12">
        <w:fldChar w:fldCharType="end"/>
      </w:r>
      <w:r w:rsidRPr="007A5B12">
        <w:instrText xml:space="preserve"> </w:instrText>
      </w:r>
      <w:r w:rsidRPr="007A5B12">
        <w:fldChar w:fldCharType="separate"/>
      </w:r>
      <w:r w:rsidR="009F3ED8" w:rsidRPr="007A5B12">
        <w:t>II.5.3</w:t>
      </w:r>
      <w:r w:rsidRPr="007A5B12">
        <w:fldChar w:fldCharType="end"/>
      </w:r>
      <w:r w:rsidRPr="007A5B12">
        <w:t xml:space="preserve"> presents UB projections for the period 2016-2070. In the EU as a whole, unemployment expenditure is projected to decline by 0.2 pps. of GDP by 2070 (from 0.8% of GDP to 0.6%). In 24 out of a total of 29 countries, the UB expenditure-to-GDP ratio is projected to decrease influenced by the unemployment rate assumptions, and in the remaining five countries it increases by 0.1 pps. of GDP or less (see Table </w:t>
      </w:r>
      <w:r w:rsidRPr="007A5B12">
        <w:fldChar w:fldCharType="begin"/>
      </w:r>
      <w:r w:rsidRPr="007A5B12">
        <w:instrText xml:space="preserve"> QUOTE "II.5.3"</w:instrText>
      </w:r>
      <w:r w:rsidRPr="007A5B12">
        <w:fldChar w:fldCharType="begin">
          <w:fldData xml:space="preserve">QwBSAE8AUwBTAFIARQBGAEUAUgBFAE4AQwBFACoAVABBAEIATABFACoAZQBmAGYAZQBiAGEANwA2
AC0AZAAwAGMAYgAtADQAMwA1ADMALQBhAGMAOQBhAC0AZAA5ADMAZQBlADYAMgAwADcAYwAxADEA
</w:fldData>
        </w:fldChar>
      </w:r>
      <w:r w:rsidRPr="007A5B12">
        <w:instrText xml:space="preserve"> ADDIN </w:instrText>
      </w:r>
      <w:r w:rsidRPr="007A5B12">
        <w:fldChar w:fldCharType="end"/>
      </w:r>
      <w:r w:rsidRPr="007A5B12">
        <w:instrText xml:space="preserve"> </w:instrText>
      </w:r>
      <w:r w:rsidRPr="007A5B12">
        <w:fldChar w:fldCharType="separate"/>
      </w:r>
      <w:r w:rsidR="009F3ED8" w:rsidRPr="007A5B12">
        <w:t>II.5.3</w:t>
      </w:r>
      <w:r w:rsidRPr="007A5B12">
        <w:fldChar w:fldCharType="end"/>
      </w:r>
      <w:r w:rsidRPr="007A5B12">
        <w:t xml:space="preserve">). </w:t>
      </w:r>
    </w:p>
    <w:p w14:paraId="55E2B073" w14:textId="77777777" w:rsidR="00223A02" w:rsidRPr="007A5B12" w:rsidRDefault="00223A02" w:rsidP="00460C69">
      <w:r w:rsidRPr="007A5B12">
        <w:t xml:space="preserve">In fact, the percentage change in the UB-to-GDP ratio between the final period (2070) and the base period: </w:t>
      </w:r>
      <m:oMath>
        <m:r>
          <w:rPr>
            <w:rFonts w:ascii="Cambria Math" w:hAnsi="Cambria Math"/>
            <w:color w:val="auto"/>
            <w:sz w:val="24"/>
            <w:lang w:eastAsia="en-GB"/>
          </w:rPr>
          <m:t>ln</m:t>
        </m:r>
        <m:d>
          <m:dPr>
            <m:ctrlPr>
              <w:rPr>
                <w:rFonts w:ascii="Cambria Math" w:hAnsi="Cambria Math"/>
                <w:i/>
                <w:color w:val="auto"/>
                <w:sz w:val="24"/>
                <w:lang w:eastAsia="en-GB"/>
              </w:rPr>
            </m:ctrlPr>
          </m:dPr>
          <m:e>
            <m:f>
              <m:fPr>
                <m:ctrlPr>
                  <w:rPr>
                    <w:rFonts w:ascii="Cambria Math" w:hAnsi="Cambria Math"/>
                    <w:i/>
                    <w:color w:val="auto"/>
                    <w:sz w:val="24"/>
                    <w:lang w:eastAsia="en-GB"/>
                  </w:rPr>
                </m:ctrlPr>
              </m:fPr>
              <m:num>
                <m:sSub>
                  <m:sSubPr>
                    <m:ctrlPr>
                      <w:rPr>
                        <w:rFonts w:ascii="Cambria Math" w:hAnsi="Cambria Math"/>
                        <w:i/>
                        <w:color w:val="auto"/>
                        <w:sz w:val="24"/>
                        <w:lang w:eastAsia="en-GB"/>
                      </w:rPr>
                    </m:ctrlPr>
                  </m:sSubPr>
                  <m:e>
                    <m:r>
                      <w:rPr>
                        <w:rFonts w:ascii="Cambria Math" w:hAnsi="Cambria Math"/>
                        <w:color w:val="auto"/>
                        <w:sz w:val="24"/>
                        <w:lang w:eastAsia="en-GB"/>
                      </w:rPr>
                      <m:t>UB</m:t>
                    </m:r>
                  </m:e>
                  <m:sub>
                    <m:r>
                      <w:rPr>
                        <w:rFonts w:ascii="Cambria Math" w:hAnsi="Cambria Math"/>
                        <w:color w:val="auto"/>
                        <w:sz w:val="24"/>
                        <w:lang w:eastAsia="en-GB"/>
                      </w:rPr>
                      <m:t>t</m:t>
                    </m:r>
                  </m:sub>
                </m:sSub>
              </m:num>
              <m:den>
                <m:sSub>
                  <m:sSubPr>
                    <m:ctrlPr>
                      <w:rPr>
                        <w:rFonts w:ascii="Cambria Math" w:hAnsi="Cambria Math"/>
                        <w:i/>
                        <w:color w:val="auto"/>
                        <w:sz w:val="24"/>
                        <w:lang w:eastAsia="en-GB"/>
                      </w:rPr>
                    </m:ctrlPr>
                  </m:sSubPr>
                  <m:e>
                    <m:r>
                      <w:rPr>
                        <w:rFonts w:ascii="Cambria Math" w:hAnsi="Cambria Math"/>
                        <w:color w:val="auto"/>
                        <w:sz w:val="24"/>
                        <w:lang w:eastAsia="en-GB"/>
                      </w:rPr>
                      <m:t>GDP</m:t>
                    </m:r>
                  </m:e>
                  <m:sub>
                    <m:r>
                      <w:rPr>
                        <w:rFonts w:ascii="Cambria Math" w:hAnsi="Cambria Math"/>
                        <w:color w:val="auto"/>
                        <w:sz w:val="24"/>
                        <w:lang w:eastAsia="en-GB"/>
                      </w:rPr>
                      <m:t>t</m:t>
                    </m:r>
                  </m:sub>
                </m:sSub>
              </m:den>
            </m:f>
          </m:e>
        </m:d>
        <m:r>
          <w:rPr>
            <w:rFonts w:ascii="Cambria Math" w:hAnsi="Cambria Math"/>
            <w:color w:val="auto"/>
            <w:sz w:val="24"/>
            <w:lang w:eastAsia="en-GB"/>
          </w:rPr>
          <m:t>-ln</m:t>
        </m:r>
        <m:d>
          <m:dPr>
            <m:ctrlPr>
              <w:rPr>
                <w:rFonts w:ascii="Cambria Math" w:hAnsi="Cambria Math"/>
                <w:i/>
                <w:color w:val="auto"/>
                <w:sz w:val="24"/>
                <w:lang w:eastAsia="en-GB"/>
              </w:rPr>
            </m:ctrlPr>
          </m:dPr>
          <m:e>
            <m:f>
              <m:fPr>
                <m:ctrlPr>
                  <w:rPr>
                    <w:rFonts w:ascii="Cambria Math" w:hAnsi="Cambria Math"/>
                    <w:i/>
                    <w:color w:val="auto"/>
                    <w:sz w:val="24"/>
                    <w:lang w:eastAsia="en-GB"/>
                  </w:rPr>
                </m:ctrlPr>
              </m:fPr>
              <m:num>
                <m:sSub>
                  <m:sSubPr>
                    <m:ctrlPr>
                      <w:rPr>
                        <w:rFonts w:ascii="Cambria Math" w:hAnsi="Cambria Math"/>
                        <w:i/>
                        <w:color w:val="auto"/>
                        <w:sz w:val="24"/>
                        <w:lang w:eastAsia="en-GB"/>
                      </w:rPr>
                    </m:ctrlPr>
                  </m:sSubPr>
                  <m:e>
                    <m:r>
                      <w:rPr>
                        <w:rFonts w:ascii="Cambria Math" w:hAnsi="Cambria Math"/>
                        <w:color w:val="auto"/>
                        <w:sz w:val="24"/>
                        <w:lang w:eastAsia="en-GB"/>
                      </w:rPr>
                      <m:t>UB</m:t>
                    </m:r>
                  </m:e>
                  <m:sub>
                    <m:r>
                      <w:rPr>
                        <w:rFonts w:ascii="Cambria Math" w:hAnsi="Cambria Math"/>
                        <w:color w:val="auto"/>
                        <w:sz w:val="24"/>
                        <w:lang w:eastAsia="en-GB"/>
                      </w:rPr>
                      <m:t>b</m:t>
                    </m:r>
                  </m:sub>
                </m:sSub>
              </m:num>
              <m:den>
                <m:sSub>
                  <m:sSubPr>
                    <m:ctrlPr>
                      <w:rPr>
                        <w:rFonts w:ascii="Cambria Math" w:hAnsi="Cambria Math"/>
                        <w:i/>
                        <w:color w:val="auto"/>
                        <w:sz w:val="24"/>
                        <w:lang w:eastAsia="en-GB"/>
                      </w:rPr>
                    </m:ctrlPr>
                  </m:sSubPr>
                  <m:e>
                    <m:r>
                      <w:rPr>
                        <w:rFonts w:ascii="Cambria Math" w:hAnsi="Cambria Math"/>
                        <w:color w:val="auto"/>
                        <w:sz w:val="24"/>
                        <w:lang w:eastAsia="en-GB"/>
                      </w:rPr>
                      <m:t>GDP</m:t>
                    </m:r>
                  </m:e>
                  <m:sub>
                    <m:r>
                      <w:rPr>
                        <w:rFonts w:ascii="Cambria Math" w:hAnsi="Cambria Math"/>
                        <w:color w:val="auto"/>
                        <w:sz w:val="24"/>
                        <w:lang w:eastAsia="en-GB"/>
                      </w:rPr>
                      <m:t>b</m:t>
                    </m:r>
                  </m:sub>
                </m:sSub>
              </m:den>
            </m:f>
          </m:e>
        </m:d>
      </m:oMath>
      <w:r w:rsidRPr="007A5B12">
        <w:t xml:space="preserve"> can be approximated by </w:t>
      </w:r>
      <m:oMath>
        <m:f>
          <m:fPr>
            <m:ctrlPr>
              <w:rPr>
                <w:rFonts w:ascii="Cambria Math" w:hAnsi="Cambria Math"/>
                <w:i/>
                <w:color w:val="auto"/>
                <w:sz w:val="24"/>
                <w:lang w:eastAsia="en-GB"/>
              </w:rPr>
            </m:ctrlPr>
          </m:fPr>
          <m:num>
            <m:r>
              <w:rPr>
                <w:rFonts w:ascii="Cambria Math" w:hAnsi="Cambria Math"/>
                <w:color w:val="auto"/>
                <w:sz w:val="24"/>
                <w:lang w:eastAsia="en-GB"/>
              </w:rPr>
              <m:t>1</m:t>
            </m:r>
          </m:num>
          <m:den>
            <m:r>
              <w:rPr>
                <w:rFonts w:ascii="Cambria Math" w:hAnsi="Cambria Math"/>
                <w:color w:val="auto"/>
                <w:sz w:val="24"/>
                <w:lang w:eastAsia="en-GB"/>
              </w:rPr>
              <m:t>1-</m:t>
            </m:r>
            <m:sSub>
              <m:sSubPr>
                <m:ctrlPr>
                  <w:rPr>
                    <w:rFonts w:ascii="Cambria Math" w:hAnsi="Cambria Math"/>
                    <w:i/>
                    <w:color w:val="auto"/>
                    <w:sz w:val="24"/>
                    <w:lang w:eastAsia="en-GB"/>
                  </w:rPr>
                </m:ctrlPr>
              </m:sSubPr>
              <m:e>
                <m:r>
                  <w:rPr>
                    <w:rFonts w:ascii="Cambria Math" w:hAnsi="Cambria Math"/>
                    <w:color w:val="auto"/>
                    <w:sz w:val="24"/>
                    <w:lang w:eastAsia="en-GB"/>
                  </w:rPr>
                  <m:t>u</m:t>
                </m:r>
              </m:e>
              <m:sub>
                <m:r>
                  <w:rPr>
                    <w:rFonts w:ascii="Cambria Math" w:hAnsi="Cambria Math"/>
                    <w:color w:val="auto"/>
                    <w:sz w:val="24"/>
                    <w:lang w:eastAsia="en-GB"/>
                  </w:rPr>
                  <m:t>t</m:t>
                </m:r>
              </m:sub>
            </m:sSub>
          </m:den>
        </m:f>
        <m:r>
          <w:rPr>
            <w:rFonts w:ascii="Cambria Math" w:hAnsi="Cambria Math"/>
            <w:color w:val="auto"/>
            <w:sz w:val="24"/>
            <w:lang w:eastAsia="en-GB"/>
          </w:rPr>
          <m:t>*</m:t>
        </m:r>
        <m:d>
          <m:dPr>
            <m:ctrlPr>
              <w:rPr>
                <w:rFonts w:ascii="Cambria Math" w:hAnsi="Cambria Math"/>
                <w:i/>
                <w:color w:val="auto"/>
                <w:sz w:val="24"/>
                <w:lang w:eastAsia="en-GB"/>
              </w:rPr>
            </m:ctrlPr>
          </m:dPr>
          <m:e>
            <m:f>
              <m:fPr>
                <m:ctrlPr>
                  <w:rPr>
                    <w:rFonts w:ascii="Cambria Math" w:hAnsi="Cambria Math"/>
                    <w:i/>
                    <w:color w:val="auto"/>
                    <w:sz w:val="24"/>
                    <w:lang w:eastAsia="en-GB"/>
                  </w:rPr>
                </m:ctrlPr>
              </m:fPr>
              <m:num>
                <m:sSub>
                  <m:sSubPr>
                    <m:ctrlPr>
                      <w:rPr>
                        <w:rFonts w:ascii="Cambria Math" w:hAnsi="Cambria Math"/>
                        <w:i/>
                        <w:color w:val="auto"/>
                        <w:sz w:val="24"/>
                        <w:lang w:eastAsia="en-GB"/>
                      </w:rPr>
                    </m:ctrlPr>
                  </m:sSubPr>
                  <m:e>
                    <m:r>
                      <w:rPr>
                        <w:rFonts w:ascii="Cambria Math" w:hAnsi="Cambria Math"/>
                        <w:color w:val="auto"/>
                        <w:sz w:val="24"/>
                        <w:lang w:eastAsia="en-GB"/>
                      </w:rPr>
                      <m:t>u</m:t>
                    </m:r>
                  </m:e>
                  <m:sub>
                    <m:r>
                      <w:rPr>
                        <w:rFonts w:ascii="Cambria Math" w:hAnsi="Cambria Math"/>
                        <w:color w:val="auto"/>
                        <w:sz w:val="24"/>
                        <w:lang w:eastAsia="en-GB"/>
                      </w:rPr>
                      <m:t>t</m:t>
                    </m:r>
                  </m:sub>
                </m:sSub>
                <m:r>
                  <w:rPr>
                    <w:rFonts w:ascii="Cambria Math" w:hAnsi="Cambria Math"/>
                    <w:color w:val="auto"/>
                    <w:sz w:val="24"/>
                    <w:lang w:eastAsia="en-GB"/>
                  </w:rPr>
                  <m:t>-</m:t>
                </m:r>
                <m:sSub>
                  <m:sSubPr>
                    <m:ctrlPr>
                      <w:rPr>
                        <w:rFonts w:ascii="Cambria Math" w:hAnsi="Cambria Math"/>
                        <w:i/>
                        <w:color w:val="auto"/>
                        <w:sz w:val="24"/>
                        <w:lang w:eastAsia="en-GB"/>
                      </w:rPr>
                    </m:ctrlPr>
                  </m:sSubPr>
                  <m:e>
                    <m:r>
                      <w:rPr>
                        <w:rFonts w:ascii="Cambria Math" w:hAnsi="Cambria Math"/>
                        <w:color w:val="auto"/>
                        <w:sz w:val="24"/>
                        <w:lang w:eastAsia="en-GB"/>
                      </w:rPr>
                      <m:t>u</m:t>
                    </m:r>
                  </m:e>
                  <m:sub>
                    <m:r>
                      <w:rPr>
                        <w:rFonts w:ascii="Cambria Math" w:hAnsi="Cambria Math"/>
                        <w:color w:val="auto"/>
                        <w:sz w:val="24"/>
                        <w:lang w:eastAsia="en-GB"/>
                      </w:rPr>
                      <m:t>b</m:t>
                    </m:r>
                  </m:sub>
                </m:sSub>
              </m:num>
              <m:den>
                <m:sSub>
                  <m:sSubPr>
                    <m:ctrlPr>
                      <w:rPr>
                        <w:rFonts w:ascii="Cambria Math" w:hAnsi="Cambria Math"/>
                        <w:i/>
                        <w:color w:val="auto"/>
                        <w:sz w:val="24"/>
                        <w:lang w:eastAsia="en-GB"/>
                      </w:rPr>
                    </m:ctrlPr>
                  </m:sSubPr>
                  <m:e>
                    <m:r>
                      <w:rPr>
                        <w:rFonts w:ascii="Cambria Math" w:hAnsi="Cambria Math"/>
                        <w:color w:val="auto"/>
                        <w:sz w:val="24"/>
                        <w:lang w:eastAsia="en-GB"/>
                      </w:rPr>
                      <m:t>u</m:t>
                    </m:r>
                  </m:e>
                  <m:sub>
                    <m:r>
                      <w:rPr>
                        <w:rFonts w:ascii="Cambria Math" w:hAnsi="Cambria Math"/>
                        <w:color w:val="auto"/>
                        <w:sz w:val="24"/>
                        <w:lang w:eastAsia="en-GB"/>
                      </w:rPr>
                      <m:t>b</m:t>
                    </m:r>
                  </m:sub>
                </m:sSub>
              </m:den>
            </m:f>
          </m:e>
        </m:d>
      </m:oMath>
      <w:r w:rsidRPr="007A5B12">
        <w:t>. This means that reducing the unemployment rate pays a "double dividend" in terms of reducing the UB-to-</w:t>
      </w:r>
      <w:r w:rsidRPr="007A5B12">
        <w:lastRenderedPageBreak/>
        <w:t xml:space="preserve">GDP ratio. For similar changes in the unemployment rate </w:t>
      </w:r>
      <m:oMath>
        <m:d>
          <m:dPr>
            <m:ctrlPr>
              <w:rPr>
                <w:rFonts w:ascii="Cambria Math" w:hAnsi="Cambria Math"/>
                <w:i/>
                <w:color w:val="auto"/>
                <w:sz w:val="24"/>
                <w:lang w:eastAsia="en-GB"/>
              </w:rPr>
            </m:ctrlPr>
          </m:dPr>
          <m:e>
            <m:f>
              <m:fPr>
                <m:ctrlPr>
                  <w:rPr>
                    <w:rFonts w:ascii="Cambria Math" w:hAnsi="Cambria Math"/>
                    <w:i/>
                    <w:color w:val="auto"/>
                    <w:sz w:val="24"/>
                    <w:lang w:eastAsia="en-GB"/>
                  </w:rPr>
                </m:ctrlPr>
              </m:fPr>
              <m:num>
                <m:sSub>
                  <m:sSubPr>
                    <m:ctrlPr>
                      <w:rPr>
                        <w:rFonts w:ascii="Cambria Math" w:hAnsi="Cambria Math"/>
                        <w:i/>
                        <w:color w:val="auto"/>
                        <w:sz w:val="24"/>
                        <w:lang w:eastAsia="en-GB"/>
                      </w:rPr>
                    </m:ctrlPr>
                  </m:sSubPr>
                  <m:e>
                    <m:r>
                      <w:rPr>
                        <w:rFonts w:ascii="Cambria Math" w:hAnsi="Cambria Math"/>
                        <w:color w:val="auto"/>
                        <w:sz w:val="24"/>
                        <w:lang w:eastAsia="en-GB"/>
                      </w:rPr>
                      <m:t>u</m:t>
                    </m:r>
                  </m:e>
                  <m:sub>
                    <m:r>
                      <w:rPr>
                        <w:rFonts w:ascii="Cambria Math" w:hAnsi="Cambria Math"/>
                        <w:color w:val="auto"/>
                        <w:sz w:val="24"/>
                        <w:lang w:eastAsia="en-GB"/>
                      </w:rPr>
                      <m:t>t</m:t>
                    </m:r>
                  </m:sub>
                </m:sSub>
                <m:r>
                  <w:rPr>
                    <w:rFonts w:ascii="Cambria Math" w:hAnsi="Cambria Math"/>
                    <w:color w:val="auto"/>
                    <w:sz w:val="24"/>
                    <w:lang w:eastAsia="en-GB"/>
                  </w:rPr>
                  <m:t>-</m:t>
                </m:r>
                <m:sSub>
                  <m:sSubPr>
                    <m:ctrlPr>
                      <w:rPr>
                        <w:rFonts w:ascii="Cambria Math" w:hAnsi="Cambria Math"/>
                        <w:i/>
                        <w:color w:val="auto"/>
                        <w:sz w:val="24"/>
                        <w:lang w:eastAsia="en-GB"/>
                      </w:rPr>
                    </m:ctrlPr>
                  </m:sSubPr>
                  <m:e>
                    <m:r>
                      <w:rPr>
                        <w:rFonts w:ascii="Cambria Math" w:hAnsi="Cambria Math"/>
                        <w:color w:val="auto"/>
                        <w:sz w:val="24"/>
                        <w:lang w:eastAsia="en-GB"/>
                      </w:rPr>
                      <m:t>u</m:t>
                    </m:r>
                  </m:e>
                  <m:sub>
                    <m:r>
                      <w:rPr>
                        <w:rFonts w:ascii="Cambria Math" w:hAnsi="Cambria Math"/>
                        <w:color w:val="auto"/>
                        <w:sz w:val="24"/>
                        <w:lang w:eastAsia="en-GB"/>
                      </w:rPr>
                      <m:t>b</m:t>
                    </m:r>
                  </m:sub>
                </m:sSub>
              </m:num>
              <m:den>
                <m:sSub>
                  <m:sSubPr>
                    <m:ctrlPr>
                      <w:rPr>
                        <w:rFonts w:ascii="Cambria Math" w:hAnsi="Cambria Math"/>
                        <w:i/>
                        <w:color w:val="auto"/>
                        <w:sz w:val="24"/>
                        <w:lang w:eastAsia="en-GB"/>
                      </w:rPr>
                    </m:ctrlPr>
                  </m:sSubPr>
                  <m:e>
                    <m:r>
                      <w:rPr>
                        <w:rFonts w:ascii="Cambria Math" w:hAnsi="Cambria Math"/>
                        <w:color w:val="auto"/>
                        <w:sz w:val="24"/>
                        <w:lang w:eastAsia="en-GB"/>
                      </w:rPr>
                      <m:t>u</m:t>
                    </m:r>
                  </m:e>
                  <m:sub>
                    <m:r>
                      <w:rPr>
                        <w:rFonts w:ascii="Cambria Math" w:hAnsi="Cambria Math"/>
                        <w:color w:val="auto"/>
                        <w:sz w:val="24"/>
                        <w:lang w:eastAsia="en-GB"/>
                      </w:rPr>
                      <m:t>b</m:t>
                    </m:r>
                  </m:sub>
                </m:sSub>
              </m:den>
            </m:f>
          </m:e>
        </m:d>
      </m:oMath>
      <w:r w:rsidRPr="007A5B12">
        <w:t>, countries with a higher unemployment rate in the current year (</w:t>
      </w:r>
      <w:r w:rsidRPr="007A5B12">
        <w:rPr>
          <w:i/>
        </w:rPr>
        <w:t>u</w:t>
      </w:r>
      <w:r w:rsidRPr="007A5B12">
        <w:rPr>
          <w:i/>
          <w:vertAlign w:val="subscript"/>
        </w:rPr>
        <w:t>t</w:t>
      </w:r>
      <w:r w:rsidRPr="007A5B12">
        <w:t>) will record a larger variation in the UB-to-GDP ratio.</w:t>
      </w:r>
    </w:p>
    <w:p w14:paraId="7497FD26" w14:textId="77777777" w:rsidR="00223A02" w:rsidRPr="007A5B12" w:rsidRDefault="00223A02" w:rsidP="00460C69">
      <w:pPr>
        <w:pStyle w:val="NumberedHeading1"/>
        <w:tabs>
          <w:tab w:val="left" w:pos="567"/>
        </w:tabs>
      </w:pPr>
      <w:bookmarkStart w:id="268" w:name="_Toc511664457"/>
      <w:r w:rsidRPr="007A5B12">
        <w:t>5.4.</w:t>
      </w:r>
      <w:r w:rsidRPr="007A5B12">
        <w:tab/>
        <w:t>Demographic and macro-economic risk scenarios</w:t>
      </w:r>
      <w:bookmarkEnd w:id="268"/>
    </w:p>
    <w:p w14:paraId="05D77EB0" w14:textId="77777777" w:rsidR="00223A02" w:rsidRPr="007A5B12" w:rsidRDefault="00223A02" w:rsidP="00460C69">
      <w:r w:rsidRPr="007A5B12">
        <w:t xml:space="preserve">In addition to the baseline projections, a set of additional scenarios with alternative demographic and macro-economic assumptions were run so as to assess the sensitivity of the projections with respect to changes in the underlying assumptions (see Part I.3 for details on the sensitivity tests). </w:t>
      </w:r>
    </w:p>
    <w:p w14:paraId="3723DE5C" w14:textId="77777777" w:rsidR="00223A02" w:rsidRPr="007A5B12" w:rsidRDefault="00223A02" w:rsidP="00460C69">
      <w:r w:rsidRPr="007A5B12">
        <w:t xml:space="preserve">As expected, the scenario with a higher employment rate (2 pps. higher employment rate for the age-group 20-64 by 2030) leads to a lower unemployment rate and therefore lower unemployment benefit expenditure, and vice versa. For the EU as a whole, the decline would be 0.6 pps. of GDP by 2070 assuming a higher employment rate, while a lower employment rate would lead to an increase of 0.1 pps. of GDP (see column 'pos_2 pps._ER' and column 'neg_2 pps._ER', respectively, in Table </w:t>
      </w:r>
      <w:r w:rsidRPr="007A5B12">
        <w:fldChar w:fldCharType="begin"/>
      </w:r>
      <w:r w:rsidRPr="007A5B12">
        <w:instrText xml:space="preserve"> QUOTE "II.5.3"</w:instrText>
      </w:r>
      <w:r w:rsidRPr="007A5B12">
        <w:fldChar w:fldCharType="begin">
          <w:fldData xml:space="preserve">QwBSAE8AUwBTAFIARQBGAEUAUgBFAE4AQwBFACoAVABBAEIATABFACoAZQBmAGYAZQBiAGEANwA2
AC0AZAAwAGMAYgAtADQAMwA1ADMALQBhAGMAOQBhAC0AZAA5ADMAZQBlADYAMgAwADcAYwAxADEA
</w:fldData>
        </w:fldChar>
      </w:r>
      <w:r w:rsidRPr="007A5B12">
        <w:instrText xml:space="preserve"> ADDIN </w:instrText>
      </w:r>
      <w:r w:rsidRPr="007A5B12">
        <w:fldChar w:fldCharType="end"/>
      </w:r>
      <w:r w:rsidRPr="007A5B12">
        <w:instrText xml:space="preserve"> </w:instrText>
      </w:r>
      <w:r w:rsidRPr="007A5B12">
        <w:fldChar w:fldCharType="separate"/>
      </w:r>
      <w:r w:rsidR="009F3ED8" w:rsidRPr="007A5B12">
        <w:t>II.5.3</w:t>
      </w:r>
      <w:r w:rsidRPr="007A5B12">
        <w:fldChar w:fldCharType="end"/>
      </w:r>
      <w:r w:rsidRPr="007A5B12">
        <w:t xml:space="preserve">). </w:t>
      </w:r>
    </w:p>
    <w:p w14:paraId="761640A4" w14:textId="77777777" w:rsidR="00223A02" w:rsidRPr="007A5B12" w:rsidRDefault="00223A02" w:rsidP="00460C69">
      <w:r w:rsidRPr="007A5B12">
        <w:t xml:space="preserve">Moreover, under the assumption of a higher employment rate for older workers (10 pps. higher employment rate for the age-group 55-74 by 2030), unemployment benefit expenditure would be slightly lower (see column '10 pps._older_ER' in Table </w:t>
      </w:r>
      <w:r w:rsidRPr="007A5B12">
        <w:fldChar w:fldCharType="begin"/>
      </w:r>
      <w:r w:rsidRPr="007A5B12">
        <w:instrText xml:space="preserve"> QUOTE "II.5.3"</w:instrText>
      </w:r>
      <w:r w:rsidRPr="007A5B12">
        <w:fldChar w:fldCharType="begin">
          <w:fldData xml:space="preserve">QwBSAE8AUwBTAFIARQBGAEUAUgBFAE4AQwBFACoAVABBAEIATABFACoAZQBmAGYAZQBiAGEANwA2
AC0AZAAwAGMAYgAtADQAMwA1ADMALQBhAGMAOQBhAC0AZAA5ADMAZQBlADYAMgAwADcAYwAxADEA
</w:fldData>
        </w:fldChar>
      </w:r>
      <w:r w:rsidRPr="007A5B12">
        <w:instrText xml:space="preserve"> ADDIN </w:instrText>
      </w:r>
      <w:r w:rsidRPr="007A5B12">
        <w:fldChar w:fldCharType="end"/>
      </w:r>
      <w:r w:rsidRPr="007A5B12">
        <w:instrText xml:space="preserve"> </w:instrText>
      </w:r>
      <w:r w:rsidRPr="007A5B12">
        <w:fldChar w:fldCharType="separate"/>
      </w:r>
      <w:r w:rsidR="009F3ED8" w:rsidRPr="007A5B12">
        <w:t>II.5.3</w:t>
      </w:r>
      <w:r w:rsidRPr="007A5B12">
        <w:fldChar w:fldCharType="end"/>
      </w:r>
      <w:r w:rsidRPr="007A5B12">
        <w:t>).</w:t>
      </w:r>
    </w:p>
    <w:p w14:paraId="4EBACFE2" w14:textId="77777777" w:rsidR="00223A02" w:rsidRPr="007A5B12" w:rsidRDefault="00223A02" w:rsidP="00460C69">
      <w:pPr>
        <w:pStyle w:val="NumberedHeading1"/>
        <w:tabs>
          <w:tab w:val="left" w:pos="567"/>
        </w:tabs>
      </w:pPr>
      <w:bookmarkStart w:id="269" w:name="_Toc511664458"/>
      <w:r w:rsidRPr="007A5B12">
        <w:t>5.5.</w:t>
      </w:r>
      <w:r w:rsidRPr="007A5B12">
        <w:tab/>
        <w:t>Comparison with the 2015 Ageing Report</w:t>
      </w:r>
      <w:bookmarkEnd w:id="269"/>
      <w:r w:rsidRPr="007A5B12">
        <w:t xml:space="preserve"> </w:t>
      </w:r>
    </w:p>
    <w:p w14:paraId="6FC5F820" w14:textId="77777777" w:rsidR="00223A02" w:rsidRPr="007A5B12" w:rsidRDefault="00223A02" w:rsidP="00460C69">
      <w:r w:rsidRPr="007A5B12">
        <w:t xml:space="preserve">Overall, the current UB projections point to a slightly lower reduction than those made in the 2015 AR (see the last two columns in Table </w:t>
      </w:r>
      <w:r w:rsidRPr="007A5B12">
        <w:fldChar w:fldCharType="begin"/>
      </w:r>
      <w:r w:rsidRPr="007A5B12">
        <w:instrText xml:space="preserve"> QUOTE "II.5.3"</w:instrText>
      </w:r>
      <w:r w:rsidRPr="007A5B12">
        <w:fldChar w:fldCharType="begin">
          <w:fldData xml:space="preserve">QwBSAE8AUwBTAFIARQBGAEUAUgBFAE4AQwBFACoAVABBAEIATABFACoAZQBmAGYAZQBiAGEANwA2
AC0AZAAwAGMAYgAtADQAMwA1ADMALQBhAGMAOQBhAC0AZAA5ADMAZQBlADYAMgAwADcAYwAxADEA
</w:fldData>
        </w:fldChar>
      </w:r>
      <w:r w:rsidRPr="007A5B12">
        <w:instrText xml:space="preserve"> ADDIN </w:instrText>
      </w:r>
      <w:r w:rsidRPr="007A5B12">
        <w:fldChar w:fldCharType="end"/>
      </w:r>
      <w:r w:rsidRPr="007A5B12">
        <w:instrText xml:space="preserve"> </w:instrText>
      </w:r>
      <w:r w:rsidRPr="007A5B12">
        <w:fldChar w:fldCharType="separate"/>
      </w:r>
      <w:r w:rsidR="009F3ED8" w:rsidRPr="007A5B12">
        <w:t>II.5.3</w:t>
      </w:r>
      <w:r w:rsidRPr="007A5B12">
        <w:fldChar w:fldCharType="end"/>
      </w:r>
      <w:r w:rsidRPr="007A5B12">
        <w:t xml:space="preserve">). Focusing on the differences between 2016 and 2060, expenditure on UB in the EU (and the EA) is expected to decline by 0.2 pp of GDP, less than the estimate made in the 2015 AR (a decline of 0.3 pp). </w:t>
      </w:r>
    </w:p>
    <w:p w14:paraId="18CCDA77" w14:textId="77777777" w:rsidR="00223A02" w:rsidRPr="007A5B12" w:rsidRDefault="00223A02" w:rsidP="00460C69">
      <w:r w:rsidRPr="007A5B12">
        <w:t xml:space="preserve">However, there are significant differences between the two projections for a number of countries. For example, in NO, AT and FI a greater reduction in </w:t>
      </w:r>
      <w:r w:rsidRPr="007A5B12">
        <w:lastRenderedPageBreak/>
        <w:t xml:space="preserve">UB expenditure is projected compared to the 2015 AR, while in the NL, ES, EL, CY, PT and IE a smaller reduction in UB expenditure is projected between 2016 and 2060. </w:t>
      </w:r>
    </w:p>
    <w:p w14:paraId="05E5BE02" w14:textId="77777777" w:rsidR="00223A02" w:rsidRPr="007A5B12" w:rsidRDefault="00223A02" w:rsidP="00460C69"/>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223A02" w:rsidRPr="007A5B12" w14:paraId="5C30F92D" w14:textId="77777777" w:rsidTr="00460C69">
        <w:trPr>
          <w:cantSplit/>
          <w:trHeight w:val="20"/>
        </w:trPr>
        <w:tc>
          <w:tcPr>
            <w:tcW w:w="8505" w:type="dxa"/>
            <w:shd w:val="clear" w:color="auto" w:fill="auto"/>
          </w:tcPr>
          <w:p w14:paraId="59B6FDBC" w14:textId="77777777" w:rsidR="00223A02" w:rsidRPr="007A5B12" w:rsidRDefault="00223A02" w:rsidP="00460C69">
            <w:pPr>
              <w:pStyle w:val="SlimCell"/>
              <w:keepNext/>
            </w:pPr>
            <w:r w:rsidRPr="007A5B12">
              <w:fldChar w:fldCharType="begin"/>
            </w:r>
            <w:r w:rsidRPr="009F3ED8">
              <w:instrText xml:space="preserve"> TC "</w:instrText>
            </w:r>
            <w:bookmarkStart w:id="270" w:name="_Toc511664587"/>
            <w:r w:rsidRPr="009F3ED8">
              <w:instrText>II.5.3.</w:instrText>
            </w:r>
            <w:r w:rsidRPr="009F3ED8">
              <w:tab/>
              <w:instrText>Unemployment benefit expenditure, baseline and alternative scenarios, % of GDP, 2016-70</w:instrText>
            </w:r>
            <w:bookmarkEnd w:id="270"/>
            <w:r w:rsidRPr="009F3ED8">
              <w:instrText xml:space="preserve">" \ftable \l 5 </w:instrText>
            </w:r>
            <w:r w:rsidRPr="007A5B12">
              <w:fldChar w:fldCharType="end"/>
            </w:r>
          </w:p>
        </w:tc>
      </w:tr>
      <w:tr w:rsidR="00223A02" w:rsidRPr="007A5B12" w14:paraId="2BC593B4" w14:textId="77777777" w:rsidTr="00460C69">
        <w:trPr>
          <w:cantSplit/>
        </w:trPr>
        <w:tc>
          <w:tcPr>
            <w:tcW w:w="8505" w:type="dxa"/>
            <w:shd w:val="clear" w:color="auto" w:fill="auto"/>
          </w:tcPr>
          <w:p w14:paraId="5DD4120E" w14:textId="77777777" w:rsidR="00223A02" w:rsidRPr="007A5B12" w:rsidRDefault="00223A02" w:rsidP="00460C69">
            <w:pPr>
              <w:pStyle w:val="TableTitle"/>
              <w:rPr>
                <w:b/>
              </w:rPr>
            </w:pPr>
            <w:r w:rsidRPr="007A5B12">
              <w:t>Table II.5.3:</w:t>
            </w:r>
            <w:r w:rsidRPr="007A5B12">
              <w:rPr>
                <w:b/>
              </w:rPr>
              <w:tab/>
              <w:t>Unemployment benefit expenditure, baseline and alternative scenarios, % of GDP, 2016-70</w:t>
            </w:r>
          </w:p>
        </w:tc>
      </w:tr>
      <w:tr w:rsidR="00223A02" w:rsidRPr="007A5B12" w14:paraId="4A8F5AB8" w14:textId="77777777" w:rsidTr="00460C69">
        <w:trPr>
          <w:cantSplit/>
        </w:trPr>
        <w:tc>
          <w:tcPr>
            <w:tcW w:w="8505" w:type="dxa"/>
            <w:shd w:val="clear" w:color="auto" w:fill="auto"/>
          </w:tcPr>
          <w:p w14:paraId="55C03A74" w14:textId="77777777" w:rsidR="00223A02" w:rsidRPr="007A5B12" w:rsidRDefault="00223A02" w:rsidP="00460C69">
            <w:pPr>
              <w:pStyle w:val="TableShape"/>
              <w:rPr>
                <w:sz w:val="2"/>
              </w:rPr>
            </w:pPr>
            <w:r>
              <w:rPr>
                <w:noProof/>
                <w:sz w:val="2"/>
                <w:lang w:val="hr-HR" w:eastAsia="hr-HR"/>
              </w:rPr>
              <w:drawing>
                <wp:inline distT="0" distB="0" distL="0" distR="0" wp14:anchorId="1A24A3BD" wp14:editId="0AAA460E">
                  <wp:extent cx="5400929" cy="3399715"/>
                  <wp:effectExtent l="0" t="0" r="0" b="0"/>
                  <wp:docPr id="1050" name="Picture 1050" descr="&lt;nbr&gt;&lt;GETTEXTFROMWORD&gt;&lt;/nbr&gt;&#10;&lt;title&gt;&lt;GETTEXTFROMWORD&gt;&lt;/title&gt;&#10;&lt;id&gt;effeba76-d0cb-4353-ac9a-d93ee6207c11&lt;/id&gt;&#10;&lt;srcType&gt;EXCEL&lt;/srcType&gt;&#10;&lt;srcPath&gt;U:\Budgetary projections 2018\Reports\2018 AR\Tables_and_graphs\Part II Chapter 5\&lt;/srcPath&gt;&#10;&lt;srcName&gt;2018 AR - UB projections.xls&lt;/srcName&gt;&#10;&lt;type&gt;table&lt;/type&gt;&#10; &lt;srcSheet&gt;Projections-table&lt;/srcSheet&gt;&#10; &lt;srcRange&gt;R3C2:R36C17&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3-06T18:29:51&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400929" cy="3399715"/>
                          </a:xfrm>
                          <a:prstGeom prst="rect">
                            <a:avLst/>
                          </a:prstGeom>
                          <a:noFill/>
                          <a:ln>
                            <a:noFill/>
                          </a:ln>
                        </pic:spPr>
                      </pic:pic>
                    </a:graphicData>
                  </a:graphic>
                </wp:inline>
              </w:drawing>
            </w:r>
          </w:p>
        </w:tc>
      </w:tr>
      <w:tr w:rsidR="00223A02" w:rsidRPr="007A5B12" w14:paraId="7A741C0B" w14:textId="77777777" w:rsidTr="00460C69">
        <w:trPr>
          <w:cantSplit/>
        </w:trPr>
        <w:tc>
          <w:tcPr>
            <w:tcW w:w="8505" w:type="dxa"/>
            <w:shd w:val="clear" w:color="auto" w:fill="auto"/>
          </w:tcPr>
          <w:p w14:paraId="789811DE" w14:textId="77777777" w:rsidR="00223A02" w:rsidRDefault="00223A02" w:rsidP="00460C69">
            <w:pPr>
              <w:pStyle w:val="TableFootnote"/>
            </w:pPr>
            <w:r>
              <w:t xml:space="preserve">(1) Only the sensitivity tests that differ from the baseline projection are shown here. </w:t>
            </w:r>
          </w:p>
          <w:p w14:paraId="7CF2675B" w14:textId="77777777" w:rsidR="00223A02" w:rsidRPr="007A5B12" w:rsidRDefault="00223A02" w:rsidP="00460C69">
            <w:pPr>
              <w:pStyle w:val="TableSource"/>
            </w:pPr>
            <w:r w:rsidRPr="007A5B12">
              <w:rPr>
                <w:b/>
                <w:i/>
              </w:rPr>
              <w:t>Source:</w:t>
            </w:r>
            <w:r w:rsidRPr="007A5B12">
              <w:t xml:space="preserve"> Commission services, EPC.</w:t>
            </w:r>
          </w:p>
        </w:tc>
      </w:tr>
      <w:tr w:rsidR="00223A02" w:rsidRPr="007A5B12" w14:paraId="5F17324E" w14:textId="77777777" w:rsidTr="00460C69">
        <w:trPr>
          <w:cantSplit/>
          <w:trHeight w:val="20"/>
        </w:trPr>
        <w:tc>
          <w:tcPr>
            <w:tcW w:w="8505" w:type="dxa"/>
            <w:shd w:val="clear" w:color="auto" w:fill="auto"/>
          </w:tcPr>
          <w:p w14:paraId="5364DA4A" w14:textId="77777777" w:rsidR="00223A02" w:rsidRPr="007A5B12" w:rsidRDefault="00223A02" w:rsidP="00460C69">
            <w:pPr>
              <w:pStyle w:val="SlimCell"/>
            </w:pPr>
          </w:p>
        </w:tc>
      </w:tr>
      <w:bookmarkEnd w:id="261"/>
    </w:tbl>
    <w:p w14:paraId="17F1C9FB" w14:textId="77777777" w:rsidR="00223A02" w:rsidRPr="00223A02" w:rsidRDefault="00223A02" w:rsidP="00460C69">
      <w:pPr>
        <w:sectPr w:rsidR="00223A02" w:rsidRPr="00223A02" w:rsidSect="00223A02">
          <w:headerReference w:type="even" r:id="rId288"/>
          <w:headerReference w:type="default" r:id="rId289"/>
          <w:footerReference w:type="even" r:id="rId290"/>
          <w:footerReference w:type="default" r:id="rId291"/>
          <w:headerReference w:type="first" r:id="rId292"/>
          <w:footerReference w:type="first" r:id="rId293"/>
          <w:endnotePr>
            <w:numFmt w:val="decimal"/>
            <w:numRestart w:val="eachSect"/>
          </w:endnotePr>
          <w:pgSz w:w="11907" w:h="16839"/>
          <w:pgMar w:top="2693" w:right="1701" w:bottom="1417" w:left="1701" w:header="709" w:footer="1191" w:gutter="0"/>
          <w:cols w:num="2" w:space="283"/>
          <w:titlePg/>
          <w:docGrid w:linePitch="360"/>
        </w:sectPr>
      </w:pP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FB1300" w:rsidRPr="00061C07" w14:paraId="3D3D9B64" w14:textId="77777777" w:rsidTr="00460C69">
        <w:trPr>
          <w:cantSplit/>
          <w:trHeight w:val="20"/>
        </w:trPr>
        <w:tc>
          <w:tcPr>
            <w:tcW w:w="8505" w:type="dxa"/>
            <w:shd w:val="clear" w:color="auto" w:fill="auto"/>
          </w:tcPr>
          <w:bookmarkStart w:id="271" w:name="GUID0603413D6E44472C8A5C9778A3BF6371"/>
          <w:p w14:paraId="31DE6E63" w14:textId="77777777" w:rsidR="00FB1300" w:rsidRPr="00061C07" w:rsidRDefault="00FB1300" w:rsidP="00460C69">
            <w:pPr>
              <w:pStyle w:val="SlimCell"/>
              <w:keepNext/>
            </w:pPr>
            <w:r>
              <w:lastRenderedPageBreak/>
              <w:fldChar w:fldCharType="begin"/>
            </w:r>
            <w:r w:rsidRPr="009F3ED8">
              <w:instrText xml:space="preserve"> TC "</w:instrText>
            </w:r>
            <w:bookmarkStart w:id="272" w:name="_Toc511664459"/>
            <w:r w:rsidRPr="009F3ED8">
              <w:instrText>Annexes</w:instrText>
            </w:r>
            <w:bookmarkEnd w:id="272"/>
            <w:r w:rsidRPr="009F3ED8">
              <w:instrText xml:space="preserve">" \f \l 2 </w:instrText>
            </w:r>
            <w:r>
              <w:fldChar w:fldCharType="end"/>
            </w:r>
            <w:r>
              <w:fldChar w:fldCharType="begin"/>
            </w:r>
            <w:r w:rsidRPr="009F3ED8">
              <w:instrText xml:space="preserve"> TC "</w:instrText>
            </w:r>
            <w:bookmarkStart w:id="273" w:name="_Toc511664460"/>
            <w:r w:rsidRPr="009F3ED8">
              <w:instrText>AI.</w:instrText>
            </w:r>
            <w:r w:rsidRPr="009F3ED8">
              <w:tab/>
              <w:instrText>Pension questionnaire</w:instrText>
            </w:r>
            <w:bookmarkEnd w:id="273"/>
            <w:r w:rsidRPr="009F3ED8">
              <w:instrText xml:space="preserve">" \f \l 2 </w:instrText>
            </w:r>
            <w:r>
              <w:fldChar w:fldCharType="end"/>
            </w:r>
            <w:r w:rsidRPr="00061C07">
              <w:fldChar w:fldCharType="begin"/>
            </w:r>
            <w:r w:rsidRPr="009F3ED8">
              <w:instrText xml:space="preserve"> TC "</w:instrText>
            </w:r>
            <w:bookmarkStart w:id="274" w:name="_Toc511664588"/>
            <w:r w:rsidRPr="009F3ED8">
              <w:instrText>II.AI.1.</w:instrText>
            </w:r>
            <w:r w:rsidRPr="009F3ED8">
              <w:tab/>
              <w:instrText>Pension projections reporting framework: blocks common to all schemes</w:instrText>
            </w:r>
            <w:bookmarkEnd w:id="274"/>
            <w:r w:rsidRPr="009F3ED8">
              <w:instrText xml:space="preserve">" \ftable \l 5 </w:instrText>
            </w:r>
            <w:r w:rsidRPr="00061C07">
              <w:fldChar w:fldCharType="end"/>
            </w:r>
          </w:p>
        </w:tc>
      </w:tr>
      <w:tr w:rsidR="00FB1300" w:rsidRPr="00061C07" w14:paraId="491B52D0" w14:textId="77777777" w:rsidTr="00460C69">
        <w:trPr>
          <w:cantSplit/>
        </w:trPr>
        <w:tc>
          <w:tcPr>
            <w:tcW w:w="8505" w:type="dxa"/>
            <w:shd w:val="clear" w:color="auto" w:fill="auto"/>
          </w:tcPr>
          <w:p w14:paraId="7F7F137B" w14:textId="77777777" w:rsidR="00FB1300" w:rsidRPr="00061C07" w:rsidRDefault="00FB1300" w:rsidP="00460C69">
            <w:pPr>
              <w:pStyle w:val="TableTitle"/>
              <w:rPr>
                <w:b/>
              </w:rPr>
            </w:pPr>
            <w:r w:rsidRPr="00061C07">
              <w:t>Table II.AI.1:</w:t>
            </w:r>
            <w:r w:rsidRPr="00061C07">
              <w:rPr>
                <w:b/>
              </w:rPr>
              <w:tab/>
              <w:t>Pension projections reporting framework: blocks common to all schemes</w:t>
            </w:r>
          </w:p>
        </w:tc>
      </w:tr>
      <w:tr w:rsidR="00FB1300" w:rsidRPr="00061C07" w14:paraId="44CF5D54" w14:textId="77777777" w:rsidTr="00460C69">
        <w:trPr>
          <w:cantSplit/>
        </w:trPr>
        <w:tc>
          <w:tcPr>
            <w:tcW w:w="8505" w:type="dxa"/>
            <w:shd w:val="clear" w:color="auto" w:fill="auto"/>
          </w:tcPr>
          <w:p w14:paraId="3844DC97" w14:textId="77777777" w:rsidR="00FB1300" w:rsidRPr="00061C07" w:rsidRDefault="00FB1300" w:rsidP="00460C69">
            <w:pPr>
              <w:pStyle w:val="TableShape"/>
              <w:rPr>
                <w:sz w:val="2"/>
              </w:rPr>
            </w:pPr>
            <w:r w:rsidRPr="00061C07">
              <w:rPr>
                <w:noProof/>
                <w:sz w:val="2"/>
                <w:lang w:val="hr-HR" w:eastAsia="hr-HR"/>
              </w:rPr>
              <w:drawing>
                <wp:inline distT="0" distB="0" distL="0" distR="0" wp14:anchorId="414E49FF" wp14:editId="73799D57">
                  <wp:extent cx="5400929" cy="6519016"/>
                  <wp:effectExtent l="0" t="0" r="9525" b="0"/>
                  <wp:docPr id="817" name="Picture 817" descr="&lt;nbr&gt;&lt;GETTEXTFROMWORD&gt;&lt;/nbr&gt;&#10;&lt;title&gt;&lt;GETTEXTFROMWORD&gt;&lt;/title&gt;&#10;&lt;id&gt;56bbb5e9-2391-4714-a042-07444e07929b&lt;/id&gt;&#10;&lt;srcType&gt;EXCEL&lt;/srcType&gt;&#10;&lt;srcPath&gt;U:\Budgetary projections 2018\Reports\2018 AR UA&amp;PM\Tables and graphs\Part II Annexes\&lt;/srcPath&gt;&#10;&lt;srcName&gt;Reporting framework annex 1.xlsx&lt;/srcName&gt;&#10;&lt;type&gt;table&lt;/type&gt;&#10; &lt;srcSheet&gt;Questionnaire&lt;/srcSheet&gt;&#10; &lt;srcRange&gt;R2C2:R82C10&lt;/srcRange&gt;&#10;&lt;pos&gt;multipages_top&lt;/pos&gt;&#10;&lt;numbering&gt;internal&lt;/numbering&gt;&#10;&lt;manNumb&gt;no&lt;/manNumb&gt;&#10; &lt;insFtn&gt;yes&lt;/insFtn&gt;&#10; &lt;insSrc&gt;yes&lt;/insSrc&gt;&#10; &lt;ftnText&gt;&lt;GETTEXTFROMWORD&gt;&lt;/ftnText&gt;&#10; &lt;shpSrc&gt;&lt;GETTEXTFROMWORD&gt;&lt;/shpSrc&gt;&#10;&lt;multi&gt;yes&lt;/multi&gt;&#10; &lt;partThis&gt;1&lt;/partThis&gt;&#10; &lt;partTot&gt;2&lt;/partTot&gt;&#10;&lt;statAnn&gt;no&lt;/statAnn&gt;&#10;&lt;float&gt;no&lt;/float&gt;&#10;&lt;bottomShapePageNumber&gt;-1&lt;/bottomShapePageNumber&gt;&#10;&lt;version&gt;2&lt;/version&gt;&#10;&lt;scrFileTime&gt;2017-09-05T12:04:0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400929" cy="6519016"/>
                          </a:xfrm>
                          <a:prstGeom prst="rect">
                            <a:avLst/>
                          </a:prstGeom>
                          <a:noFill/>
                          <a:ln>
                            <a:noFill/>
                          </a:ln>
                        </pic:spPr>
                      </pic:pic>
                    </a:graphicData>
                  </a:graphic>
                </wp:inline>
              </w:drawing>
            </w:r>
          </w:p>
        </w:tc>
      </w:tr>
      <w:tr w:rsidR="00FB1300" w:rsidRPr="00061C07" w14:paraId="3BE9E44D" w14:textId="77777777" w:rsidTr="00460C69">
        <w:trPr>
          <w:cantSplit/>
          <w:trHeight w:val="20"/>
        </w:trPr>
        <w:tc>
          <w:tcPr>
            <w:tcW w:w="8505" w:type="dxa"/>
            <w:shd w:val="clear" w:color="auto" w:fill="auto"/>
          </w:tcPr>
          <w:p w14:paraId="623C3C80" w14:textId="77777777" w:rsidR="00FB1300" w:rsidRPr="00061C07" w:rsidRDefault="00FB1300" w:rsidP="00460C69">
            <w:pPr>
              <w:pStyle w:val="SlimCell"/>
              <w:keepNext/>
            </w:pPr>
          </w:p>
        </w:tc>
      </w:tr>
      <w:tr w:rsidR="00FB1300" w:rsidRPr="00061C07" w14:paraId="62AF9AE4" w14:textId="77777777" w:rsidTr="00460C69">
        <w:trPr>
          <w:cantSplit/>
        </w:trPr>
        <w:tc>
          <w:tcPr>
            <w:tcW w:w="8505" w:type="dxa"/>
            <w:shd w:val="clear" w:color="auto" w:fill="auto"/>
            <w:vAlign w:val="bottom"/>
          </w:tcPr>
          <w:p w14:paraId="16E823BC" w14:textId="77777777" w:rsidR="00FB1300" w:rsidRPr="00061C07" w:rsidRDefault="00FB1300" w:rsidP="00460C69">
            <w:pPr>
              <w:pStyle w:val="TableContinueBottom"/>
            </w:pPr>
            <w:r>
              <w:t>(Continued on the next page)</w:t>
            </w:r>
          </w:p>
        </w:tc>
      </w:tr>
    </w:tbl>
    <w:p w14:paraId="05D6147E" w14:textId="77777777" w:rsidR="00FB1300" w:rsidRPr="00061C07" w:rsidRDefault="00FB1300" w:rsidP="00460C69">
      <w:pPr>
        <w:pStyle w:val="MultipageDelimiter"/>
      </w:pP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FB1300" w:rsidRPr="00061C07" w14:paraId="33FD189F" w14:textId="77777777" w:rsidTr="00460C69">
        <w:trPr>
          <w:cantSplit/>
        </w:trPr>
        <w:tc>
          <w:tcPr>
            <w:tcW w:w="8505" w:type="dxa"/>
            <w:shd w:val="clear" w:color="auto" w:fill="auto"/>
          </w:tcPr>
          <w:p w14:paraId="00DCDC53" w14:textId="77777777" w:rsidR="00FB1300" w:rsidRPr="00061C07" w:rsidRDefault="00FB1300" w:rsidP="00460C69">
            <w:pPr>
              <w:pStyle w:val="TableContinueTop"/>
            </w:pPr>
            <w:r>
              <w:t>Table (continued)</w:t>
            </w:r>
          </w:p>
        </w:tc>
      </w:tr>
      <w:tr w:rsidR="00FB1300" w:rsidRPr="00061C07" w14:paraId="7B305DA9" w14:textId="77777777" w:rsidTr="00460C69">
        <w:trPr>
          <w:cantSplit/>
          <w:trHeight w:val="20"/>
        </w:trPr>
        <w:tc>
          <w:tcPr>
            <w:tcW w:w="8505" w:type="dxa"/>
            <w:shd w:val="clear" w:color="auto" w:fill="auto"/>
          </w:tcPr>
          <w:p w14:paraId="0FA655A5" w14:textId="77777777" w:rsidR="00FB1300" w:rsidRPr="00061C07" w:rsidRDefault="00FB1300" w:rsidP="00460C69">
            <w:pPr>
              <w:pStyle w:val="SlimCell"/>
              <w:keepNext/>
            </w:pPr>
          </w:p>
        </w:tc>
      </w:tr>
      <w:tr w:rsidR="00FB1300" w:rsidRPr="00061C07" w14:paraId="7A754AAB" w14:textId="77777777" w:rsidTr="00460C69">
        <w:trPr>
          <w:cantSplit/>
        </w:trPr>
        <w:tc>
          <w:tcPr>
            <w:tcW w:w="8505" w:type="dxa"/>
            <w:shd w:val="clear" w:color="auto" w:fill="auto"/>
          </w:tcPr>
          <w:p w14:paraId="0986263B" w14:textId="77777777" w:rsidR="00FB1300" w:rsidRPr="00061C07" w:rsidRDefault="00FB1300" w:rsidP="00460C69">
            <w:pPr>
              <w:pStyle w:val="TableShape"/>
              <w:rPr>
                <w:sz w:val="2"/>
              </w:rPr>
            </w:pPr>
            <w:r w:rsidRPr="00061C07">
              <w:rPr>
                <w:noProof/>
                <w:sz w:val="2"/>
                <w:lang w:val="hr-HR" w:eastAsia="hr-HR"/>
              </w:rPr>
              <w:lastRenderedPageBreak/>
              <w:drawing>
                <wp:inline distT="0" distB="0" distL="0" distR="0" wp14:anchorId="1B960D6A" wp14:editId="668D6A41">
                  <wp:extent cx="5400929" cy="7277041"/>
                  <wp:effectExtent l="0" t="0" r="0" b="635"/>
                  <wp:docPr id="818" name="Picture 818" descr="&lt;nbr&gt;&lt;GETTEXTFROMWORD&gt;&lt;/nbr&gt;&#10;&lt;title&gt;&lt;GETTEXTFROMWORD&gt;&lt;/title&gt;&#10;&lt;id&gt;56bbb5e9-2391-4714-a042-07444e07929b&lt;/id&gt;&#10;&lt;srcType&gt;EXCEL&lt;/srcType&gt;&#10;&lt;srcPath&gt;U:\Budgetary projections 2018\Reports\2018 AR UA&amp;PM\Tables and graphs\Part II Annexes\&lt;/srcPath&gt;&#10;&lt;srcName&gt;Reporting framework annex 1.xlsx&lt;/srcName&gt;&#10;&lt;type&gt;table&lt;/type&gt;&#10; &lt;srcSheet&gt;Questionnaire&lt;/srcSheet&gt;&#10; &lt;srcRange&gt;R83C2:R175C10&lt;/srcRange&gt;&#10;&lt;pos&gt;multipages_top&lt;/pos&gt;&#10;&lt;numbering&gt;internal&lt;/numbering&gt;&#10;&lt;manNumb&gt;no&lt;/manNumb&gt;&#10; &lt;insFtn&gt;yes&lt;/insFtn&gt;&#10; &lt;insSrc&gt;yes&lt;/insSrc&gt;&#10; &lt;ftnText&gt;&lt;GETTEXTFROMWORD&gt;&lt;/ftnText&gt;&#10; &lt;shpSrc&gt;&lt;GETTEXTFROMWORD&gt;&lt;/shpSrc&gt;&#10;&lt;multi&gt;yes&lt;/multi&gt;&#10; &lt;partThis&gt;2&lt;/partThis&gt;&#10; &lt;partTot&gt;2&lt;/partTot&gt;&#10;&lt;statAnn&gt;no&lt;/statAnn&gt;&#10;&lt;float&gt;no&lt;/float&gt;&#10;&lt;bottomShapePageNumber&gt;-1&lt;/bottomShapePageNumber&gt;&#10;&lt;version&gt;2&lt;/version&gt;&#10;&lt;scrFileTime&gt;2017-09-05T12:04:0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5400929" cy="7277041"/>
                          </a:xfrm>
                          <a:prstGeom prst="rect">
                            <a:avLst/>
                          </a:prstGeom>
                          <a:noFill/>
                          <a:ln>
                            <a:noFill/>
                          </a:ln>
                        </pic:spPr>
                      </pic:pic>
                    </a:graphicData>
                  </a:graphic>
                </wp:inline>
              </w:drawing>
            </w:r>
          </w:p>
        </w:tc>
      </w:tr>
      <w:tr w:rsidR="00FB1300" w:rsidRPr="00061C07" w14:paraId="295579A1" w14:textId="77777777" w:rsidTr="00460C69">
        <w:trPr>
          <w:cantSplit/>
        </w:trPr>
        <w:tc>
          <w:tcPr>
            <w:tcW w:w="8505" w:type="dxa"/>
            <w:shd w:val="clear" w:color="auto" w:fill="auto"/>
          </w:tcPr>
          <w:p w14:paraId="00BE8CE4" w14:textId="77777777" w:rsidR="00FB1300" w:rsidRDefault="00FB1300" w:rsidP="00460C69">
            <w:pPr>
              <w:pStyle w:val="TableFootnote"/>
            </w:pPr>
            <w:r>
              <w:t>(1)The green lines are provided on a voluntary basis.</w:t>
            </w:r>
          </w:p>
          <w:p w14:paraId="292FC997" w14:textId="77777777" w:rsidR="00FB1300" w:rsidRPr="00061C07" w:rsidRDefault="00FB1300" w:rsidP="00460C69">
            <w:pPr>
              <w:pStyle w:val="TableSource"/>
            </w:pPr>
            <w:r w:rsidRPr="00061C07">
              <w:rPr>
                <w:b/>
                <w:i/>
              </w:rPr>
              <w:t>Source:</w:t>
            </w:r>
            <w:r w:rsidRPr="00061C07">
              <w:t xml:space="preserve"> Commission services, EPC.</w:t>
            </w:r>
          </w:p>
        </w:tc>
      </w:tr>
      <w:tr w:rsidR="00FB1300" w:rsidRPr="00061C07" w14:paraId="467BF4A3" w14:textId="77777777" w:rsidTr="00460C69">
        <w:trPr>
          <w:cantSplit/>
          <w:trHeight w:val="20"/>
        </w:trPr>
        <w:tc>
          <w:tcPr>
            <w:tcW w:w="8505" w:type="dxa"/>
            <w:shd w:val="clear" w:color="auto" w:fill="auto"/>
            <w:vAlign w:val="bottom"/>
          </w:tcPr>
          <w:p w14:paraId="4F27D750" w14:textId="77777777" w:rsidR="00FB1300" w:rsidRPr="00061C07" w:rsidRDefault="00FB1300" w:rsidP="00460C69">
            <w:pPr>
              <w:pStyle w:val="SlimCell"/>
            </w:pPr>
          </w:p>
        </w:tc>
      </w:tr>
    </w:tbl>
    <w:p w14:paraId="1C64E7D6" w14:textId="77777777" w:rsidR="00FB1300" w:rsidRPr="00061C07" w:rsidRDefault="00FB1300" w:rsidP="00460C69">
      <w:pPr>
        <w:pStyle w:val="MultipageDelimiter"/>
      </w:pP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FB1300" w:rsidRPr="00061C07" w14:paraId="4238A791" w14:textId="77777777" w:rsidTr="00460C69">
        <w:trPr>
          <w:cantSplit/>
          <w:trHeight w:val="20"/>
        </w:trPr>
        <w:tc>
          <w:tcPr>
            <w:tcW w:w="8505" w:type="dxa"/>
            <w:shd w:val="clear" w:color="auto" w:fill="auto"/>
          </w:tcPr>
          <w:p w14:paraId="661EAF51" w14:textId="77777777" w:rsidR="00FB1300" w:rsidRPr="00061C07" w:rsidRDefault="00FB1300" w:rsidP="00460C69">
            <w:pPr>
              <w:pStyle w:val="SlimCell"/>
              <w:keepNext/>
            </w:pPr>
            <w:r w:rsidRPr="00061C07">
              <w:lastRenderedPageBreak/>
              <w:fldChar w:fldCharType="begin"/>
            </w:r>
            <w:r w:rsidRPr="009F3ED8">
              <w:instrText xml:space="preserve"> TC "</w:instrText>
            </w:r>
            <w:bookmarkStart w:id="275" w:name="_Toc511664589"/>
            <w:r w:rsidRPr="009F3ED8">
              <w:instrText>II.AI.2.</w:instrText>
            </w:r>
            <w:r w:rsidRPr="009F3ED8">
              <w:tab/>
              <w:instrText>Pension projections reporting sheet: decomposition of new public pensions expenditure - earnings related for defined benefit (DB) schemes</w:instrText>
            </w:r>
            <w:bookmarkEnd w:id="275"/>
            <w:r w:rsidRPr="009F3ED8">
              <w:instrText xml:space="preserve">" \ftable \l 5 </w:instrText>
            </w:r>
            <w:r w:rsidRPr="00061C07">
              <w:fldChar w:fldCharType="end"/>
            </w:r>
            <w:r w:rsidRPr="00061C07">
              <w:fldChar w:fldCharType="begin"/>
            </w:r>
            <w:r w:rsidRPr="009F3ED8">
              <w:instrText xml:space="preserve"> TC "</w:instrText>
            </w:r>
            <w:bookmarkStart w:id="276" w:name="_Toc511664590"/>
            <w:r w:rsidRPr="009F3ED8">
              <w:instrText>II.AI.3.</w:instrText>
            </w:r>
            <w:r w:rsidRPr="009F3ED8">
              <w:tab/>
              <w:instrText>Pension projection reporting sheet: decomposition of new public pension expenditure - earnings related for notional defined contribution (NDC) schemes</w:instrText>
            </w:r>
            <w:bookmarkEnd w:id="276"/>
            <w:r w:rsidRPr="009F3ED8">
              <w:instrText xml:space="preserve">" \ftable \l 5 </w:instrText>
            </w:r>
            <w:r w:rsidRPr="00061C07">
              <w:fldChar w:fldCharType="end"/>
            </w:r>
            <w:r w:rsidRPr="00061C07">
              <w:fldChar w:fldCharType="begin"/>
            </w:r>
            <w:r w:rsidRPr="009F3ED8">
              <w:instrText xml:space="preserve"> TC "</w:instrText>
            </w:r>
            <w:bookmarkStart w:id="277" w:name="_Toc511664591"/>
            <w:r w:rsidRPr="009F3ED8">
              <w:instrText>II.AI.4.</w:instrText>
            </w:r>
            <w:r w:rsidRPr="009F3ED8">
              <w:tab/>
              <w:instrText>Pension projection reporting sheet: decomposition of new public pension expenditure - earnings related for point schemes (PS)</w:instrText>
            </w:r>
            <w:bookmarkEnd w:id="277"/>
            <w:r w:rsidRPr="009F3ED8">
              <w:instrText xml:space="preserve">" \ftable \l 5 </w:instrText>
            </w:r>
            <w:r w:rsidRPr="00061C07">
              <w:fldChar w:fldCharType="end"/>
            </w:r>
          </w:p>
        </w:tc>
      </w:tr>
      <w:tr w:rsidR="00FB1300" w:rsidRPr="00061C07" w14:paraId="0506AA44" w14:textId="77777777" w:rsidTr="00460C69">
        <w:trPr>
          <w:cantSplit/>
        </w:trPr>
        <w:tc>
          <w:tcPr>
            <w:tcW w:w="8505" w:type="dxa"/>
            <w:shd w:val="clear" w:color="auto" w:fill="auto"/>
          </w:tcPr>
          <w:p w14:paraId="12814A28" w14:textId="77777777" w:rsidR="00FB1300" w:rsidRPr="00061C07" w:rsidRDefault="00FB1300" w:rsidP="00460C69">
            <w:pPr>
              <w:pStyle w:val="TableTitle"/>
              <w:rPr>
                <w:b/>
              </w:rPr>
            </w:pPr>
            <w:r w:rsidRPr="00061C07">
              <w:t>Table II.AI.2:</w:t>
            </w:r>
            <w:r w:rsidRPr="00061C07">
              <w:rPr>
                <w:b/>
              </w:rPr>
              <w:tab/>
              <w:t>Pension projections reporting sheet: decomposition of new public pensions expenditure - earnings related  for defined benefit (DB) schemes</w:t>
            </w:r>
          </w:p>
        </w:tc>
      </w:tr>
      <w:tr w:rsidR="00FB1300" w:rsidRPr="00061C07" w14:paraId="0A7315FA" w14:textId="77777777" w:rsidTr="00460C69">
        <w:trPr>
          <w:cantSplit/>
        </w:trPr>
        <w:tc>
          <w:tcPr>
            <w:tcW w:w="8505" w:type="dxa"/>
            <w:shd w:val="clear" w:color="auto" w:fill="auto"/>
          </w:tcPr>
          <w:p w14:paraId="6BBE9BFC" w14:textId="77777777" w:rsidR="00FB1300" w:rsidRPr="00061C07" w:rsidRDefault="00FB1300" w:rsidP="00460C69">
            <w:pPr>
              <w:pStyle w:val="TableShape"/>
              <w:rPr>
                <w:sz w:val="2"/>
              </w:rPr>
            </w:pPr>
            <w:r w:rsidRPr="00061C07">
              <w:rPr>
                <w:noProof/>
                <w:sz w:val="2"/>
                <w:lang w:val="hr-HR" w:eastAsia="hr-HR"/>
              </w:rPr>
              <w:drawing>
                <wp:inline distT="0" distB="0" distL="0" distR="0" wp14:anchorId="5A323C25" wp14:editId="543A2CEF">
                  <wp:extent cx="5400929" cy="1057325"/>
                  <wp:effectExtent l="0" t="0" r="0" b="9525"/>
                  <wp:docPr id="819" name="Picture 819" descr="&lt;nbr&gt;&lt;GETTEXTFROMWORD&gt;&lt;/nbr&gt;&#10;&lt;title&gt;&lt;GETTEXTFROMWORD&gt;&lt;/title&gt;&#10;&lt;id&gt;9eef608b-c266-4ba6-b11e-c0a65f36c83e&lt;/id&gt;&#10;&lt;srcType&gt;EXCEL&lt;/srcType&gt;&#10;&lt;srcPath&gt;U:\Budgetary projections 2018\Reports\2018 AR UA&amp;PM\Tables and graphs\Part II Annexes\&lt;/srcPath&gt;&#10;&lt;srcName&gt;Reporting framework annex 1.xlsx&lt;/srcName&gt;&#10;&lt;type&gt;table&lt;/type&gt;&#10; &lt;srcSheet&gt;DB&lt;/srcSheet&gt;&#10; &lt;srcRange&gt;R3C2:R14C10&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7-09-05T12:04:0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400929" cy="1057325"/>
                          </a:xfrm>
                          <a:prstGeom prst="rect">
                            <a:avLst/>
                          </a:prstGeom>
                          <a:noFill/>
                          <a:ln>
                            <a:noFill/>
                          </a:ln>
                        </pic:spPr>
                      </pic:pic>
                    </a:graphicData>
                  </a:graphic>
                </wp:inline>
              </w:drawing>
            </w:r>
          </w:p>
        </w:tc>
      </w:tr>
      <w:tr w:rsidR="00FB1300" w:rsidRPr="00061C07" w14:paraId="4FB0E600" w14:textId="77777777" w:rsidTr="00460C69">
        <w:trPr>
          <w:cantSplit/>
        </w:trPr>
        <w:tc>
          <w:tcPr>
            <w:tcW w:w="8505" w:type="dxa"/>
            <w:shd w:val="clear" w:color="auto" w:fill="auto"/>
          </w:tcPr>
          <w:p w14:paraId="7C1EBC02" w14:textId="77777777" w:rsidR="00FB1300" w:rsidRDefault="00FB1300" w:rsidP="00460C69">
            <w:pPr>
              <w:pStyle w:val="TableFootnote"/>
            </w:pPr>
            <w:r>
              <w:t>(1) Data to be provided also by gender.</w:t>
            </w:r>
          </w:p>
          <w:p w14:paraId="421F8EAA" w14:textId="77777777" w:rsidR="00FB1300" w:rsidRPr="00061C07" w:rsidRDefault="00FB1300" w:rsidP="00460C69">
            <w:pPr>
              <w:pStyle w:val="TableSource"/>
            </w:pPr>
            <w:r w:rsidRPr="00061C07">
              <w:rPr>
                <w:b/>
                <w:i/>
              </w:rPr>
              <w:t>Source:</w:t>
            </w:r>
            <w:r w:rsidRPr="00061C07">
              <w:t xml:space="preserve"> Commission services, EPC.</w:t>
            </w:r>
          </w:p>
        </w:tc>
      </w:tr>
      <w:tr w:rsidR="00FB1300" w:rsidRPr="00061C07" w14:paraId="1D251041" w14:textId="77777777" w:rsidTr="00460C69">
        <w:trPr>
          <w:cantSplit/>
          <w:trHeight w:val="20"/>
        </w:trPr>
        <w:tc>
          <w:tcPr>
            <w:tcW w:w="8505" w:type="dxa"/>
            <w:shd w:val="clear" w:color="auto" w:fill="auto"/>
          </w:tcPr>
          <w:p w14:paraId="50746A76" w14:textId="77777777" w:rsidR="00FB1300" w:rsidRPr="00061C07" w:rsidRDefault="00FB1300" w:rsidP="00460C69">
            <w:pPr>
              <w:pStyle w:val="SlimCell"/>
            </w:pPr>
          </w:p>
        </w:tc>
      </w:tr>
    </w:tbl>
    <w:p w14:paraId="31ED49DB" w14:textId="77777777" w:rsidR="00FB1300" w:rsidRPr="00061C07" w:rsidRDefault="00FB1300" w:rsidP="00460C69">
      <w:pPr>
        <w:pStyle w:val="MultipageDelimiter"/>
      </w:pP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FB1300" w:rsidRPr="00061C07" w14:paraId="1B820824" w14:textId="77777777" w:rsidTr="00460C69">
        <w:trPr>
          <w:cantSplit/>
          <w:trHeight w:val="20"/>
        </w:trPr>
        <w:tc>
          <w:tcPr>
            <w:tcW w:w="8505" w:type="dxa"/>
            <w:shd w:val="clear" w:color="auto" w:fill="auto"/>
          </w:tcPr>
          <w:p w14:paraId="773731E5" w14:textId="77777777" w:rsidR="00FB1300" w:rsidRPr="00061C07" w:rsidRDefault="00FB1300" w:rsidP="00460C69">
            <w:pPr>
              <w:pStyle w:val="SlimCell"/>
              <w:keepNext/>
            </w:pPr>
          </w:p>
        </w:tc>
      </w:tr>
      <w:tr w:rsidR="00FB1300" w:rsidRPr="00061C07" w14:paraId="361EE164" w14:textId="77777777" w:rsidTr="00460C69">
        <w:trPr>
          <w:cantSplit/>
        </w:trPr>
        <w:tc>
          <w:tcPr>
            <w:tcW w:w="8505" w:type="dxa"/>
            <w:shd w:val="clear" w:color="auto" w:fill="auto"/>
          </w:tcPr>
          <w:p w14:paraId="667F20EC" w14:textId="77777777" w:rsidR="00FB1300" w:rsidRPr="00061C07" w:rsidRDefault="00FB1300" w:rsidP="00460C69">
            <w:pPr>
              <w:pStyle w:val="TableTitle"/>
              <w:rPr>
                <w:b/>
              </w:rPr>
            </w:pPr>
            <w:r w:rsidRPr="00061C07">
              <w:t>Table II.AI.3:</w:t>
            </w:r>
            <w:r w:rsidRPr="00061C07">
              <w:rPr>
                <w:b/>
              </w:rPr>
              <w:tab/>
              <w:t>Pension projection reporting sheet: decomposition of new public pension expenditure - earnings related for notional defined contribution (NDC) schemes</w:t>
            </w:r>
          </w:p>
        </w:tc>
      </w:tr>
      <w:tr w:rsidR="00FB1300" w:rsidRPr="00061C07" w14:paraId="3CE885F8" w14:textId="77777777" w:rsidTr="00460C69">
        <w:trPr>
          <w:cantSplit/>
        </w:trPr>
        <w:tc>
          <w:tcPr>
            <w:tcW w:w="8505" w:type="dxa"/>
            <w:shd w:val="clear" w:color="auto" w:fill="auto"/>
          </w:tcPr>
          <w:p w14:paraId="59B98322" w14:textId="77777777" w:rsidR="00FB1300" w:rsidRPr="00061C07" w:rsidRDefault="00FB1300" w:rsidP="00460C69">
            <w:pPr>
              <w:pStyle w:val="TableShape"/>
              <w:rPr>
                <w:sz w:val="2"/>
              </w:rPr>
            </w:pPr>
            <w:r w:rsidRPr="00061C07">
              <w:rPr>
                <w:noProof/>
                <w:sz w:val="2"/>
                <w:lang w:val="hr-HR" w:eastAsia="hr-HR"/>
              </w:rPr>
              <w:drawing>
                <wp:inline distT="0" distB="0" distL="0" distR="0" wp14:anchorId="56DAB054" wp14:editId="1EAB68C0">
                  <wp:extent cx="5400929" cy="1571699"/>
                  <wp:effectExtent l="0" t="0" r="9525" b="9525"/>
                  <wp:docPr id="820" name="Picture 820" descr="&lt;nbr&gt;&lt;GETTEXTFROMWORD&gt;&lt;/nbr&gt;&#10;&lt;title&gt;&lt;GETTEXTFROMWORD&gt;&lt;/title&gt;&#10;&lt;id&gt;9abb655f-59a9-441a-a585-08e8b10fd951&lt;/id&gt;&#10;&lt;srcType&gt;EXCEL&lt;/srcType&gt;&#10;&lt;srcPath&gt;U:\Budgetary projections 2018\Reports\2018 AR UA&amp;PM\Tables and graphs\Part II Annexes\&lt;/srcPath&gt;&#10;&lt;srcName&gt;Reporting framework annex 1.xlsx&lt;/srcName&gt;&#10;&lt;type&gt;table&lt;/type&gt;&#10; &lt;srcSheet&gt;NDC&lt;/srcSheet&gt;&#10; &lt;srcRange&gt;R2C2:R15C10&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7-09-05T12:04:0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5400929" cy="1571699"/>
                          </a:xfrm>
                          <a:prstGeom prst="rect">
                            <a:avLst/>
                          </a:prstGeom>
                          <a:noFill/>
                          <a:ln>
                            <a:noFill/>
                          </a:ln>
                        </pic:spPr>
                      </pic:pic>
                    </a:graphicData>
                  </a:graphic>
                </wp:inline>
              </w:drawing>
            </w:r>
          </w:p>
        </w:tc>
      </w:tr>
      <w:tr w:rsidR="00FB1300" w:rsidRPr="00061C07" w14:paraId="0377B8D8" w14:textId="77777777" w:rsidTr="00460C69">
        <w:trPr>
          <w:cantSplit/>
        </w:trPr>
        <w:tc>
          <w:tcPr>
            <w:tcW w:w="8505" w:type="dxa"/>
            <w:shd w:val="clear" w:color="auto" w:fill="auto"/>
          </w:tcPr>
          <w:p w14:paraId="3F685409" w14:textId="77777777" w:rsidR="00FB1300" w:rsidRDefault="00FB1300" w:rsidP="00460C69">
            <w:pPr>
              <w:pStyle w:val="TableFootnote"/>
            </w:pPr>
            <w:r>
              <w:t>(1)Data to be provided also by gender.</w:t>
            </w:r>
          </w:p>
          <w:p w14:paraId="206CA80D" w14:textId="77777777" w:rsidR="00FB1300" w:rsidRPr="00061C07" w:rsidRDefault="00FB1300" w:rsidP="00460C69">
            <w:pPr>
              <w:pStyle w:val="TableSource"/>
            </w:pPr>
            <w:r w:rsidRPr="00061C07">
              <w:rPr>
                <w:b/>
                <w:i/>
              </w:rPr>
              <w:t>Source:</w:t>
            </w:r>
            <w:r w:rsidRPr="00061C07">
              <w:t xml:space="preserve"> Commission services, EPC.</w:t>
            </w:r>
          </w:p>
        </w:tc>
      </w:tr>
      <w:tr w:rsidR="00FB1300" w:rsidRPr="00061C07" w14:paraId="0C83B665" w14:textId="77777777" w:rsidTr="00460C69">
        <w:trPr>
          <w:cantSplit/>
          <w:trHeight w:val="20"/>
        </w:trPr>
        <w:tc>
          <w:tcPr>
            <w:tcW w:w="8505" w:type="dxa"/>
            <w:shd w:val="clear" w:color="auto" w:fill="auto"/>
          </w:tcPr>
          <w:p w14:paraId="22FAD9D6" w14:textId="77777777" w:rsidR="00FB1300" w:rsidRPr="00061C07" w:rsidRDefault="00FB1300" w:rsidP="00460C69">
            <w:pPr>
              <w:pStyle w:val="SlimCell"/>
            </w:pPr>
          </w:p>
        </w:tc>
      </w:tr>
    </w:tbl>
    <w:p w14:paraId="33F8F764" w14:textId="77777777" w:rsidR="00FB1300" w:rsidRPr="00061C07" w:rsidRDefault="00FB1300" w:rsidP="00460C69">
      <w:pPr>
        <w:pStyle w:val="MultipageDelimiter"/>
      </w:pP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FB1300" w:rsidRPr="00061C07" w14:paraId="7978CAEE" w14:textId="77777777" w:rsidTr="00460C69">
        <w:trPr>
          <w:cantSplit/>
          <w:trHeight w:val="20"/>
        </w:trPr>
        <w:tc>
          <w:tcPr>
            <w:tcW w:w="8505" w:type="dxa"/>
            <w:shd w:val="clear" w:color="auto" w:fill="auto"/>
          </w:tcPr>
          <w:p w14:paraId="713781BB" w14:textId="77777777" w:rsidR="00FB1300" w:rsidRPr="00061C07" w:rsidRDefault="00FB1300" w:rsidP="00460C69">
            <w:pPr>
              <w:pStyle w:val="SlimCell"/>
              <w:keepNext/>
            </w:pPr>
          </w:p>
        </w:tc>
      </w:tr>
      <w:tr w:rsidR="00FB1300" w:rsidRPr="00061C07" w14:paraId="78B51FBE" w14:textId="77777777" w:rsidTr="00460C69">
        <w:trPr>
          <w:cantSplit/>
        </w:trPr>
        <w:tc>
          <w:tcPr>
            <w:tcW w:w="8505" w:type="dxa"/>
            <w:shd w:val="clear" w:color="auto" w:fill="auto"/>
          </w:tcPr>
          <w:p w14:paraId="2A0E1129" w14:textId="77777777" w:rsidR="00FB1300" w:rsidRPr="00061C07" w:rsidRDefault="00FB1300" w:rsidP="00460C69">
            <w:pPr>
              <w:pStyle w:val="TableTitle"/>
              <w:rPr>
                <w:b/>
              </w:rPr>
            </w:pPr>
            <w:r w:rsidRPr="00061C07">
              <w:t>Table II.AI.4:</w:t>
            </w:r>
            <w:r w:rsidRPr="00061C07">
              <w:rPr>
                <w:b/>
              </w:rPr>
              <w:tab/>
              <w:t>Pension projection reporting sheet: decomposition of new public pension expenditure - earnings related for point schemes (PS)</w:t>
            </w:r>
          </w:p>
        </w:tc>
      </w:tr>
      <w:tr w:rsidR="00FB1300" w:rsidRPr="00061C07" w14:paraId="3E9F8121" w14:textId="77777777" w:rsidTr="00460C69">
        <w:trPr>
          <w:cantSplit/>
        </w:trPr>
        <w:tc>
          <w:tcPr>
            <w:tcW w:w="8505" w:type="dxa"/>
            <w:shd w:val="clear" w:color="auto" w:fill="auto"/>
          </w:tcPr>
          <w:p w14:paraId="578FB1A9" w14:textId="77777777" w:rsidR="00FB1300" w:rsidRPr="00061C07" w:rsidRDefault="00FB1300" w:rsidP="00460C69">
            <w:pPr>
              <w:pStyle w:val="TableShape"/>
              <w:rPr>
                <w:sz w:val="2"/>
              </w:rPr>
            </w:pPr>
            <w:r w:rsidRPr="00061C07">
              <w:rPr>
                <w:noProof/>
                <w:sz w:val="2"/>
                <w:lang w:val="hr-HR" w:eastAsia="hr-HR"/>
              </w:rPr>
              <w:drawing>
                <wp:inline distT="0" distB="0" distL="0" distR="0" wp14:anchorId="30DE463F" wp14:editId="5A39B713">
                  <wp:extent cx="5400929" cy="1295461"/>
                  <wp:effectExtent l="0" t="0" r="9525" b="0"/>
                  <wp:docPr id="821" name="Picture 821" descr="&lt;nbr&gt;&lt;GETTEXTFROMWORD&gt;&lt;/nbr&gt;&#10;&lt;title&gt;&lt;GETTEXTFROMWORD&gt;&lt;/title&gt;&#10;&lt;id&gt;f8c777b4-b2e2-4e2c-92dc-f07e4ce08917&lt;/id&gt;&#10;&lt;srcType&gt;EXCEL&lt;/srcType&gt;&#10;&lt;srcPath&gt;U:\Budgetary projections 2018\Reports\2018 AR UA&amp;PM\Tables and graphs\Part II Annexes\&lt;/srcPath&gt;&#10;&lt;srcName&gt;Reporting framework annex 1.xlsx&lt;/srcName&gt;&#10;&lt;type&gt;table&lt;/type&gt;&#10; &lt;srcSheet&gt;PS&lt;/srcSheet&gt;&#10; &lt;srcRange&gt;R2C2:R15C10&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7-09-05T12:04:0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5400929" cy="1295461"/>
                          </a:xfrm>
                          <a:prstGeom prst="rect">
                            <a:avLst/>
                          </a:prstGeom>
                          <a:noFill/>
                          <a:ln>
                            <a:noFill/>
                          </a:ln>
                        </pic:spPr>
                      </pic:pic>
                    </a:graphicData>
                  </a:graphic>
                </wp:inline>
              </w:drawing>
            </w:r>
          </w:p>
        </w:tc>
      </w:tr>
      <w:tr w:rsidR="00FB1300" w:rsidRPr="00061C07" w14:paraId="65AA516D" w14:textId="77777777" w:rsidTr="00460C69">
        <w:trPr>
          <w:cantSplit/>
        </w:trPr>
        <w:tc>
          <w:tcPr>
            <w:tcW w:w="8505" w:type="dxa"/>
            <w:shd w:val="clear" w:color="auto" w:fill="auto"/>
          </w:tcPr>
          <w:p w14:paraId="08299593" w14:textId="77777777" w:rsidR="00FB1300" w:rsidRDefault="00FB1300" w:rsidP="00460C69">
            <w:pPr>
              <w:pStyle w:val="TableFootnote"/>
            </w:pPr>
            <w:r>
              <w:t>(1) Data to be provided also by gender.</w:t>
            </w:r>
          </w:p>
          <w:p w14:paraId="3E5BDFED" w14:textId="77777777" w:rsidR="00FB1300" w:rsidRPr="00061C07" w:rsidRDefault="00FB1300" w:rsidP="00460C69">
            <w:pPr>
              <w:pStyle w:val="TableSource"/>
            </w:pPr>
            <w:r w:rsidRPr="00061C07">
              <w:rPr>
                <w:b/>
                <w:i/>
              </w:rPr>
              <w:t>Source:</w:t>
            </w:r>
            <w:r w:rsidRPr="00061C07">
              <w:t xml:space="preserve">  Commission services, EPC.</w:t>
            </w:r>
          </w:p>
        </w:tc>
      </w:tr>
      <w:tr w:rsidR="00FB1300" w:rsidRPr="00061C07" w14:paraId="4A4C39F2" w14:textId="77777777" w:rsidTr="00460C69">
        <w:trPr>
          <w:cantSplit/>
          <w:trHeight w:val="20"/>
        </w:trPr>
        <w:tc>
          <w:tcPr>
            <w:tcW w:w="8505" w:type="dxa"/>
            <w:shd w:val="clear" w:color="auto" w:fill="auto"/>
          </w:tcPr>
          <w:p w14:paraId="5202A3A1" w14:textId="77777777" w:rsidR="00FB1300" w:rsidRPr="00061C07" w:rsidRDefault="00FB1300" w:rsidP="00460C69">
            <w:pPr>
              <w:pStyle w:val="SlimCell"/>
            </w:pPr>
          </w:p>
        </w:tc>
      </w:tr>
    </w:tbl>
    <w:p w14:paraId="6957C650" w14:textId="77777777" w:rsidR="00FB1300" w:rsidRPr="00061C07" w:rsidRDefault="00FB1300" w:rsidP="00460C69">
      <w:pPr>
        <w:pStyle w:val="MultipageDelimiter"/>
      </w:pP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FB1300" w:rsidRPr="00061C07" w14:paraId="63B7D98F" w14:textId="77777777" w:rsidTr="00460C69">
        <w:trPr>
          <w:cantSplit/>
          <w:trHeight w:val="20"/>
        </w:trPr>
        <w:tc>
          <w:tcPr>
            <w:tcW w:w="8505" w:type="dxa"/>
            <w:shd w:val="clear" w:color="auto" w:fill="auto"/>
          </w:tcPr>
          <w:p w14:paraId="675FDD40" w14:textId="77777777" w:rsidR="00FB1300" w:rsidRPr="00061C07" w:rsidRDefault="00FB1300" w:rsidP="00460C69">
            <w:pPr>
              <w:pStyle w:val="SlimCell"/>
              <w:keepNext/>
            </w:pPr>
            <w:r w:rsidRPr="00061C07">
              <w:fldChar w:fldCharType="begin"/>
            </w:r>
            <w:r w:rsidRPr="009F3ED8">
              <w:instrText xml:space="preserve"> TC "</w:instrText>
            </w:r>
            <w:bookmarkStart w:id="278" w:name="_Toc511664592"/>
            <w:r w:rsidRPr="009F3ED8">
              <w:instrText>II.AI.5.</w:instrText>
            </w:r>
            <w:r w:rsidRPr="009F3ED8">
              <w:tab/>
              <w:instrText>Pension projections reporting sheet: decomposition of new private pension expenditure</w:instrText>
            </w:r>
            <w:bookmarkEnd w:id="278"/>
            <w:r w:rsidRPr="009F3ED8">
              <w:instrText xml:space="preserve">" \ftable \l 5 </w:instrText>
            </w:r>
            <w:r w:rsidRPr="00061C07">
              <w:fldChar w:fldCharType="end"/>
            </w:r>
          </w:p>
        </w:tc>
      </w:tr>
      <w:tr w:rsidR="00FB1300" w:rsidRPr="00061C07" w14:paraId="7B275E02" w14:textId="77777777" w:rsidTr="00460C69">
        <w:trPr>
          <w:cantSplit/>
        </w:trPr>
        <w:tc>
          <w:tcPr>
            <w:tcW w:w="8505" w:type="dxa"/>
            <w:shd w:val="clear" w:color="auto" w:fill="auto"/>
          </w:tcPr>
          <w:p w14:paraId="1F221FB6" w14:textId="77777777" w:rsidR="00FB1300" w:rsidRPr="00061C07" w:rsidRDefault="00FB1300" w:rsidP="00460C69">
            <w:pPr>
              <w:pStyle w:val="TableTitle"/>
              <w:rPr>
                <w:b/>
              </w:rPr>
            </w:pPr>
            <w:r w:rsidRPr="00061C07">
              <w:t>Table II.AI.5:</w:t>
            </w:r>
            <w:r w:rsidRPr="00061C07">
              <w:rPr>
                <w:b/>
              </w:rPr>
              <w:tab/>
              <w:t>Pension projections reporting sheet: decomposition of new private pension expenditure</w:t>
            </w:r>
          </w:p>
        </w:tc>
      </w:tr>
      <w:tr w:rsidR="00FB1300" w:rsidRPr="00061C07" w14:paraId="4B73D374" w14:textId="77777777" w:rsidTr="00460C69">
        <w:trPr>
          <w:cantSplit/>
        </w:trPr>
        <w:tc>
          <w:tcPr>
            <w:tcW w:w="8505" w:type="dxa"/>
            <w:shd w:val="clear" w:color="auto" w:fill="auto"/>
          </w:tcPr>
          <w:p w14:paraId="304E6B36" w14:textId="77777777" w:rsidR="00FB1300" w:rsidRPr="00061C07" w:rsidRDefault="00FB1300" w:rsidP="00460C69">
            <w:pPr>
              <w:pStyle w:val="TableShape"/>
              <w:rPr>
                <w:sz w:val="2"/>
              </w:rPr>
            </w:pPr>
            <w:r w:rsidRPr="00061C07">
              <w:rPr>
                <w:noProof/>
                <w:sz w:val="2"/>
                <w:lang w:val="hr-HR" w:eastAsia="hr-HR"/>
              </w:rPr>
              <w:drawing>
                <wp:inline distT="0" distB="0" distL="0" distR="0" wp14:anchorId="73314C16" wp14:editId="4540CF51">
                  <wp:extent cx="5400929" cy="1743157"/>
                  <wp:effectExtent l="0" t="0" r="9525" b="9525"/>
                  <wp:docPr id="822" name="Picture 822" descr="&lt;nbr&gt;&lt;GETTEXTFROMWORD&gt;&lt;/nbr&gt;&#10;&lt;title&gt;&lt;GETTEXTFROMWORD&gt;&lt;/title&gt;&#10;&lt;id&gt;c0591052-d882-4bd6-9353-634b110e2ab6&lt;/id&gt;&#10;&lt;srcType&gt;EXCEL&lt;/srcType&gt;&#10;&lt;srcPath&gt;U:\Budgetary projections 2018\Reports\2018 AR UA&amp;PM\Tables and graphs\Part II Annexes\&lt;/srcPath&gt;&#10;&lt;srcName&gt;Reporting framework annex 1.xlsx&lt;/srcName&gt;&#10;&lt;type&gt;table&lt;/type&gt;&#10; &lt;srcSheet&gt;Private&lt;/srcSheet&gt;&#10; &lt;srcRange&gt;R2C2:R17C10&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7-09-05T12:04:0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5400929" cy="1743157"/>
                          </a:xfrm>
                          <a:prstGeom prst="rect">
                            <a:avLst/>
                          </a:prstGeom>
                          <a:noFill/>
                          <a:ln>
                            <a:noFill/>
                          </a:ln>
                        </pic:spPr>
                      </pic:pic>
                    </a:graphicData>
                  </a:graphic>
                </wp:inline>
              </w:drawing>
            </w:r>
          </w:p>
        </w:tc>
      </w:tr>
      <w:tr w:rsidR="00FB1300" w:rsidRPr="00061C07" w14:paraId="1AA73E00" w14:textId="77777777" w:rsidTr="00460C69">
        <w:trPr>
          <w:cantSplit/>
        </w:trPr>
        <w:tc>
          <w:tcPr>
            <w:tcW w:w="8505" w:type="dxa"/>
            <w:shd w:val="clear" w:color="auto" w:fill="auto"/>
          </w:tcPr>
          <w:p w14:paraId="3583E501" w14:textId="77777777" w:rsidR="00FB1300" w:rsidRDefault="00FB1300" w:rsidP="00460C69">
            <w:pPr>
              <w:pStyle w:val="TableFootnote"/>
            </w:pPr>
            <w:r>
              <w:t>(1) This block is to be provided on a voluntary basis.</w:t>
            </w:r>
          </w:p>
          <w:p w14:paraId="1FF5255E" w14:textId="77777777" w:rsidR="00FB1300" w:rsidRPr="00061C07" w:rsidRDefault="00FB1300" w:rsidP="00460C69">
            <w:pPr>
              <w:pStyle w:val="TableSource"/>
            </w:pPr>
            <w:r w:rsidRPr="00061C07">
              <w:rPr>
                <w:b/>
                <w:i/>
              </w:rPr>
              <w:t>Source:</w:t>
            </w:r>
            <w:r w:rsidRPr="00061C07">
              <w:t xml:space="preserve"> Commission services, EPC.</w:t>
            </w:r>
          </w:p>
        </w:tc>
      </w:tr>
      <w:tr w:rsidR="00FB1300" w:rsidRPr="00061C07" w14:paraId="792A5193" w14:textId="77777777" w:rsidTr="00460C69">
        <w:trPr>
          <w:cantSplit/>
          <w:trHeight w:val="20"/>
        </w:trPr>
        <w:tc>
          <w:tcPr>
            <w:tcW w:w="8505" w:type="dxa"/>
            <w:shd w:val="clear" w:color="auto" w:fill="auto"/>
          </w:tcPr>
          <w:p w14:paraId="1D0237FB" w14:textId="77777777" w:rsidR="00FB1300" w:rsidRPr="00061C07" w:rsidRDefault="00FB1300" w:rsidP="00460C69">
            <w:pPr>
              <w:pStyle w:val="SlimCell"/>
            </w:pPr>
          </w:p>
        </w:tc>
      </w:tr>
    </w:tbl>
    <w:p w14:paraId="678879D9" w14:textId="77777777" w:rsidR="00FB1300" w:rsidRPr="00061C07" w:rsidRDefault="00FB1300" w:rsidP="00460C69"/>
    <w:p w14:paraId="79B76700" w14:textId="77777777" w:rsidR="00FB1300" w:rsidRPr="00061C07" w:rsidRDefault="00FB1300" w:rsidP="00460C69"/>
    <w:p w14:paraId="0BF75DCB" w14:textId="77777777" w:rsidR="00FB1300" w:rsidRPr="00061C07" w:rsidRDefault="00FB1300" w:rsidP="00460C69"/>
    <w:p w14:paraId="2BD5F2B7" w14:textId="77777777" w:rsidR="00FB1300" w:rsidRPr="00061C07" w:rsidRDefault="00FB1300" w:rsidP="00460C69"/>
    <w:p w14:paraId="49CD1246" w14:textId="77777777" w:rsidR="00FB1300" w:rsidRDefault="00FB1300" w:rsidP="00460C69"/>
    <w:bookmarkEnd w:id="271"/>
    <w:p w14:paraId="5B42DF52" w14:textId="77777777" w:rsidR="00FB1300" w:rsidRDefault="00FB1300" w:rsidP="00460C69">
      <w:pPr>
        <w:sectPr w:rsidR="00FB1300" w:rsidSect="00FB1300">
          <w:headerReference w:type="even" r:id="rId300"/>
          <w:headerReference w:type="default" r:id="rId301"/>
          <w:footerReference w:type="even" r:id="rId302"/>
          <w:footerReference w:type="default" r:id="rId303"/>
          <w:headerReference w:type="first" r:id="rId304"/>
          <w:footerReference w:type="first" r:id="rId305"/>
          <w:endnotePr>
            <w:numFmt w:val="decimal"/>
          </w:endnotePr>
          <w:pgSz w:w="11907" w:h="16839"/>
          <w:pgMar w:top="2693" w:right="1701" w:bottom="1417" w:left="1701" w:header="709" w:footer="1191" w:gutter="0"/>
          <w:cols w:space="708"/>
          <w:titlePg/>
          <w:docGrid w:linePitch="360"/>
        </w:sectPr>
      </w:pPr>
    </w:p>
    <w:bookmarkStart w:id="279" w:name="GUID85C0E713B45342018E81BEA4C7E4B748"/>
    <w:p w14:paraId="2F7E291A" w14:textId="77777777" w:rsidR="008A6BEE" w:rsidRPr="009F3ED8" w:rsidRDefault="008A6BEE" w:rsidP="00D1588F">
      <w:pPr>
        <w:pStyle w:val="EPKitTCFrame"/>
      </w:pPr>
      <w:r w:rsidRPr="009F3ED8">
        <w:lastRenderedPageBreak/>
        <w:fldChar w:fldCharType="begin"/>
      </w:r>
      <w:r w:rsidRPr="009F3ED8">
        <w:rPr>
          <w:vanish w:val="0"/>
        </w:rPr>
        <w:instrText xml:space="preserve"> TC "</w:instrText>
      </w:r>
      <w:bookmarkStart w:id="280" w:name="_Toc511664461"/>
      <w:r w:rsidRPr="009F3ED8">
        <w:rPr>
          <w:vanish w:val="0"/>
        </w:rPr>
        <w:instrText>AII.</w:instrText>
      </w:r>
      <w:r w:rsidRPr="009F3ED8">
        <w:rPr>
          <w:vanish w:val="0"/>
        </w:rPr>
        <w:tab/>
        <w:instrText>Additional information on pension systems and projections</w:instrText>
      </w:r>
      <w:bookmarkEnd w:id="280"/>
      <w:r w:rsidRPr="009F3ED8">
        <w:rPr>
          <w:vanish w:val="0"/>
        </w:rPr>
        <w:instrText xml:space="preserve">" \f \l 2 </w:instrText>
      </w:r>
      <w:r w:rsidRPr="009F3ED8">
        <w:fldChar w:fldCharType="end"/>
      </w:r>
    </w:p>
    <w:p w14:paraId="15FB9BE5" w14:textId="77777777" w:rsidR="008A6BEE" w:rsidRPr="00D1588F" w:rsidRDefault="008A6BEE" w:rsidP="00D1588F"/>
    <w:tbl>
      <w:tblPr>
        <w:tblpPr w:horzAnchor="margin" w:tblpYSpec="bottom"/>
        <w:tblOverlap w:val="never"/>
        <w:tblW w:w="0" w:type="auto"/>
        <w:tblLayout w:type="fixed"/>
        <w:tblCellMar>
          <w:left w:w="0" w:type="dxa"/>
          <w:right w:w="0" w:type="dxa"/>
        </w:tblCellMar>
        <w:tblLook w:val="0000" w:firstRow="0" w:lastRow="0" w:firstColumn="0" w:lastColumn="0" w:noHBand="0" w:noVBand="0"/>
      </w:tblPr>
      <w:tblGrid>
        <w:gridCol w:w="8505"/>
      </w:tblGrid>
      <w:tr w:rsidR="008A6BEE" w:rsidRPr="00D1588F" w14:paraId="215B1B70" w14:textId="77777777" w:rsidTr="00D1588F">
        <w:trPr>
          <w:cantSplit/>
          <w:trHeight w:val="20"/>
        </w:trPr>
        <w:tc>
          <w:tcPr>
            <w:tcW w:w="8505" w:type="dxa"/>
            <w:shd w:val="clear" w:color="auto" w:fill="auto"/>
          </w:tcPr>
          <w:p w14:paraId="709864AC" w14:textId="77777777" w:rsidR="008A6BEE" w:rsidRPr="00D1588F" w:rsidRDefault="008A6BEE" w:rsidP="00D1588F">
            <w:pPr>
              <w:pStyle w:val="SlimCell"/>
              <w:keepNext/>
            </w:pPr>
          </w:p>
        </w:tc>
      </w:tr>
      <w:tr w:rsidR="008A6BEE" w:rsidRPr="00D1588F" w14:paraId="712373D6" w14:textId="77777777" w:rsidTr="00D1588F">
        <w:trPr>
          <w:cantSplit/>
        </w:trPr>
        <w:tc>
          <w:tcPr>
            <w:tcW w:w="8505" w:type="dxa"/>
            <w:shd w:val="clear" w:color="auto" w:fill="auto"/>
          </w:tcPr>
          <w:p w14:paraId="3F386264" w14:textId="77777777" w:rsidR="008A6BEE" w:rsidRPr="00D1588F" w:rsidRDefault="008A6BEE" w:rsidP="00D1588F">
            <w:pPr>
              <w:pStyle w:val="TableTitle"/>
              <w:rPr>
                <w:b/>
              </w:rPr>
            </w:pPr>
            <w:r w:rsidRPr="00D1588F">
              <w:t>Table II.AII.1:</w:t>
            </w:r>
            <w:r w:rsidRPr="00D1588F">
              <w:rPr>
                <w:b/>
              </w:rPr>
              <w:tab/>
              <w:t>Pension schemes in EU Member States and  projection coverage</w:t>
            </w:r>
          </w:p>
        </w:tc>
      </w:tr>
      <w:tr w:rsidR="008A6BEE" w:rsidRPr="00D1588F" w14:paraId="7706A25A" w14:textId="77777777" w:rsidTr="00D1588F">
        <w:trPr>
          <w:cantSplit/>
        </w:trPr>
        <w:tc>
          <w:tcPr>
            <w:tcW w:w="8505" w:type="dxa"/>
            <w:shd w:val="clear" w:color="auto" w:fill="auto"/>
          </w:tcPr>
          <w:p w14:paraId="781FCCF4" w14:textId="77777777" w:rsidR="008A6BEE" w:rsidRPr="00D1588F" w:rsidRDefault="008A6BEE" w:rsidP="00D1588F">
            <w:pPr>
              <w:pStyle w:val="TableShape"/>
              <w:rPr>
                <w:sz w:val="2"/>
              </w:rPr>
            </w:pPr>
            <w:r w:rsidRPr="00D1588F">
              <w:rPr>
                <w:noProof/>
                <w:sz w:val="2"/>
                <w:lang w:val="hr-HR" w:eastAsia="hr-HR"/>
              </w:rPr>
              <w:drawing>
                <wp:inline distT="0" distB="0" distL="0" distR="0" wp14:anchorId="625E42D8" wp14:editId="5537524D">
                  <wp:extent cx="5400929" cy="4962758"/>
                  <wp:effectExtent l="0" t="0" r="9525" b="9525"/>
                  <wp:docPr id="89" name="Picture 89" descr="&lt;nbr&gt;&lt;GETTEXTFROMWORD&gt;&lt;/nbr&gt;&#10;&lt;title&gt;&lt;GETTEXTFROMWORD&gt;&lt;/title&gt;&#10;&lt;id&gt;c7c5dabf-3414-4c2d-98e2-573ddd5aa1ae&lt;/id&gt;&#10;&lt;srcType&gt;EXCEL&lt;/srcType&gt;&#10;&lt;srcPath&gt;U:\Budgetary projections 2018\Reports\2018 AR\Tables_and_graphs\Part II Chapter 1\&lt;/srcPath&gt;&#10;&lt;srcName&gt;overview of pension system annex 2.xlsx&lt;/srcName&gt;&#10;&lt;type&gt;table&lt;/type&gt;&#10; &lt;srcSheet&gt;Table 2.2&lt;/srcSheet&gt;&#10; &lt;srcRange&gt;R2C2:R32C11&lt;/srcRange&gt;&#10;&lt;pos&gt;bottom_maintext&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17: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5400929" cy="4962758"/>
                          </a:xfrm>
                          <a:prstGeom prst="rect">
                            <a:avLst/>
                          </a:prstGeom>
                          <a:noFill/>
                          <a:ln>
                            <a:noFill/>
                          </a:ln>
                        </pic:spPr>
                      </pic:pic>
                    </a:graphicData>
                  </a:graphic>
                </wp:inline>
              </w:drawing>
            </w:r>
          </w:p>
        </w:tc>
      </w:tr>
      <w:tr w:rsidR="008A6BEE" w:rsidRPr="00D1588F" w14:paraId="16ECC932" w14:textId="77777777" w:rsidTr="00D1588F">
        <w:trPr>
          <w:cantSplit/>
        </w:trPr>
        <w:tc>
          <w:tcPr>
            <w:tcW w:w="8505" w:type="dxa"/>
            <w:shd w:val="clear" w:color="auto" w:fill="auto"/>
          </w:tcPr>
          <w:p w14:paraId="548F3E52" w14:textId="77777777" w:rsidR="008A6BEE" w:rsidRDefault="008A6BEE" w:rsidP="00D1588F">
            <w:pPr>
              <w:pStyle w:val="TableFootnote"/>
            </w:pPr>
            <w:r>
              <w:t>(1) The public supplementary pension fund is NDC since 2015. (2) Point system refers to the ARRCO and AGIRC pension schemes. (3) Public pension expenditure include all public expenditure on pension and equivalent cash benefits granted for a long period, see Annex 2 for details on the coverage of the projections of public pension expenditure. (4) Minimum pension corresponds to Minimum pension and other social allowances for older people not included elsewhere. (5) Include all pensions of the non-earning related scheme such as old-age, disability and survivors pensions and the social supplement (equal to the difference between the guaranteed minimum amount and pension benefits calculated according to the rules) granted to the earning-related pensioners. (6) The current DB system will be replaced by a DB+PS system in 2018.</w:t>
            </w:r>
            <w:r>
              <w:br/>
              <w:t>DB: Defined benefit system.</w:t>
            </w:r>
            <w:r>
              <w:br/>
              <w:t>NDC: Notional defined contribution scheme.</w:t>
            </w:r>
            <w:r>
              <w:br/>
              <w:t>PS: Point system.</w:t>
            </w:r>
            <w:r>
              <w:br/>
              <w:t>MT - Mean-tested</w:t>
            </w:r>
            <w:r>
              <w:br/>
              <w:t>FR - Flat rate</w:t>
            </w:r>
            <w:r>
              <w:br/>
              <w:t>ER - Earnings related</w:t>
            </w:r>
            <w:r>
              <w:br/>
              <w:t>SA - Social allowance/assistance</w:t>
            </w:r>
            <w:r>
              <w:br/>
              <w:t>V - Voluntary</w:t>
            </w:r>
            <w:r>
              <w:br/>
              <w:t>M - Mandatory</w:t>
            </w:r>
            <w:r>
              <w:br/>
              <w:t>X - Does not exist</w:t>
            </w:r>
            <w:r>
              <w:br/>
              <w:t>* Not covered in the projection</w:t>
            </w:r>
          </w:p>
          <w:p w14:paraId="1656B1B9" w14:textId="77777777" w:rsidR="008A6BEE" w:rsidRPr="00D1588F" w:rsidRDefault="008A6BEE" w:rsidP="00D1588F">
            <w:pPr>
              <w:pStyle w:val="TableSource"/>
            </w:pPr>
            <w:r w:rsidRPr="00D1588F">
              <w:rPr>
                <w:b/>
                <w:i/>
              </w:rPr>
              <w:t>Source:</w:t>
            </w:r>
            <w:r w:rsidRPr="00D1588F">
              <w:t xml:space="preserve"> Commission services</w:t>
            </w:r>
          </w:p>
        </w:tc>
      </w:tr>
      <w:tr w:rsidR="008A6BEE" w:rsidRPr="00D1588F" w14:paraId="3A4929A5" w14:textId="77777777" w:rsidTr="00D1588F">
        <w:trPr>
          <w:cantSplit/>
          <w:trHeight w:val="20"/>
        </w:trPr>
        <w:tc>
          <w:tcPr>
            <w:tcW w:w="8505" w:type="dxa"/>
            <w:shd w:val="clear" w:color="auto" w:fill="auto"/>
          </w:tcPr>
          <w:p w14:paraId="14EF457B" w14:textId="77777777" w:rsidR="008A6BEE" w:rsidRPr="00D1588F" w:rsidRDefault="008A6BEE" w:rsidP="00D1588F">
            <w:pPr>
              <w:pStyle w:val="SlimCell"/>
            </w:pPr>
          </w:p>
        </w:tc>
      </w:tr>
    </w:tbl>
    <w:p w14:paraId="23CF6DFE" w14:textId="77777777" w:rsidR="008A6BEE" w:rsidRPr="00D1588F" w:rsidRDefault="008A6BEE" w:rsidP="00D1588F"/>
    <w:p w14:paraId="67BB74F3" w14:textId="77777777" w:rsidR="008A6BEE" w:rsidRPr="00D1588F" w:rsidRDefault="008A6BEE" w:rsidP="00D1588F"/>
    <w:p w14:paraId="1D8279A7" w14:textId="77777777" w:rsidR="008A6BEE" w:rsidRPr="00D1588F" w:rsidRDefault="008A6BEE" w:rsidP="00D1588F">
      <w:r w:rsidRPr="00D1588F">
        <w:fldChar w:fldCharType="begin"/>
      </w:r>
      <w:r w:rsidRPr="009F3ED8">
        <w:instrText xml:space="preserve"> TC "</w:instrText>
      </w:r>
      <w:bookmarkStart w:id="281" w:name="_Toc511664593"/>
      <w:r w:rsidRPr="009F3ED8">
        <w:instrText>II.AII.1.</w:instrText>
      </w:r>
      <w:r w:rsidRPr="009F3ED8">
        <w:tab/>
        <w:instrText>Pension schemes in EU Member States and projection coverage</w:instrText>
      </w:r>
      <w:bookmarkEnd w:id="281"/>
      <w:r w:rsidRPr="009F3ED8">
        <w:instrText xml:space="preserve">" \ftable \l 5 </w:instrText>
      </w:r>
      <w:r w:rsidRPr="00D1588F">
        <w:fldChar w:fldCharType="end"/>
      </w:r>
    </w:p>
    <w:p w14:paraId="3181BA4F" w14:textId="77777777" w:rsidR="008A6BEE" w:rsidRPr="00D1588F" w:rsidRDefault="008A6BEE" w:rsidP="00D1588F">
      <w:r w:rsidRPr="00D1588F">
        <w:lastRenderedPageBreak/>
        <w:fldChar w:fldCharType="begin"/>
      </w:r>
      <w:r w:rsidRPr="009F3ED8">
        <w:instrText xml:space="preserve"> TC "</w:instrText>
      </w:r>
      <w:bookmarkStart w:id="282" w:name="_Toc511664594"/>
      <w:r w:rsidRPr="009F3ED8">
        <w:instrText>II.AII.2.</w:instrText>
      </w:r>
      <w:r w:rsidRPr="009F3ED8">
        <w:tab/>
        <w:instrText>Coverage of special pensions in the 2018 pension projections</w:instrText>
      </w:r>
      <w:bookmarkEnd w:id="282"/>
      <w:r w:rsidRPr="009F3ED8">
        <w:instrText xml:space="preserve">" \ftable \l 5 </w:instrText>
      </w:r>
      <w:r w:rsidRPr="00D1588F">
        <w:fldChar w:fldCharType="end"/>
      </w:r>
    </w:p>
    <w:tbl>
      <w:tblPr>
        <w:tblpPr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8A6BEE" w:rsidRPr="00D1588F" w14:paraId="078C03A3" w14:textId="77777777" w:rsidTr="00D1588F">
        <w:trPr>
          <w:cantSplit/>
          <w:trHeight w:val="20"/>
        </w:trPr>
        <w:tc>
          <w:tcPr>
            <w:tcW w:w="8505" w:type="dxa"/>
            <w:shd w:val="clear" w:color="auto" w:fill="auto"/>
          </w:tcPr>
          <w:p w14:paraId="58D53CD8" w14:textId="77777777" w:rsidR="008A6BEE" w:rsidRPr="00D1588F" w:rsidRDefault="008A6BEE" w:rsidP="00D1588F">
            <w:pPr>
              <w:pStyle w:val="SlimCell"/>
              <w:keepNext/>
            </w:pPr>
          </w:p>
        </w:tc>
      </w:tr>
      <w:tr w:rsidR="008A6BEE" w:rsidRPr="00D1588F" w14:paraId="036988E4" w14:textId="77777777" w:rsidTr="00D1588F">
        <w:trPr>
          <w:cantSplit/>
        </w:trPr>
        <w:tc>
          <w:tcPr>
            <w:tcW w:w="8505" w:type="dxa"/>
            <w:shd w:val="clear" w:color="auto" w:fill="auto"/>
          </w:tcPr>
          <w:p w14:paraId="21743D8A" w14:textId="77777777" w:rsidR="008A6BEE" w:rsidRPr="00D1588F" w:rsidRDefault="008A6BEE" w:rsidP="00D1588F">
            <w:pPr>
              <w:pStyle w:val="TableTitle"/>
              <w:rPr>
                <w:b/>
              </w:rPr>
            </w:pPr>
            <w:r w:rsidRPr="00D1588F">
              <w:t>Table II.AII.2:</w:t>
            </w:r>
            <w:r w:rsidRPr="00D1588F">
              <w:rPr>
                <w:b/>
              </w:rPr>
              <w:tab/>
              <w:t>Coverage of special pensions in the 2018 pension projections</w:t>
            </w:r>
          </w:p>
        </w:tc>
      </w:tr>
      <w:tr w:rsidR="008A6BEE" w:rsidRPr="00D1588F" w14:paraId="7D1809DF" w14:textId="77777777" w:rsidTr="00D1588F">
        <w:trPr>
          <w:cantSplit/>
        </w:trPr>
        <w:tc>
          <w:tcPr>
            <w:tcW w:w="8505" w:type="dxa"/>
            <w:shd w:val="clear" w:color="auto" w:fill="auto"/>
          </w:tcPr>
          <w:p w14:paraId="02B53753" w14:textId="77777777" w:rsidR="008A6BEE" w:rsidRPr="00D1588F" w:rsidRDefault="008A6BEE" w:rsidP="00D1588F">
            <w:pPr>
              <w:pStyle w:val="TableShape"/>
              <w:rPr>
                <w:sz w:val="2"/>
              </w:rPr>
            </w:pPr>
            <w:r>
              <w:rPr>
                <w:noProof/>
                <w:sz w:val="2"/>
                <w:lang w:val="hr-HR" w:eastAsia="hr-HR"/>
              </w:rPr>
              <w:drawing>
                <wp:inline distT="0" distB="0" distL="0" distR="0" wp14:anchorId="465D3B26" wp14:editId="01B2FF38">
                  <wp:extent cx="3067411" cy="4525009"/>
                  <wp:effectExtent l="0" t="0" r="0" b="9525"/>
                  <wp:docPr id="90" name="Picture 90" descr="&lt;nbr&gt;&lt;GETTEXTFROMWORD&gt;&lt;/nbr&gt;&#10;&lt;title&gt;&lt;GETTEXTFROMWORD&gt;&lt;/title&gt;&#10;&lt;id&gt;a26daa7f-63ca-4472-981a-99683484aeb6&lt;/id&gt;&#10;&lt;srcType&gt;EXCEL&lt;/srcType&gt;&#10;&lt;srcPath&gt;U:\Budgetary projections 2018\Reports\2018 AR\Tables_and_graphs\Part II Chapter 1\&lt;/srcPath&gt;&#10;&lt;srcName&gt;SP Coverage in the 2018 AR Projections.xlsx&lt;/srcName&gt;&#10;&lt;type&gt;table&lt;/type&gt;&#10; &lt;srcSheet&gt;final version AR 2018&lt;/srcSheet&gt;&#10; &lt;srcRange&gt;R3C2:R33C4&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6T10:53:10&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3067411" cy="4525009"/>
                          </a:xfrm>
                          <a:prstGeom prst="rect">
                            <a:avLst/>
                          </a:prstGeom>
                          <a:noFill/>
                          <a:ln>
                            <a:noFill/>
                          </a:ln>
                        </pic:spPr>
                      </pic:pic>
                    </a:graphicData>
                  </a:graphic>
                </wp:inline>
              </w:drawing>
            </w:r>
          </w:p>
        </w:tc>
      </w:tr>
      <w:tr w:rsidR="008A6BEE" w:rsidRPr="00D1588F" w14:paraId="5C264CE0" w14:textId="77777777" w:rsidTr="00D1588F">
        <w:trPr>
          <w:cantSplit/>
        </w:trPr>
        <w:tc>
          <w:tcPr>
            <w:tcW w:w="8505" w:type="dxa"/>
            <w:shd w:val="clear" w:color="auto" w:fill="auto"/>
          </w:tcPr>
          <w:p w14:paraId="1E3F9BFD" w14:textId="77777777" w:rsidR="008A6BEE" w:rsidRDefault="008A6BEE" w:rsidP="00D1588F">
            <w:pPr>
              <w:pStyle w:val="TableFootnote"/>
            </w:pPr>
            <w:r>
              <w:t>i) countries which flagged insufficient information on special pensions in the AWG survey; ii) countries which did not participate in the AWG survey;</w:t>
            </w:r>
            <w:r>
              <w:br/>
              <w:t xml:space="preserve">(1) Fields in yellow stand for cases in which the member did not answer the AWG consultation; fields in salmon colour stand for exchanges established, but where some information is still pending final confirmation; </w:t>
            </w:r>
            <w:r>
              <w:br/>
              <w:t xml:space="preserve">(2) </w:t>
            </w:r>
            <w:r>
              <w:br/>
              <w:t>DE:  Special pensions for farmers and miners are not covered by the projections, but the corresponding expenditure represented 0.4% of GDP in 2016 and will decline substantially over the projection horizon;</w:t>
            </w:r>
            <w:r>
              <w:br/>
              <w:t>DK: Special pensions for fishing controllers (phasing out), military (phasing out), police and prison guards, priests and bishops are not covered by the projections. However, they would not materially influence the projections, representing less than 0.2% of GDP in 2016;</w:t>
            </w:r>
            <w:r>
              <w:br/>
              <w:t>EL: a) Estimation based on available statistical data. b) Arduous professions' subgroup is included. The contribution rate for both employee and employer is higher for insured in arduous professions. c) Several reforms have been adopted in the recent years affecting special pensions;</w:t>
            </w:r>
            <w:r>
              <w:br/>
              <w:t>FI: Special pensions for award winning artists and athletes (as supplementary pension), journalists (as supplementary pension), the President of the Republic, spouses of diplomats, and MPs adjustment pension (phasing out) are not covered by the projections. However, they are mostly represented in the expenditure value of 0.6% of GDP in 2016 and would not materially influence the projections, representing some 0.02% of GDP in 2016;</w:t>
            </w:r>
            <w:r>
              <w:br/>
              <w:t>NO:  However, as the corresponding proportion in GDP was 0.2% 2016, the inclusion of special pension expenditure would not materially influence the projections. Special pensions are associated in Norway with labour conditions and professions with particular age requirements’ (‘særalderspensjoner’), e.g. hospital nurses;</w:t>
            </w:r>
            <w:r>
              <w:br/>
              <w:t xml:space="preserve">PT:  Special pensions for policemen, judges and diplomats are included in the projections but excluded from the 1.6% special expenditure to GDP in 2016. </w:t>
            </w:r>
            <w:r>
              <w:br/>
              <w:t>RO: Special pensions for magistrates, court of auditors, judicial employees, MPs, parliamentary public servants, diplomatic and consular officials, and clergy are not covered by the projections. However, they are mostly represented in the expenditure value of 1.2% of GDP for 2016 and would not materially influence the projections, representing altogether less than 0.2% of GDP in 2016;</w:t>
            </w:r>
            <w:r>
              <w:br/>
              <w:t>UK: Public service pensions (PSP) spending is included in a separate projection in the UK country fiche (see Table 11).</w:t>
            </w:r>
          </w:p>
          <w:p w14:paraId="094FF994" w14:textId="77777777" w:rsidR="008A6BEE" w:rsidRPr="00D1588F" w:rsidRDefault="008A6BEE" w:rsidP="00D1588F">
            <w:pPr>
              <w:pStyle w:val="TableSource"/>
            </w:pPr>
            <w:r w:rsidRPr="00D1588F">
              <w:rPr>
                <w:b/>
                <w:i/>
              </w:rPr>
              <w:t>Sources:</w:t>
            </w:r>
            <w:r w:rsidRPr="00D1588F">
              <w:t xml:space="preserve">  Commission services, AWG survey 2017, AR 2018 country fiches, AWG delegates 2018, EPC.</w:t>
            </w:r>
          </w:p>
        </w:tc>
      </w:tr>
      <w:tr w:rsidR="008A6BEE" w:rsidRPr="00D1588F" w14:paraId="337A5539" w14:textId="77777777" w:rsidTr="00D1588F">
        <w:trPr>
          <w:cantSplit/>
          <w:trHeight w:val="20"/>
        </w:trPr>
        <w:tc>
          <w:tcPr>
            <w:tcW w:w="8505" w:type="dxa"/>
            <w:shd w:val="clear" w:color="auto" w:fill="auto"/>
          </w:tcPr>
          <w:p w14:paraId="44600A5C" w14:textId="77777777" w:rsidR="008A6BEE" w:rsidRPr="00D1588F" w:rsidRDefault="008A6BEE" w:rsidP="00D1588F">
            <w:pPr>
              <w:pStyle w:val="SlimCell"/>
            </w:pPr>
          </w:p>
        </w:tc>
      </w:tr>
    </w:tbl>
    <w:p w14:paraId="77243176" w14:textId="77777777" w:rsidR="008A6BEE" w:rsidRPr="00D1588F" w:rsidRDefault="008A6BEE" w:rsidP="00D1588F">
      <w:r w:rsidRPr="00D1588F">
        <w:lastRenderedPageBreak/>
        <w:fldChar w:fldCharType="begin"/>
      </w:r>
      <w:r w:rsidRPr="009F3ED8">
        <w:instrText xml:space="preserve"> TC "</w:instrText>
      </w:r>
      <w:bookmarkStart w:id="283" w:name="_Toc511664595"/>
      <w:r w:rsidRPr="009F3ED8">
        <w:instrText>II.AII.3.</w:instrText>
      </w:r>
      <w:r w:rsidRPr="009F3ED8">
        <w:tab/>
        <w:instrText>Key indexation and valorisation parameters of pension system in Europe (old-age pensions)</w:instrText>
      </w:r>
      <w:bookmarkEnd w:id="283"/>
      <w:r w:rsidRPr="009F3ED8">
        <w:instrText xml:space="preserve">" \ftable \l 5 </w:instrText>
      </w:r>
      <w:r w:rsidRPr="00D1588F">
        <w:fldChar w:fldCharType="end"/>
      </w:r>
    </w:p>
    <w:p w14:paraId="428A8031" w14:textId="77777777" w:rsidR="008A6BEE" w:rsidRPr="00D1588F" w:rsidRDefault="008A6BEE" w:rsidP="00D1588F"/>
    <w:p w14:paraId="5664A93F" w14:textId="77777777" w:rsidR="008A6BEE" w:rsidRPr="00D1588F" w:rsidRDefault="008A6BEE" w:rsidP="00D1588F"/>
    <w:p w14:paraId="6EBDC0BB" w14:textId="77777777" w:rsidR="008A6BEE" w:rsidRPr="00D1588F" w:rsidRDefault="008A6BEE" w:rsidP="00D1588F"/>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8A6BEE" w:rsidRPr="00D1588F" w14:paraId="59B5BD2B" w14:textId="77777777" w:rsidTr="00D1588F">
        <w:trPr>
          <w:cantSplit/>
          <w:trHeight w:val="20"/>
        </w:trPr>
        <w:tc>
          <w:tcPr>
            <w:tcW w:w="8505" w:type="dxa"/>
            <w:shd w:val="clear" w:color="auto" w:fill="auto"/>
          </w:tcPr>
          <w:p w14:paraId="0097C6E4" w14:textId="77777777" w:rsidR="008A6BEE" w:rsidRPr="00D1588F" w:rsidRDefault="008A6BEE" w:rsidP="00D1588F">
            <w:pPr>
              <w:pStyle w:val="SlimCell"/>
              <w:keepNext/>
            </w:pPr>
          </w:p>
        </w:tc>
      </w:tr>
      <w:tr w:rsidR="008A6BEE" w:rsidRPr="00D1588F" w14:paraId="6E0A09AA" w14:textId="77777777" w:rsidTr="00D1588F">
        <w:trPr>
          <w:cantSplit/>
        </w:trPr>
        <w:tc>
          <w:tcPr>
            <w:tcW w:w="8505" w:type="dxa"/>
            <w:shd w:val="clear" w:color="auto" w:fill="auto"/>
          </w:tcPr>
          <w:p w14:paraId="2C26F822" w14:textId="77777777" w:rsidR="008A6BEE" w:rsidRPr="00D1588F" w:rsidRDefault="008A6BEE" w:rsidP="00D1588F">
            <w:pPr>
              <w:pStyle w:val="TableTitle"/>
              <w:rPr>
                <w:b/>
              </w:rPr>
            </w:pPr>
            <w:r w:rsidRPr="00D1588F">
              <w:t>Table II.AII.3:</w:t>
            </w:r>
            <w:r w:rsidRPr="00D1588F">
              <w:rPr>
                <w:b/>
              </w:rPr>
              <w:tab/>
              <w:t>Key indexation and valorisation parameters of pension system in Europe (old-age pensions)</w:t>
            </w:r>
          </w:p>
        </w:tc>
      </w:tr>
      <w:tr w:rsidR="008A6BEE" w:rsidRPr="00D1588F" w14:paraId="30DED530" w14:textId="77777777" w:rsidTr="00D1588F">
        <w:trPr>
          <w:cantSplit/>
        </w:trPr>
        <w:tc>
          <w:tcPr>
            <w:tcW w:w="8505" w:type="dxa"/>
            <w:shd w:val="clear" w:color="auto" w:fill="auto"/>
          </w:tcPr>
          <w:p w14:paraId="1221AC62" w14:textId="77777777" w:rsidR="008A6BEE" w:rsidRPr="00D1588F" w:rsidRDefault="008A6BEE" w:rsidP="00D1588F">
            <w:pPr>
              <w:pStyle w:val="TableShape"/>
              <w:rPr>
                <w:sz w:val="2"/>
              </w:rPr>
            </w:pPr>
            <w:r w:rsidRPr="00D1588F">
              <w:rPr>
                <w:noProof/>
                <w:sz w:val="2"/>
                <w:lang w:val="hr-HR" w:eastAsia="hr-HR"/>
              </w:rPr>
              <w:drawing>
                <wp:inline distT="0" distB="0" distL="0" distR="0" wp14:anchorId="4AF5B5B9" wp14:editId="4F4964C2">
                  <wp:extent cx="5400929" cy="3530642"/>
                  <wp:effectExtent l="0" t="0" r="9525" b="0"/>
                  <wp:docPr id="6" name="Picture 6" descr="&lt;nbr&gt;&lt;GETTEXTFROMWORD&gt;&lt;/nbr&gt;&#10;&lt;title&gt;&lt;GETTEXTFROMWORD&gt;&lt;/title&gt;&#10;&lt;id&gt;8a1cc453-a196-438b-a2a8-a37608560e7a&lt;/id&gt;&#10;&lt;srcType&gt;EXCEL&lt;/srcType&gt;&#10;&lt;srcPath&gt;U:\Budgetary projections 2018\Reports\2018 AR\Tables_and_graphs\Part II Chapter 1\&lt;/srcPath&gt;&#10;&lt;srcName&gt;overview of pension system annex 2.xlsx&lt;/srcName&gt;&#10;&lt;type&gt;table&lt;/type&gt;&#10; &lt;srcSheet&gt;Table 2.3&lt;/srcSheet&gt;&#10; &lt;srcRange&gt;R2C2:R31C5&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17: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5400929" cy="3530642"/>
                          </a:xfrm>
                          <a:prstGeom prst="rect">
                            <a:avLst/>
                          </a:prstGeom>
                          <a:noFill/>
                          <a:ln>
                            <a:noFill/>
                          </a:ln>
                        </pic:spPr>
                      </pic:pic>
                    </a:graphicData>
                  </a:graphic>
                </wp:inline>
              </w:drawing>
            </w:r>
          </w:p>
        </w:tc>
      </w:tr>
      <w:tr w:rsidR="008A6BEE" w:rsidRPr="00D1588F" w14:paraId="02F1DC4E" w14:textId="77777777" w:rsidTr="00D1588F">
        <w:trPr>
          <w:cantSplit/>
        </w:trPr>
        <w:tc>
          <w:tcPr>
            <w:tcW w:w="8505" w:type="dxa"/>
            <w:shd w:val="clear" w:color="auto" w:fill="auto"/>
          </w:tcPr>
          <w:p w14:paraId="6FA56502" w14:textId="77777777" w:rsidR="008A6BEE" w:rsidRDefault="008A6BEE" w:rsidP="00D1588F">
            <w:pPr>
              <w:pStyle w:val="TableFootnote"/>
            </w:pPr>
            <w:r>
              <w:t>(1) BG Pensionable earnings reference is full career starting from 1997. 3 Best years before 1997</w:t>
            </w:r>
            <w:r>
              <w:br/>
              <w:t>CZ Pensionable earnings reference is full career back to 1986. Currently 30 years to be considered.</w:t>
            </w:r>
            <w:r>
              <w:br/>
              <w:t>IE A price and wage indexation rule has been assumed in the projections.</w:t>
            </w:r>
            <w:r>
              <w:br/>
              <w:t xml:space="preserve">EL Pensionable earnings reference is full career taking into account wages/income from 2002 onwards. </w:t>
            </w:r>
            <w:r>
              <w:br/>
              <w:t>ES Pensionable earnings reference is last 25 years as of 2022. The maximum value of the valorisation rule is close to prices. The IPR is established annually at a level consistent with a balanced budget of the Social Security system over the medium run. Depending on the balance of the system the indexation will be less than price (budget deficit) or price + 0.5% (budget balance).</w:t>
            </w:r>
            <w:r>
              <w:br/>
              <w:t>FR The pensionable earnings reference is full career in AGIRC and ARRCO. Valorisation rule and indexation rules are price – 1 pp. in both AGIRC and ARRCO in 2014-15, and also in 2016-18 but with a floor at 0. AGIRC: Association générale des institutions de retraite des cadres; ARRCO: Association pour le régime de retraite complémentaire des salariés; CNAVTS: Caisse nationale de l'assurance vieillesse des travailleurs salariés.</w:t>
            </w:r>
            <w:r>
              <w:br/>
              <w:t xml:space="preserve">LT Pensionable earnings reference is full career back to 1994. Pensions are indexed to the seven-year average of the wage sum growth over the current, previous three and (projected) upcoming three years. The index is applied in case of balanced budget of Pension Social Security System in 2 consecutive years and conditioning positive growth of GDP or Wage Sum. </w:t>
            </w:r>
            <w:r>
              <w:br/>
              <w:t>LU Indexation rule is wages if sufficient financial resources available, otherwise only cost of living indexation.</w:t>
            </w:r>
            <w:r>
              <w:br/>
              <w:t>HU Pensionable earnings reference is full career back to 1988.</w:t>
            </w:r>
            <w:r>
              <w:br/>
              <w:t>MT Pensionable earnings reference rule applies to people born as of 1969. Different rules apply for earlier cohorts.</w:t>
            </w:r>
            <w:r>
              <w:br/>
              <w:t xml:space="preserve">PT Pensionable earnings reference is full career as of 2002. 10 best years out of last 15 before 2002. Price and wage valorisation rule applies to earnings registered between 2002 and 2011. The current valorisation rule is an index weighting  75% of the CPI (excluding housing) and 25% of the average evolution of the gains underlying the contributions declared to the social security, when this evolution is higher than the CPI (without housing), up to a ceiling of CPI+0.5p.p. </w:t>
            </w:r>
            <w:r>
              <w:br/>
              <w:t>RO Price valorisation and indexation after 2030.</w:t>
            </w:r>
            <w:r>
              <w:br/>
              <w:t>SK Pensionable earnings reference is full career back to 1984. From 2018 onwards, pension are indexed on CPI for pensioners.(consumption basket for pensioners).</w:t>
            </w:r>
            <w:r>
              <w:br/>
              <w:t>NO Indexation rule is wage growth minus 0.75 pps.</w:t>
            </w:r>
            <w:r>
              <w:br/>
              <w:t>UK Triple-lock indexation (highest of average earnings, CPI or 2.5%) is a commitment of the current government, but is not enshrined in law.</w:t>
            </w:r>
          </w:p>
          <w:p w14:paraId="3720DE03" w14:textId="77777777" w:rsidR="008A6BEE" w:rsidRPr="00D1588F" w:rsidRDefault="008A6BEE" w:rsidP="00D1588F">
            <w:pPr>
              <w:pStyle w:val="TableSource"/>
            </w:pPr>
            <w:r w:rsidRPr="00D1588F">
              <w:rPr>
                <w:b/>
                <w:i/>
              </w:rPr>
              <w:t>Source:</w:t>
            </w:r>
            <w:r w:rsidRPr="00D1588F">
              <w:t xml:space="preserve"> Commission services, EPC.</w:t>
            </w:r>
          </w:p>
        </w:tc>
      </w:tr>
      <w:tr w:rsidR="008A6BEE" w:rsidRPr="00D1588F" w14:paraId="14A714C4" w14:textId="77777777" w:rsidTr="00D1588F">
        <w:trPr>
          <w:cantSplit/>
          <w:trHeight w:val="20"/>
        </w:trPr>
        <w:tc>
          <w:tcPr>
            <w:tcW w:w="8505" w:type="dxa"/>
            <w:shd w:val="clear" w:color="auto" w:fill="auto"/>
          </w:tcPr>
          <w:p w14:paraId="139D4D31" w14:textId="77777777" w:rsidR="008A6BEE" w:rsidRPr="00D1588F" w:rsidRDefault="008A6BEE" w:rsidP="00D1588F">
            <w:pPr>
              <w:pStyle w:val="SlimCell"/>
            </w:pPr>
          </w:p>
        </w:tc>
      </w:tr>
    </w:tbl>
    <w:p w14:paraId="68D46404" w14:textId="77777777" w:rsidR="008A6BEE" w:rsidRPr="00D1588F" w:rsidRDefault="008A6BEE" w:rsidP="00D1588F">
      <w:r w:rsidRPr="00D1588F">
        <w:br w:type="page"/>
      </w:r>
      <w:r w:rsidRPr="00D1588F">
        <w:fldChar w:fldCharType="begin"/>
      </w:r>
      <w:r w:rsidRPr="009F3ED8">
        <w:instrText xml:space="preserve"> TC "</w:instrText>
      </w:r>
      <w:bookmarkStart w:id="284" w:name="_Toc511664596"/>
      <w:r w:rsidRPr="009F3ED8">
        <w:instrText>II.AII.4.</w:instrText>
      </w:r>
      <w:r w:rsidRPr="009F3ED8">
        <w:tab/>
        <w:instrText>Average retirement age (old-age pensions) and average exit age from the labour market</w:instrText>
      </w:r>
      <w:bookmarkEnd w:id="284"/>
      <w:r w:rsidRPr="009F3ED8">
        <w:instrText xml:space="preserve">" \ftable \l 5 </w:instrText>
      </w:r>
      <w:r w:rsidRPr="00D1588F">
        <w:fldChar w:fldCharType="end"/>
      </w:r>
    </w:p>
    <w:p w14:paraId="370DCBDD" w14:textId="77777777" w:rsidR="008A6BEE" w:rsidRPr="00D1588F" w:rsidRDefault="008A6BEE" w:rsidP="00D1588F"/>
    <w:p w14:paraId="2752B208" w14:textId="77777777" w:rsidR="008A6BEE" w:rsidRPr="00D1588F" w:rsidRDefault="008A6BEE" w:rsidP="00D1588F"/>
    <w:p w14:paraId="2A84A118" w14:textId="77777777" w:rsidR="008A6BEE" w:rsidRPr="00D1588F" w:rsidRDefault="008A6BEE" w:rsidP="00D1588F"/>
    <w:p w14:paraId="3D24D46F" w14:textId="77777777" w:rsidR="008A6BEE" w:rsidRPr="00D1588F" w:rsidRDefault="008A6BEE" w:rsidP="00D1588F"/>
    <w:p w14:paraId="48F68170" w14:textId="77777777" w:rsidR="008A6BEE" w:rsidRPr="00D1588F" w:rsidRDefault="008A6BEE" w:rsidP="00D1588F"/>
    <w:p w14:paraId="33D07ABB" w14:textId="77777777" w:rsidR="008A6BEE" w:rsidRPr="00D1588F" w:rsidRDefault="008A6BEE" w:rsidP="00D1588F"/>
    <w:p w14:paraId="600137FD" w14:textId="77777777" w:rsidR="008A6BEE" w:rsidRPr="00D1588F" w:rsidRDefault="008A6BEE" w:rsidP="00D1588F"/>
    <w:p w14:paraId="29CDDFDF" w14:textId="77777777" w:rsidR="008A6BEE" w:rsidRPr="00D1588F" w:rsidRDefault="008A6BEE" w:rsidP="00D1588F"/>
    <w:p w14:paraId="5A122442" w14:textId="77777777" w:rsidR="008A6BEE" w:rsidRPr="00D1588F" w:rsidRDefault="008A6BEE" w:rsidP="00D1588F"/>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8A6BEE" w:rsidRPr="00D1588F" w14:paraId="4E3A6EF9" w14:textId="77777777" w:rsidTr="00D1588F">
        <w:trPr>
          <w:cantSplit/>
          <w:trHeight w:val="20"/>
        </w:trPr>
        <w:tc>
          <w:tcPr>
            <w:tcW w:w="8505" w:type="dxa"/>
            <w:shd w:val="clear" w:color="auto" w:fill="auto"/>
          </w:tcPr>
          <w:p w14:paraId="0505E54D" w14:textId="77777777" w:rsidR="008A6BEE" w:rsidRPr="00D1588F" w:rsidRDefault="008A6BEE" w:rsidP="00D1588F">
            <w:pPr>
              <w:pStyle w:val="SlimCell"/>
              <w:keepNext/>
            </w:pPr>
          </w:p>
        </w:tc>
      </w:tr>
      <w:tr w:rsidR="008A6BEE" w:rsidRPr="00D1588F" w14:paraId="0FFA1168" w14:textId="77777777" w:rsidTr="00D1588F">
        <w:trPr>
          <w:cantSplit/>
        </w:trPr>
        <w:tc>
          <w:tcPr>
            <w:tcW w:w="8505" w:type="dxa"/>
            <w:shd w:val="clear" w:color="auto" w:fill="auto"/>
          </w:tcPr>
          <w:p w14:paraId="32C0228C" w14:textId="77777777" w:rsidR="008A6BEE" w:rsidRPr="00D1588F" w:rsidRDefault="008A6BEE" w:rsidP="00D1588F">
            <w:pPr>
              <w:pStyle w:val="TableTitle"/>
              <w:rPr>
                <w:b/>
              </w:rPr>
            </w:pPr>
            <w:r w:rsidRPr="00D1588F">
              <w:t>Table II.AII.4:</w:t>
            </w:r>
            <w:r w:rsidRPr="00D1588F">
              <w:rPr>
                <w:b/>
              </w:rPr>
              <w:tab/>
              <w:t>Average retirement age (old-age pensions) and average exit age from the labour market</w:t>
            </w:r>
          </w:p>
        </w:tc>
      </w:tr>
      <w:tr w:rsidR="008A6BEE" w:rsidRPr="00D1588F" w14:paraId="7EBEA32A" w14:textId="77777777" w:rsidTr="00D1588F">
        <w:trPr>
          <w:cantSplit/>
        </w:trPr>
        <w:tc>
          <w:tcPr>
            <w:tcW w:w="8505" w:type="dxa"/>
            <w:shd w:val="clear" w:color="auto" w:fill="auto"/>
          </w:tcPr>
          <w:p w14:paraId="077A6D45" w14:textId="77777777" w:rsidR="008A6BEE" w:rsidRPr="00D1588F" w:rsidRDefault="008A6BEE" w:rsidP="00D1588F">
            <w:pPr>
              <w:pStyle w:val="TableShape"/>
              <w:rPr>
                <w:sz w:val="2"/>
              </w:rPr>
            </w:pPr>
            <w:r w:rsidRPr="00D1588F">
              <w:rPr>
                <w:noProof/>
                <w:sz w:val="2"/>
                <w:lang w:val="hr-HR" w:eastAsia="hr-HR"/>
              </w:rPr>
              <w:drawing>
                <wp:inline distT="0" distB="0" distL="0" distR="0" wp14:anchorId="4DAB3C32" wp14:editId="3D311C36">
                  <wp:extent cx="5400929" cy="4867504"/>
                  <wp:effectExtent l="0" t="0" r="9525" b="9525"/>
                  <wp:docPr id="1" name="Picture 1" descr="&lt;nbr&gt;&lt;GETTEXTFROMWORD&gt;&lt;/nbr&gt;&#10;&lt;title&gt;&lt;GETTEXTFROMWORD&gt;&lt;/title&gt;&#10;&lt;id&gt;4d1eedf1-36aa-4b49-aabc-be5edc1242b5&lt;/id&gt;&#10;&lt;srcType&gt;EXCEL&lt;/srcType&gt;&#10;&lt;srcPath&gt;U:\Budgetary projections 2018\Pensions\Administrative data\&lt;/srcPath&gt;&#10;&lt;srcName&gt;calculations_box_AR.xlsx&lt;/srcName&gt;&#10;&lt;type&gt;table&lt;/type&gt;&#10; &lt;srcSheet&gt;tabel Annex II&lt;/srcSheet&gt;&#10; &lt;srcRange&gt;R2C2:R35C9&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3-21T10:19:58&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5400929" cy="4867504"/>
                          </a:xfrm>
                          <a:prstGeom prst="rect">
                            <a:avLst/>
                          </a:prstGeom>
                          <a:noFill/>
                          <a:ln>
                            <a:noFill/>
                          </a:ln>
                        </pic:spPr>
                      </pic:pic>
                    </a:graphicData>
                  </a:graphic>
                </wp:inline>
              </w:drawing>
            </w:r>
          </w:p>
        </w:tc>
      </w:tr>
      <w:tr w:rsidR="008A6BEE" w:rsidRPr="00D1588F" w14:paraId="7EC1543E" w14:textId="77777777" w:rsidTr="00D1588F">
        <w:trPr>
          <w:cantSplit/>
        </w:trPr>
        <w:tc>
          <w:tcPr>
            <w:tcW w:w="8505" w:type="dxa"/>
            <w:shd w:val="clear" w:color="auto" w:fill="auto"/>
          </w:tcPr>
          <w:p w14:paraId="72867DD0" w14:textId="77777777" w:rsidR="008A6BEE" w:rsidRDefault="008A6BEE" w:rsidP="00D1588F">
            <w:pPr>
              <w:pStyle w:val="TableFootnote"/>
            </w:pPr>
            <w:r>
              <w:t>(1) DK, EE &amp; HU: shows overall average, no split male/female available.</w:t>
            </w:r>
            <w:r>
              <w:br/>
              <w:t>(2) IE, CY &amp; MT: no (disaggregated) data was provided.</w:t>
            </w:r>
            <w:r>
              <w:br/>
              <w:t>(3) UK: average retirement age based on data for State pensions only.</w:t>
            </w:r>
            <w:r>
              <w:br/>
              <w:t>(4) FR:  administrative data refers only to the base general scheme (CNAVTS).</w:t>
            </w:r>
            <w:r>
              <w:br/>
              <w:t>(5) Effective retirement ages refer to 2017, the first projection year. Both series refer to the age group 51-74.</w:t>
            </w:r>
          </w:p>
          <w:p w14:paraId="2C9582A2" w14:textId="77777777" w:rsidR="008A6BEE" w:rsidRPr="00D1588F" w:rsidRDefault="008A6BEE" w:rsidP="00D1588F">
            <w:pPr>
              <w:pStyle w:val="TableSource"/>
            </w:pPr>
            <w:r w:rsidRPr="00D1588F">
              <w:rPr>
                <w:b/>
                <w:i/>
              </w:rPr>
              <w:t>Source:</w:t>
            </w:r>
            <w:r w:rsidRPr="00D1588F">
              <w:t xml:space="preserve"> Commission services, EPC.</w:t>
            </w:r>
          </w:p>
        </w:tc>
      </w:tr>
      <w:tr w:rsidR="008A6BEE" w:rsidRPr="00D1588F" w14:paraId="2F00DC40" w14:textId="77777777" w:rsidTr="00D1588F">
        <w:trPr>
          <w:cantSplit/>
          <w:trHeight w:val="20"/>
        </w:trPr>
        <w:tc>
          <w:tcPr>
            <w:tcW w:w="8505" w:type="dxa"/>
            <w:shd w:val="clear" w:color="auto" w:fill="auto"/>
          </w:tcPr>
          <w:p w14:paraId="59C9D518" w14:textId="77777777" w:rsidR="008A6BEE" w:rsidRPr="00D1588F" w:rsidRDefault="008A6BEE" w:rsidP="00D1588F">
            <w:pPr>
              <w:pStyle w:val="SlimCell"/>
            </w:pPr>
          </w:p>
        </w:tc>
      </w:tr>
    </w:tbl>
    <w:p w14:paraId="4F0E579E" w14:textId="77777777" w:rsidR="008A6BEE" w:rsidRPr="00D1588F" w:rsidRDefault="008A6BEE" w:rsidP="00D1588F"/>
    <w:p w14:paraId="74443677" w14:textId="77777777" w:rsidR="008A6BEE" w:rsidRPr="00D1588F" w:rsidRDefault="008A6BEE" w:rsidP="00D1588F"/>
    <w:p w14:paraId="77EA6CE9" w14:textId="77777777" w:rsidR="008A6BEE" w:rsidRPr="00D1588F" w:rsidRDefault="008A6BEE" w:rsidP="00D1588F"/>
    <w:p w14:paraId="7761263F" w14:textId="77777777" w:rsidR="008A6BEE" w:rsidRPr="00D1588F" w:rsidRDefault="008A6BEE" w:rsidP="00D1588F"/>
    <w:p w14:paraId="6505259D" w14:textId="77777777" w:rsidR="008A6BEE" w:rsidRPr="00D1588F" w:rsidRDefault="008A6BEE" w:rsidP="00D1588F">
      <w:r w:rsidRPr="00D1588F">
        <w:fldChar w:fldCharType="begin"/>
      </w:r>
      <w:r w:rsidRPr="009F3ED8">
        <w:instrText xml:space="preserve"> TC "</w:instrText>
      </w:r>
      <w:bookmarkStart w:id="285" w:name="_Toc511664708"/>
      <w:r w:rsidRPr="009F3ED8">
        <w:instrText>II.AII.1.</w:instrText>
      </w:r>
      <w:r w:rsidRPr="009F3ED8">
        <w:tab/>
        <w:instrText>Contributions to the public pension system breakdown in 2016 and 2070 (% of projected pension expenditure)</w:instrText>
      </w:r>
      <w:bookmarkEnd w:id="285"/>
      <w:r w:rsidRPr="009F3ED8">
        <w:instrText xml:space="preserve">" \fgraph \l 5 </w:instrText>
      </w:r>
      <w:r w:rsidRPr="00D1588F">
        <w:fldChar w:fldCharType="end"/>
      </w:r>
    </w:p>
    <w:p w14:paraId="1180D314" w14:textId="77777777" w:rsidR="008A6BEE" w:rsidRPr="00D1588F" w:rsidRDefault="008A6BEE" w:rsidP="00D1588F"/>
    <w:p w14:paraId="162E4DFB" w14:textId="77777777" w:rsidR="008A6BEE" w:rsidRPr="00D1588F" w:rsidRDefault="008A6BEE" w:rsidP="00D1588F"/>
    <w:p w14:paraId="09725401" w14:textId="77777777" w:rsidR="008A6BEE" w:rsidRPr="00D1588F" w:rsidRDefault="008A6BEE" w:rsidP="00D1588F"/>
    <w:p w14:paraId="020D5839" w14:textId="77777777" w:rsidR="008A6BEE" w:rsidRPr="00D1588F" w:rsidRDefault="008A6BEE" w:rsidP="00D1588F"/>
    <w:p w14:paraId="54FE3C7A" w14:textId="77777777" w:rsidR="008A6BEE" w:rsidRPr="00D1588F" w:rsidRDefault="008A6BEE" w:rsidP="00D1588F"/>
    <w:p w14:paraId="3862EFE3" w14:textId="77777777" w:rsidR="008A6BEE" w:rsidRPr="00D1588F" w:rsidRDefault="008A6BEE" w:rsidP="00D1588F"/>
    <w:p w14:paraId="4699A098" w14:textId="77777777" w:rsidR="008A6BEE" w:rsidRPr="00D1588F" w:rsidRDefault="008A6BEE" w:rsidP="00D1588F"/>
    <w:p w14:paraId="0EB2CBDA" w14:textId="77777777" w:rsidR="008A6BEE" w:rsidRPr="00D1588F" w:rsidRDefault="008A6BEE" w:rsidP="00D1588F"/>
    <w:p w14:paraId="7C431B7F" w14:textId="77777777" w:rsidR="008A6BEE" w:rsidRPr="00D1588F" w:rsidRDefault="008A6BEE" w:rsidP="00D1588F"/>
    <w:p w14:paraId="3582C4E8" w14:textId="77777777" w:rsidR="008A6BEE" w:rsidRPr="00D1588F" w:rsidRDefault="008A6BEE" w:rsidP="00D1588F"/>
    <w:p w14:paraId="74C8D62A" w14:textId="77777777" w:rsidR="008A6BEE" w:rsidRPr="00D1588F" w:rsidRDefault="008A6BEE" w:rsidP="00D1588F"/>
    <w:p w14:paraId="57CCF9F3" w14:textId="77777777" w:rsidR="008A6BEE" w:rsidRPr="00D1588F" w:rsidRDefault="008A6BEE" w:rsidP="00D1588F"/>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8A6BEE" w:rsidRPr="00D1588F" w14:paraId="57E77927" w14:textId="77777777" w:rsidTr="00D1588F">
        <w:trPr>
          <w:cantSplit/>
        </w:trPr>
        <w:tc>
          <w:tcPr>
            <w:tcW w:w="8505" w:type="dxa"/>
            <w:shd w:val="clear" w:color="auto" w:fill="auto"/>
          </w:tcPr>
          <w:p w14:paraId="6D9DC04F" w14:textId="77777777" w:rsidR="008A6BEE" w:rsidRPr="00D1588F" w:rsidRDefault="008A6BEE" w:rsidP="00D1588F">
            <w:pPr>
              <w:pStyle w:val="GraphTitle"/>
              <w:rPr>
                <w:b/>
              </w:rPr>
            </w:pPr>
            <w:r w:rsidRPr="00D1588F">
              <w:t>Graph II.AII.1:</w:t>
            </w:r>
            <w:r w:rsidRPr="00D1588F">
              <w:rPr>
                <w:b/>
              </w:rPr>
              <w:tab/>
              <w:t>Contributions to the public pension system breakdown in 2016 and 2070 (% of  projected pension expenditure)</w:t>
            </w:r>
          </w:p>
        </w:tc>
      </w:tr>
      <w:tr w:rsidR="008A6BEE" w:rsidRPr="00D1588F" w14:paraId="6B3F1C64" w14:textId="77777777" w:rsidTr="00D1588F">
        <w:trPr>
          <w:cantSplit/>
        </w:trPr>
        <w:tc>
          <w:tcPr>
            <w:tcW w:w="8505" w:type="dxa"/>
            <w:shd w:val="clear" w:color="auto" w:fill="auto"/>
          </w:tcPr>
          <w:p w14:paraId="661FC114" w14:textId="77777777" w:rsidR="008A6BEE" w:rsidRPr="00D1588F" w:rsidRDefault="008A6BEE" w:rsidP="00D1588F">
            <w:pPr>
              <w:pStyle w:val="GraphShape"/>
              <w:rPr>
                <w:sz w:val="2"/>
              </w:rPr>
            </w:pPr>
            <w:r w:rsidRPr="00D1588F">
              <w:rPr>
                <w:noProof/>
                <w:sz w:val="2"/>
                <w:lang w:val="hr-HR" w:eastAsia="hr-HR"/>
              </w:rPr>
              <w:drawing>
                <wp:inline distT="0" distB="0" distL="0" distR="0" wp14:anchorId="2014197D" wp14:editId="3E228A08">
                  <wp:extent cx="5400929" cy="3019567"/>
                  <wp:effectExtent l="0" t="0" r="9525" b="9525"/>
                  <wp:docPr id="4" name="Picture 4" descr="&lt;nbr&gt;&lt;GETTEXTFROMWORD&gt;&lt;/nbr&gt;&#10;&lt;title&gt;&lt;GETTEXTFROMWORD&gt;&lt;/title&gt;&#10;&lt;id&gt;61b6a36b-a055-4d84-83b4-c06e4399f7a6&lt;/id&gt;&#10;&lt;srcType&gt;EXCEL&lt;/srcType&gt;&#10;&lt;srcPath&gt;U:\Budgetary projections 2018\Reports\2018 AR\Tables_and_graphs\Part II Chapter 1\&lt;/srcPath&gt;&#10;&lt;srcName&gt;overview of pension system annex 2.xlsx&lt;/srcName&gt;&#10;&lt;type&gt;graph&lt;/type&gt;&#10; &lt;srcSheet&gt;Graph Contrib as share of PE&lt;/srcSheet&gt;&#10; &lt;srcChartTitle&gt;Chart 1&lt;/srcChartTitl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2T17:17:52&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400929" cy="3019567"/>
                          </a:xfrm>
                          <a:prstGeom prst="rect">
                            <a:avLst/>
                          </a:prstGeom>
                          <a:noFill/>
                          <a:ln>
                            <a:noFill/>
                          </a:ln>
                        </pic:spPr>
                      </pic:pic>
                    </a:graphicData>
                  </a:graphic>
                </wp:inline>
              </w:drawing>
            </w:r>
          </w:p>
        </w:tc>
      </w:tr>
      <w:tr w:rsidR="008A6BEE" w:rsidRPr="00D1588F" w14:paraId="504519B0" w14:textId="77777777" w:rsidTr="00D1588F">
        <w:trPr>
          <w:cantSplit/>
        </w:trPr>
        <w:tc>
          <w:tcPr>
            <w:tcW w:w="8505" w:type="dxa"/>
            <w:shd w:val="clear" w:color="auto" w:fill="auto"/>
          </w:tcPr>
          <w:p w14:paraId="6F311964" w14:textId="77777777" w:rsidR="008A6BEE" w:rsidRDefault="008A6BEE" w:rsidP="00D1588F">
            <w:pPr>
              <w:pStyle w:val="GraphFootnote"/>
              <w:keepNext/>
            </w:pPr>
            <w:r>
              <w:t>(1)  The table shows total contributions as a share of total public pension expenditure. For IE private occupational pension expenditure is included in the denominator.</w:t>
            </w:r>
            <w:r>
              <w:br/>
              <w:t xml:space="preserve">(2)  BE: no data provided as there are no specific contributions to finance the public pension system. DK:  basic pension for all citizens is financed through general taxation and is independent from the employment status and any employment related social contributions of the beneficiaries. IE: contributions are also used to finance other social benefits in addition to pensions.  PT: the total contribution tax rate on gross earnings is 34.75%, but only 26.94% pay old-age, disability and survivor pension benefit.   </w:t>
            </w:r>
          </w:p>
          <w:p w14:paraId="49A81547" w14:textId="77777777" w:rsidR="008A6BEE" w:rsidRPr="00D1588F" w:rsidRDefault="008A6BEE" w:rsidP="00D1588F">
            <w:pPr>
              <w:pStyle w:val="GraphSource"/>
              <w:keepNext/>
            </w:pPr>
            <w:r w:rsidRPr="00D1588F">
              <w:rPr>
                <w:b/>
                <w:i/>
              </w:rPr>
              <w:t>Source:</w:t>
            </w:r>
            <w:r w:rsidRPr="00D1588F">
              <w:t xml:space="preserve"> Commission services, EPC.</w:t>
            </w:r>
          </w:p>
        </w:tc>
      </w:tr>
    </w:tbl>
    <w:p w14:paraId="05F74710" w14:textId="77777777" w:rsidR="008A6BEE" w:rsidRPr="00D1588F" w:rsidRDefault="008A6BEE" w:rsidP="00D1588F"/>
    <w:p w14:paraId="7A6DE748" w14:textId="77777777" w:rsidR="008A6BEE" w:rsidRPr="00D1588F" w:rsidRDefault="008A6BEE" w:rsidP="00D1588F">
      <w:r w:rsidRPr="00D1588F">
        <w:br w:type="page"/>
      </w:r>
    </w:p>
    <w:tbl>
      <w:tblPr>
        <w:tblW w:w="0" w:type="auto"/>
        <w:tblLayout w:type="fixed"/>
        <w:tblCellMar>
          <w:left w:w="0" w:type="dxa"/>
          <w:right w:w="0" w:type="dxa"/>
        </w:tblCellMar>
        <w:tblLook w:val="0000" w:firstRow="0" w:lastRow="0" w:firstColumn="0" w:lastColumn="0" w:noHBand="0" w:noVBand="0"/>
      </w:tblPr>
      <w:tblGrid>
        <w:gridCol w:w="4110"/>
      </w:tblGrid>
      <w:tr w:rsidR="008A6BEE" w:rsidRPr="00D1588F" w14:paraId="17DDF8C1" w14:textId="77777777" w:rsidTr="00D1588F">
        <w:trPr>
          <w:cantSplit/>
          <w:trHeight w:val="20"/>
        </w:trPr>
        <w:tc>
          <w:tcPr>
            <w:tcW w:w="4110" w:type="dxa"/>
            <w:shd w:val="clear" w:color="auto" w:fill="auto"/>
          </w:tcPr>
          <w:p w14:paraId="654EB761" w14:textId="77777777" w:rsidR="008A6BEE" w:rsidRPr="00D1588F" w:rsidRDefault="008A6BEE" w:rsidP="00D1588F">
            <w:pPr>
              <w:pStyle w:val="SlimCell"/>
              <w:keepNext/>
            </w:pPr>
          </w:p>
        </w:tc>
      </w:tr>
      <w:tr w:rsidR="008A6BEE" w:rsidRPr="00D1588F" w14:paraId="4ED3EFA7" w14:textId="77777777" w:rsidTr="00D1588F">
        <w:trPr>
          <w:cantSplit/>
        </w:trPr>
        <w:tc>
          <w:tcPr>
            <w:tcW w:w="4110" w:type="dxa"/>
            <w:shd w:val="clear" w:color="auto" w:fill="auto"/>
          </w:tcPr>
          <w:p w14:paraId="399CC8E6" w14:textId="77777777" w:rsidR="008A6BEE" w:rsidRPr="00D1588F" w:rsidRDefault="008A6BEE" w:rsidP="00D1588F">
            <w:pPr>
              <w:pStyle w:val="TableTitle"/>
              <w:rPr>
                <w:b/>
              </w:rPr>
            </w:pPr>
            <w:r w:rsidRPr="00D1588F">
              <w:t>Table II.AII.5:</w:t>
            </w:r>
            <w:r w:rsidRPr="00D1588F">
              <w:rPr>
                <w:b/>
              </w:rPr>
              <w:tab/>
              <w:t>Special pension and public pension expenditure (2016) % of GDP</w:t>
            </w:r>
          </w:p>
        </w:tc>
      </w:tr>
      <w:tr w:rsidR="008A6BEE" w:rsidRPr="00D1588F" w14:paraId="44FC2863" w14:textId="77777777" w:rsidTr="00D1588F">
        <w:trPr>
          <w:cantSplit/>
        </w:trPr>
        <w:tc>
          <w:tcPr>
            <w:tcW w:w="4110" w:type="dxa"/>
            <w:shd w:val="clear" w:color="auto" w:fill="auto"/>
          </w:tcPr>
          <w:p w14:paraId="339DBA2D" w14:textId="77777777" w:rsidR="008A6BEE" w:rsidRPr="00D1588F" w:rsidRDefault="008A6BEE" w:rsidP="00D1588F">
            <w:pPr>
              <w:pStyle w:val="TableShape"/>
              <w:rPr>
                <w:sz w:val="2"/>
              </w:rPr>
            </w:pPr>
            <w:r w:rsidRPr="00D1588F">
              <w:fldChar w:fldCharType="begin"/>
            </w:r>
            <w:r w:rsidRPr="009F3ED8">
              <w:instrText xml:space="preserve"> TC "</w:instrText>
            </w:r>
            <w:bookmarkStart w:id="286" w:name="_Toc511664597"/>
            <w:r w:rsidRPr="009F3ED8">
              <w:instrText>II.AII.5.</w:instrText>
            </w:r>
            <w:r w:rsidRPr="009F3ED8">
              <w:tab/>
              <w:instrText>Special pension and public pension expenditure (2016) % of GDP</w:instrText>
            </w:r>
            <w:bookmarkEnd w:id="286"/>
            <w:r w:rsidRPr="009F3ED8">
              <w:instrText xml:space="preserve">" \ftable \l 5 </w:instrText>
            </w:r>
            <w:r w:rsidRPr="00D1588F">
              <w:fldChar w:fldCharType="end"/>
            </w:r>
            <w:r>
              <w:rPr>
                <w:noProof/>
                <w:sz w:val="2"/>
                <w:lang w:val="hr-HR" w:eastAsia="hr-HR"/>
              </w:rPr>
              <w:drawing>
                <wp:inline distT="0" distB="0" distL="0" distR="0" wp14:anchorId="4E162288" wp14:editId="42379C24">
                  <wp:extent cx="2597595" cy="3805293"/>
                  <wp:effectExtent l="0" t="0" r="0" b="5080"/>
                  <wp:docPr id="91" name="Picture 91" descr="&lt;nbr&gt;&lt;GETTEXTFROMWORD&gt;&lt;/nbr&gt;&#10;&lt;title&gt;&lt;GETTEXTFROMWORD&gt;&lt;/title&gt;&#10;&lt;id&gt;0f51a2f9-ede9-4780-8f1a-5f706e348134&lt;/id&gt;&#10;&lt;srcType&gt;EXCEL&lt;/srcType&gt;&#10;&lt;srcPath&gt;U:\Budgetary projections 2018\Reports\2018 AR\Tables_and_graphs\Boxes\&lt;/srcPath&gt;&#10;&lt;srcName&gt;SpecialPensionsOverviewTables_2018.xlsx&lt;/srcName&gt;&#10;&lt;type&gt;table&lt;/type&gt;&#10; &lt;srcSheet&gt;% of GDP&lt;/srcSheet&gt;&#10; &lt;srcRange&gt;R2C2:R31C7&lt;/srcRang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3T18:32:19&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597595" cy="3805293"/>
                          </a:xfrm>
                          <a:prstGeom prst="rect">
                            <a:avLst/>
                          </a:prstGeom>
                          <a:noFill/>
                          <a:ln>
                            <a:noFill/>
                          </a:ln>
                        </pic:spPr>
                      </pic:pic>
                    </a:graphicData>
                  </a:graphic>
                </wp:inline>
              </w:drawing>
            </w:r>
          </w:p>
        </w:tc>
      </w:tr>
      <w:tr w:rsidR="008A6BEE" w:rsidRPr="00D1588F" w14:paraId="667809AB" w14:textId="77777777" w:rsidTr="00D1588F">
        <w:trPr>
          <w:cantSplit/>
        </w:trPr>
        <w:tc>
          <w:tcPr>
            <w:tcW w:w="4110" w:type="dxa"/>
            <w:shd w:val="clear" w:color="auto" w:fill="auto"/>
          </w:tcPr>
          <w:p w14:paraId="18A64837" w14:textId="77777777" w:rsidR="008A6BEE" w:rsidRDefault="008A6BEE" w:rsidP="00D1588F">
            <w:pPr>
              <w:pStyle w:val="TableFootnote"/>
            </w:pPr>
            <w:r>
              <w:t xml:space="preserve">(1) gross expenditure; </w:t>
            </w:r>
            <w:r>
              <w:br/>
              <w:t>(2) bold 2014 or 2015 data; "n.a."  stands for  a category of special pensions which exists, but for which the figures are not available; a dash "-" indicates that a given type of special pensions does not exist in that country.</w:t>
            </w:r>
            <w:r>
              <w:br/>
              <w:t xml:space="preserve">(*) the figures reflect the size of the phenomenon only partly, due to incomplete or unavailable data; </w:t>
            </w:r>
            <w:r>
              <w:br/>
              <w:t>(**) in reality no special pensions.</w:t>
            </w:r>
            <w:r>
              <w:tab/>
            </w:r>
          </w:p>
          <w:p w14:paraId="3E2D2F30" w14:textId="77777777" w:rsidR="008A6BEE" w:rsidRPr="00D1588F" w:rsidRDefault="008A6BEE" w:rsidP="00D1588F">
            <w:pPr>
              <w:pStyle w:val="TableSource"/>
            </w:pPr>
            <w:r w:rsidRPr="00D1588F">
              <w:rPr>
                <w:b/>
                <w:i/>
              </w:rPr>
              <w:t>Source:</w:t>
            </w:r>
            <w:r w:rsidRPr="00D1588F">
              <w:t xml:space="preserve"> AWG survey 2017, AR 2018 country fiche (DE) and AWG pension projections 2018.</w:t>
            </w:r>
          </w:p>
        </w:tc>
      </w:tr>
      <w:tr w:rsidR="008A6BEE" w:rsidRPr="00D1588F" w14:paraId="7CD3FDAF" w14:textId="77777777" w:rsidTr="00D1588F">
        <w:trPr>
          <w:cantSplit/>
          <w:trHeight w:val="20"/>
        </w:trPr>
        <w:tc>
          <w:tcPr>
            <w:tcW w:w="4110" w:type="dxa"/>
            <w:shd w:val="clear" w:color="auto" w:fill="auto"/>
            <w:tcMar>
              <w:bottom w:w="240" w:type="dxa"/>
            </w:tcMar>
          </w:tcPr>
          <w:p w14:paraId="2617DF08" w14:textId="77777777" w:rsidR="008A6BEE" w:rsidRPr="00D1588F" w:rsidRDefault="008A6BEE" w:rsidP="00D1588F">
            <w:pPr>
              <w:pStyle w:val="SlimCell"/>
            </w:pPr>
          </w:p>
        </w:tc>
      </w:tr>
    </w:tbl>
    <w:p w14:paraId="6BB82339" w14:textId="77777777" w:rsidR="008A6BEE" w:rsidRPr="00D1588F" w:rsidRDefault="008A6BEE" w:rsidP="00D1588F">
      <w:pPr>
        <w:pStyle w:val="MultipageDelimiter"/>
      </w:pPr>
    </w:p>
    <w:tbl>
      <w:tblPr>
        <w:tblW w:w="0" w:type="auto"/>
        <w:tblLayout w:type="fixed"/>
        <w:tblCellMar>
          <w:left w:w="0" w:type="dxa"/>
          <w:right w:w="0" w:type="dxa"/>
        </w:tblCellMar>
        <w:tblLook w:val="0000" w:firstRow="0" w:lastRow="0" w:firstColumn="0" w:lastColumn="0" w:noHBand="0" w:noVBand="0"/>
      </w:tblPr>
      <w:tblGrid>
        <w:gridCol w:w="4110"/>
      </w:tblGrid>
      <w:tr w:rsidR="008A6BEE" w:rsidRPr="00D1588F" w14:paraId="46372169" w14:textId="77777777" w:rsidTr="00D1588F">
        <w:trPr>
          <w:cantSplit/>
          <w:trHeight w:val="20"/>
        </w:trPr>
        <w:tc>
          <w:tcPr>
            <w:tcW w:w="4110" w:type="dxa"/>
            <w:shd w:val="clear" w:color="auto" w:fill="auto"/>
          </w:tcPr>
          <w:p w14:paraId="122C3D44" w14:textId="77777777" w:rsidR="008A6BEE" w:rsidRPr="00D1588F" w:rsidRDefault="008A6BEE" w:rsidP="00D1588F">
            <w:pPr>
              <w:pStyle w:val="SlimCell"/>
              <w:keepNext/>
            </w:pPr>
          </w:p>
        </w:tc>
      </w:tr>
      <w:tr w:rsidR="008A6BEE" w:rsidRPr="00D1588F" w14:paraId="255E8A79" w14:textId="77777777" w:rsidTr="00D1588F">
        <w:trPr>
          <w:cantSplit/>
        </w:trPr>
        <w:tc>
          <w:tcPr>
            <w:tcW w:w="4110" w:type="dxa"/>
            <w:shd w:val="clear" w:color="auto" w:fill="auto"/>
          </w:tcPr>
          <w:p w14:paraId="4C098C77" w14:textId="77777777" w:rsidR="008A6BEE" w:rsidRPr="00D1588F" w:rsidRDefault="008A6BEE" w:rsidP="00D1588F">
            <w:pPr>
              <w:pStyle w:val="TableTitle"/>
              <w:rPr>
                <w:b/>
              </w:rPr>
            </w:pPr>
            <w:r w:rsidRPr="00D1588F">
              <w:t>Table II.AII.6:</w:t>
            </w:r>
            <w:r w:rsidRPr="00D1588F">
              <w:rPr>
                <w:b/>
              </w:rPr>
              <w:tab/>
              <w:t>Special pensions span (2016) % of pensioners</w:t>
            </w:r>
          </w:p>
        </w:tc>
      </w:tr>
      <w:tr w:rsidR="008A6BEE" w:rsidRPr="00D1588F" w14:paraId="23F6B8E2" w14:textId="77777777" w:rsidTr="00D1588F">
        <w:trPr>
          <w:cantSplit/>
        </w:trPr>
        <w:tc>
          <w:tcPr>
            <w:tcW w:w="4110" w:type="dxa"/>
            <w:shd w:val="clear" w:color="auto" w:fill="auto"/>
          </w:tcPr>
          <w:p w14:paraId="36F3043F" w14:textId="77777777" w:rsidR="008A6BEE" w:rsidRPr="00D1588F" w:rsidRDefault="008A6BEE" w:rsidP="00D1588F">
            <w:pPr>
              <w:pStyle w:val="TableShape"/>
              <w:rPr>
                <w:sz w:val="2"/>
              </w:rPr>
            </w:pPr>
            <w:r w:rsidRPr="00D1588F">
              <w:fldChar w:fldCharType="begin"/>
            </w:r>
            <w:r w:rsidRPr="009F3ED8">
              <w:instrText xml:space="preserve"> TC "</w:instrText>
            </w:r>
            <w:bookmarkStart w:id="287" w:name="_Toc511664598"/>
            <w:r w:rsidRPr="009F3ED8">
              <w:instrText>II.AII.6.</w:instrText>
            </w:r>
            <w:r w:rsidRPr="009F3ED8">
              <w:tab/>
              <w:instrText>Special pensions span (2016) % of pensioners</w:instrText>
            </w:r>
            <w:bookmarkEnd w:id="287"/>
            <w:r w:rsidRPr="009F3ED8">
              <w:instrText xml:space="preserve">" \ftable \l 5 </w:instrText>
            </w:r>
            <w:r w:rsidRPr="00D1588F">
              <w:fldChar w:fldCharType="end"/>
            </w:r>
            <w:r>
              <w:rPr>
                <w:noProof/>
                <w:sz w:val="2"/>
                <w:lang w:val="hr-HR" w:eastAsia="hr-HR"/>
              </w:rPr>
              <w:drawing>
                <wp:inline distT="0" distB="0" distL="0" distR="0" wp14:anchorId="6A6DD7A9" wp14:editId="12F74C48">
                  <wp:extent cx="2597595" cy="4537884"/>
                  <wp:effectExtent l="0" t="0" r="0" b="0"/>
                  <wp:docPr id="93" name="Picture 93" descr="&lt;nbr&gt;&lt;GETTEXTFROMWORD&gt;&lt;/nbr&gt;&#10;&lt;title&gt;&lt;GETTEXTFROMWORD&gt;&lt;/title&gt;&#10;&lt;id&gt;daca5d3a-527e-412b-85e9-1ec1e7e41bbd&lt;/id&gt;&#10;&lt;srcType&gt;EXCEL&lt;/srcType&gt;&#10;&lt;srcPath&gt;U:\Budgetary projections 2018\Reports\2018 AR\Tables_and_graphs\Boxes\&lt;/srcPath&gt;&#10;&lt;srcName&gt;SpecialPensionsOverviewTables_2018.xlsx&lt;/srcName&gt;&#10;&lt;type&gt;table&lt;/type&gt;&#10; &lt;srcSheet&gt;% of Pensioners&lt;/srcSheet&gt;&#10; &lt;srcRange&gt;R2C2:R30C6&lt;/srcRang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4-13T18:32:19&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597595" cy="4537884"/>
                          </a:xfrm>
                          <a:prstGeom prst="rect">
                            <a:avLst/>
                          </a:prstGeom>
                          <a:noFill/>
                          <a:ln>
                            <a:noFill/>
                          </a:ln>
                        </pic:spPr>
                      </pic:pic>
                    </a:graphicData>
                  </a:graphic>
                </wp:inline>
              </w:drawing>
            </w:r>
          </w:p>
        </w:tc>
      </w:tr>
      <w:tr w:rsidR="008A6BEE" w:rsidRPr="00D1588F" w14:paraId="390DD56B" w14:textId="77777777" w:rsidTr="00D1588F">
        <w:trPr>
          <w:cantSplit/>
        </w:trPr>
        <w:tc>
          <w:tcPr>
            <w:tcW w:w="4110" w:type="dxa"/>
            <w:shd w:val="clear" w:color="auto" w:fill="auto"/>
          </w:tcPr>
          <w:p w14:paraId="4B1F8154" w14:textId="77777777" w:rsidR="008A6BEE" w:rsidRDefault="008A6BEE" w:rsidP="00D1588F">
            <w:pPr>
              <w:pStyle w:val="TableFootnote"/>
            </w:pPr>
            <w:r>
              <w:t xml:space="preserve">(1) supplementary special pensions (paid as a top-up) beneficiaries are not included here; </w:t>
            </w:r>
            <w:r>
              <w:br/>
              <w:t>(2) bold 2014 or 2015 data; n.a."  stands for  a category of special pensions which exists, but for which the figures are not available; a dash "-" indicates that a given type of special pensions does not exist in that country.</w:t>
            </w:r>
            <w:r>
              <w:br/>
              <w:t xml:space="preserve">(*) the figures reflect the size of the phenomenon only partly, due to incomplete or unavailable data; </w:t>
            </w:r>
            <w:r>
              <w:br/>
              <w:t xml:space="preserve">(**) in reality no special pensions; </w:t>
            </w:r>
            <w:r>
              <w:br/>
              <w:t>(***) % of pensions, not of pensioners.</w:t>
            </w:r>
            <w:r>
              <w:tab/>
            </w:r>
          </w:p>
          <w:p w14:paraId="12B15B72" w14:textId="77777777" w:rsidR="008A6BEE" w:rsidRPr="00D1588F" w:rsidRDefault="008A6BEE" w:rsidP="00D1588F">
            <w:pPr>
              <w:pStyle w:val="TableSource"/>
            </w:pPr>
            <w:r w:rsidRPr="00D1588F">
              <w:rPr>
                <w:b/>
                <w:i/>
              </w:rPr>
              <w:t>Source:</w:t>
            </w:r>
            <w:r w:rsidRPr="00D1588F">
              <w:t xml:space="preserve"> AWG survey 2017.</w:t>
            </w:r>
          </w:p>
        </w:tc>
      </w:tr>
      <w:tr w:rsidR="008A6BEE" w:rsidRPr="00D1588F" w14:paraId="2A1EBC80" w14:textId="77777777" w:rsidTr="00D1588F">
        <w:trPr>
          <w:cantSplit/>
          <w:trHeight w:val="20"/>
        </w:trPr>
        <w:tc>
          <w:tcPr>
            <w:tcW w:w="4110" w:type="dxa"/>
            <w:shd w:val="clear" w:color="auto" w:fill="auto"/>
            <w:tcMar>
              <w:bottom w:w="240" w:type="dxa"/>
            </w:tcMar>
          </w:tcPr>
          <w:p w14:paraId="62C13BC4" w14:textId="77777777" w:rsidR="008A6BEE" w:rsidRPr="00D1588F" w:rsidRDefault="008A6BEE" w:rsidP="00D1588F">
            <w:pPr>
              <w:pStyle w:val="SlimCell"/>
            </w:pPr>
          </w:p>
        </w:tc>
      </w:tr>
    </w:tbl>
    <w:p w14:paraId="78323C5C" w14:textId="77777777" w:rsidR="008A6BEE" w:rsidRPr="00D1588F" w:rsidRDefault="008A6BEE" w:rsidP="00D1588F"/>
    <w:p w14:paraId="3A4288AA" w14:textId="77777777" w:rsidR="008A6BEE" w:rsidRPr="00D1588F" w:rsidRDefault="008A6BEE" w:rsidP="00D1588F"/>
    <w:p w14:paraId="2581A352" w14:textId="77777777" w:rsidR="008A6BEE" w:rsidRPr="00D1588F" w:rsidRDefault="008A6BEE" w:rsidP="00D1588F"/>
    <w:p w14:paraId="79635827" w14:textId="77777777" w:rsidR="008A6BEE" w:rsidRPr="00D1588F" w:rsidRDefault="008A6BEE" w:rsidP="00D1588F"/>
    <w:p w14:paraId="7339C86D" w14:textId="77777777" w:rsidR="008A6BEE" w:rsidRPr="00D1588F" w:rsidRDefault="008A6BEE" w:rsidP="00D1588F"/>
    <w:p w14:paraId="0ACAEBF8" w14:textId="77777777" w:rsidR="008A6BEE" w:rsidRDefault="008A6BEE" w:rsidP="00D1588F"/>
    <w:bookmarkEnd w:id="279"/>
    <w:p w14:paraId="25CB5200" w14:textId="77777777" w:rsidR="008A6BEE" w:rsidRDefault="008A6BEE" w:rsidP="00E42EEC">
      <w:pPr>
        <w:sectPr w:rsidR="008A6BEE" w:rsidSect="008A6BEE">
          <w:headerReference w:type="even" r:id="rId313"/>
          <w:headerReference w:type="default" r:id="rId314"/>
          <w:footerReference w:type="even" r:id="rId315"/>
          <w:footerReference w:type="default" r:id="rId316"/>
          <w:headerReference w:type="first" r:id="rId317"/>
          <w:footerReference w:type="first" r:id="rId318"/>
          <w:endnotePr>
            <w:numFmt w:val="decimal"/>
            <w:numRestart w:val="eachSect"/>
          </w:endnotePr>
          <w:pgSz w:w="11907" w:h="16839"/>
          <w:pgMar w:top="2693" w:right="1701" w:bottom="1417" w:left="1701" w:header="709" w:footer="1191" w:gutter="0"/>
          <w:cols w:num="2" w:space="283"/>
          <w:titlePg/>
          <w:docGrid w:linePitch="360"/>
        </w:sectPr>
      </w:pPr>
    </w:p>
    <w:bookmarkStart w:id="288" w:name="GUID839ACF0288D04F17B0D745AD54046821"/>
    <w:p w14:paraId="041599BA"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289" w:name="_Toc511664462"/>
      <w:r w:rsidRPr="009F3ED8">
        <w:rPr>
          <w:vanish w:val="0"/>
        </w:rPr>
        <w:instrText>AIII.</w:instrText>
      </w:r>
      <w:r w:rsidRPr="009F3ED8">
        <w:rPr>
          <w:vanish w:val="0"/>
        </w:rPr>
        <w:tab/>
        <w:instrText>Input data used to project health care expenditure</w:instrText>
      </w:r>
      <w:bookmarkEnd w:id="289"/>
      <w:r w:rsidRPr="009F3ED8">
        <w:rPr>
          <w:vanish w:val="0"/>
        </w:rPr>
        <w:instrText xml:space="preserve">" \f \l 2 </w:instrText>
      </w:r>
      <w:r w:rsidRPr="009F3ED8">
        <w:fldChar w:fldCharType="end"/>
      </w:r>
    </w:p>
    <w:p w14:paraId="4BB7323C" w14:textId="77777777" w:rsidR="00FB1300" w:rsidRPr="00CC5639" w:rsidRDefault="00FB1300" w:rsidP="00460C69">
      <w:pPr>
        <w:pStyle w:val="Heading"/>
      </w:pPr>
      <w:r w:rsidRPr="00CC5639">
        <w:t>Data collection</w:t>
      </w:r>
    </w:p>
    <w:p w14:paraId="4E0F1471" w14:textId="77777777" w:rsidR="00FB1300" w:rsidRPr="00CC5639" w:rsidRDefault="00FB1300" w:rsidP="00460C69">
      <w:r w:rsidRPr="00CC5639">
        <w:t>The data required to run long-term public expenditure projections in the field of health care includes:</w:t>
      </w:r>
    </w:p>
    <w:p w14:paraId="33901B6D" w14:textId="77777777" w:rsidR="00FB1300" w:rsidRPr="00CC5639" w:rsidRDefault="00FB1300" w:rsidP="00FB1300">
      <w:pPr>
        <w:pStyle w:val="Grafikeoznake"/>
        <w:numPr>
          <w:ilvl w:val="0"/>
          <w:numId w:val="1"/>
        </w:numPr>
      </w:pPr>
      <w:r w:rsidRPr="00CC5639">
        <w:t>per capita public expenditure on health care by age and sex cohorts (age/sex specific expenditure profiles);</w:t>
      </w:r>
    </w:p>
    <w:p w14:paraId="3A78FF69" w14:textId="77777777" w:rsidR="00FB1300" w:rsidRPr="00CC5639" w:rsidRDefault="00FB1300" w:rsidP="00FB1300">
      <w:pPr>
        <w:pStyle w:val="Grafikeoznake"/>
        <w:numPr>
          <w:ilvl w:val="0"/>
          <w:numId w:val="1"/>
        </w:numPr>
      </w:pPr>
      <w:r w:rsidRPr="00CC5639">
        <w:t>sex specific per capita public expenditure on health care borne by decedents and survivors decomposed by the number of remaining years of life required to run the "death-related costs scenario";</w:t>
      </w:r>
    </w:p>
    <w:p w14:paraId="4EEB3EAD" w14:textId="77777777" w:rsidR="00FB1300" w:rsidRPr="00CC5639" w:rsidRDefault="00FB1300" w:rsidP="00FB1300">
      <w:pPr>
        <w:pStyle w:val="Grafikeoznake"/>
        <w:numPr>
          <w:ilvl w:val="0"/>
          <w:numId w:val="1"/>
        </w:numPr>
      </w:pPr>
      <w:r w:rsidRPr="00CC5639">
        <w:t>total public expenditure on health care; and</w:t>
      </w:r>
    </w:p>
    <w:p w14:paraId="31D06364" w14:textId="77777777" w:rsidR="00FB1300" w:rsidRPr="00CC5639" w:rsidRDefault="00FB1300" w:rsidP="00FB1300">
      <w:pPr>
        <w:pStyle w:val="Grafikeoznake"/>
        <w:numPr>
          <w:ilvl w:val="0"/>
          <w:numId w:val="1"/>
        </w:numPr>
      </w:pPr>
      <w:r w:rsidRPr="00CC5639">
        <w:t>fiscal impact of recently legislated policy reforms in the health care area.</w:t>
      </w:r>
    </w:p>
    <w:p w14:paraId="2281C66D" w14:textId="77777777" w:rsidR="00FB1300" w:rsidRPr="00CC5639" w:rsidRDefault="00FB1300" w:rsidP="00460C69">
      <w:r w:rsidRPr="00CC5639">
        <w:t>The data collection procedure has taken two steps. First, Commission Services (DG ECFIN) pre-filled data on the basis of existing international databases managed by international organisations (Eurostat, OECD). The questionnaire was then circulated to the Member States and Norway, to endorse the pre-filled figures and complement these with data from national sources if no data was available from international sources. The completed data questionnaires were used for conducting the projections.</w:t>
      </w:r>
    </w:p>
    <w:p w14:paraId="67A607EE" w14:textId="77777777" w:rsidR="00FB1300" w:rsidRPr="00CC5639" w:rsidRDefault="00FB1300" w:rsidP="00460C69">
      <w:r w:rsidRPr="00CC5639">
        <w:t>Age/sex specific per capita public expenditure on health care and sex specific per capita public expenditure on health care borne by decedents and survivors decomposed by the number of remaining years of life are not available in any common international databases. Therefore, they were provided exclusively by AWG delegates and are based on national sources.</w:t>
      </w:r>
    </w:p>
    <w:p w14:paraId="678B2879" w14:textId="77777777" w:rsidR="00FB1300" w:rsidRPr="00CC5639" w:rsidRDefault="00FB1300" w:rsidP="00460C69">
      <w:r w:rsidRPr="00CC5639">
        <w:t xml:space="preserve">Table </w:t>
      </w:r>
      <w:r w:rsidRPr="00CC5639">
        <w:fldChar w:fldCharType="begin"/>
      </w:r>
      <w:r w:rsidRPr="00CC5639">
        <w:instrText xml:space="preserve"> QUOTE "II.AIII.1"</w:instrText>
      </w:r>
      <w:r w:rsidRPr="00CC5639">
        <w:fldChar w:fldCharType="begin">
          <w:fldData xml:space="preserve">QwBSAE8AUwBTAFIARQBGAEUAUgBFAE4AQwBFACoAVABBAEIATABFACoANABkAGIAZgA1ADQANQA4
AC0AOABmADgANQAtADQAYgA0ADQALQA4AGUANgAwAC0AMgA3ADgAOAAyADUAMwA4ADEANAA3ADUA
</w:fldData>
        </w:fldChar>
      </w:r>
      <w:r w:rsidRPr="00CC5639">
        <w:instrText xml:space="preserve"> ADDIN </w:instrText>
      </w:r>
      <w:r w:rsidRPr="00CC5639">
        <w:fldChar w:fldCharType="end"/>
      </w:r>
      <w:r w:rsidRPr="00CC5639">
        <w:instrText xml:space="preserve"> </w:instrText>
      </w:r>
      <w:r w:rsidRPr="00CC5639">
        <w:fldChar w:fldCharType="separate"/>
      </w:r>
      <w:r w:rsidR="009F3ED8" w:rsidRPr="00CC5639">
        <w:t>II.AIII.1</w:t>
      </w:r>
      <w:r w:rsidRPr="00CC5639">
        <w:fldChar w:fldCharType="end"/>
      </w:r>
      <w:r w:rsidRPr="00CC5639">
        <w:t xml:space="preserve"> presents an overview of the available data. </w:t>
      </w:r>
      <w:bookmarkStart w:id="290" w:name="_Ref300051672"/>
      <w:bookmarkStart w:id="291" w:name="_Toc306619286"/>
      <w:r w:rsidRPr="00CC5639">
        <w:t xml:space="preserve">It shows that most of the countries have provided the full data necessary to run the projection exercise. Missing health care age-gender specific cost profiles have been replaced by the simple average of individual countries' health care age-gender specific expenditure profiles expressed as % of GDP per capita and as calculated for either EU15 (for Greece and Ireland) </w:t>
      </w:r>
      <w:r w:rsidRPr="00CC5639">
        <w:lastRenderedPageBreak/>
        <w:t>or NMS (for Romania) aggregates; the averages have been calculated using all available data.</w:t>
      </w:r>
    </w:p>
    <w:tbl>
      <w:tblPr>
        <w:tblW w:w="0" w:type="auto"/>
        <w:tblLayout w:type="fixed"/>
        <w:tblCellMar>
          <w:left w:w="0" w:type="dxa"/>
          <w:right w:w="0" w:type="dxa"/>
        </w:tblCellMar>
        <w:tblLook w:val="0000" w:firstRow="0" w:lastRow="0" w:firstColumn="0" w:lastColumn="0" w:noHBand="0" w:noVBand="0"/>
      </w:tblPr>
      <w:tblGrid>
        <w:gridCol w:w="4110"/>
      </w:tblGrid>
      <w:tr w:rsidR="00FB1300" w:rsidRPr="00CC5639" w14:paraId="742D6497" w14:textId="77777777" w:rsidTr="00460C69">
        <w:trPr>
          <w:cantSplit/>
          <w:trHeight w:val="20"/>
        </w:trPr>
        <w:tc>
          <w:tcPr>
            <w:tcW w:w="4110" w:type="dxa"/>
            <w:shd w:val="clear" w:color="auto" w:fill="auto"/>
          </w:tcPr>
          <w:p w14:paraId="609CA330" w14:textId="77777777" w:rsidR="00FB1300" w:rsidRPr="00CC5639" w:rsidRDefault="00FB1300" w:rsidP="00460C69">
            <w:pPr>
              <w:pStyle w:val="SlimCell"/>
              <w:keepNext/>
            </w:pPr>
          </w:p>
        </w:tc>
      </w:tr>
      <w:tr w:rsidR="00FB1300" w:rsidRPr="00CC5639" w14:paraId="173E738C" w14:textId="77777777" w:rsidTr="00460C69">
        <w:trPr>
          <w:cantSplit/>
        </w:trPr>
        <w:tc>
          <w:tcPr>
            <w:tcW w:w="4110" w:type="dxa"/>
            <w:shd w:val="clear" w:color="auto" w:fill="auto"/>
          </w:tcPr>
          <w:p w14:paraId="0C78F43D" w14:textId="77777777" w:rsidR="00FB1300" w:rsidRPr="00CC5639" w:rsidRDefault="00FB1300" w:rsidP="00460C69">
            <w:pPr>
              <w:pStyle w:val="TableTitle"/>
              <w:rPr>
                <w:b/>
              </w:rPr>
            </w:pPr>
            <w:r w:rsidRPr="00CC5639">
              <w:t>Table II.AIII.1:</w:t>
            </w:r>
            <w:r w:rsidRPr="00CC5639">
              <w:rPr>
                <w:b/>
              </w:rPr>
              <w:tab/>
              <w:t>Overview of the health care data provided for and used in the 2018 Ageing Report</w:t>
            </w:r>
          </w:p>
        </w:tc>
      </w:tr>
      <w:tr w:rsidR="00FB1300" w:rsidRPr="00CC5639" w14:paraId="1F134AAA" w14:textId="77777777" w:rsidTr="00460C69">
        <w:trPr>
          <w:cantSplit/>
        </w:trPr>
        <w:tc>
          <w:tcPr>
            <w:tcW w:w="4110" w:type="dxa"/>
            <w:shd w:val="clear" w:color="auto" w:fill="auto"/>
          </w:tcPr>
          <w:p w14:paraId="51E37BDA" w14:textId="77777777" w:rsidR="00FB1300" w:rsidRPr="00CC5639" w:rsidRDefault="00FB1300" w:rsidP="00460C69">
            <w:pPr>
              <w:pStyle w:val="TableShape"/>
              <w:rPr>
                <w:sz w:val="2"/>
              </w:rPr>
            </w:pPr>
            <w:r w:rsidRPr="00CC5639">
              <w:fldChar w:fldCharType="begin"/>
            </w:r>
            <w:r w:rsidRPr="009F3ED8">
              <w:instrText xml:space="preserve"> TC "</w:instrText>
            </w:r>
            <w:bookmarkStart w:id="292" w:name="_Toc511664599"/>
            <w:r w:rsidRPr="009F3ED8">
              <w:instrText>II.AIII.1.</w:instrText>
            </w:r>
            <w:r w:rsidRPr="009F3ED8">
              <w:tab/>
              <w:instrText>Overview of the health care data provided for and used in the 2018 Ageing Report</w:instrText>
            </w:r>
            <w:bookmarkEnd w:id="292"/>
            <w:r w:rsidRPr="009F3ED8">
              <w:instrText xml:space="preserve">" \ftable \l 5 </w:instrText>
            </w:r>
            <w:r w:rsidRPr="00CC5639">
              <w:fldChar w:fldCharType="end"/>
            </w:r>
            <w:r w:rsidRPr="00CC5639">
              <w:rPr>
                <w:noProof/>
                <w:sz w:val="2"/>
                <w:lang w:val="hr-HR" w:eastAsia="hr-HR"/>
              </w:rPr>
              <w:drawing>
                <wp:inline distT="0" distB="0" distL="0" distR="0" wp14:anchorId="3436307C" wp14:editId="1DEEE615">
                  <wp:extent cx="2597595" cy="3736335"/>
                  <wp:effectExtent l="0" t="0" r="0" b="0"/>
                  <wp:docPr id="828" name="Picture 828" descr="&lt;nbr&gt;&lt;GETTEXTFROMWORD&gt;&lt;/nbr&gt;&#10;&lt;title&gt;&lt;GETTEXTFROMWORD&gt;&lt;/title&gt;&#10;&lt;id&gt;4dbf5458-8f85-4b44-8e60-278825381475&lt;/id&gt;&#10;&lt;srcType&gt;EXCEL&lt;/srcType&gt;&#10;&lt;srcPath&gt;U:\Budgetary projections 2018\Reports\2018 AR\Tables_and_graphs\Part II Annex 3\&lt;/srcPath&gt;&#10;&lt;srcName&gt;AR 2018 Collecteddata_List - HC.xls&lt;/srcName&gt;&#10;&lt;type&gt;table&lt;/type&gt;&#10; &lt;srcSheet&gt;Table HC data AR 2018&lt;/srcSheet&gt;&#10; &lt;srcRange&gt;R2C2:R35C8&lt;/srcRang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1-25T16:01:49&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597595" cy="3736335"/>
                          </a:xfrm>
                          <a:prstGeom prst="rect">
                            <a:avLst/>
                          </a:prstGeom>
                          <a:noFill/>
                          <a:ln>
                            <a:noFill/>
                          </a:ln>
                        </pic:spPr>
                      </pic:pic>
                    </a:graphicData>
                  </a:graphic>
                </wp:inline>
              </w:drawing>
            </w:r>
          </w:p>
        </w:tc>
      </w:tr>
      <w:tr w:rsidR="00FB1300" w:rsidRPr="00CC5639" w14:paraId="25A5E503" w14:textId="77777777" w:rsidTr="00460C69">
        <w:trPr>
          <w:cantSplit/>
        </w:trPr>
        <w:tc>
          <w:tcPr>
            <w:tcW w:w="4110" w:type="dxa"/>
            <w:shd w:val="clear" w:color="auto" w:fill="auto"/>
          </w:tcPr>
          <w:p w14:paraId="422427E3" w14:textId="77777777" w:rsidR="00FB1300" w:rsidRDefault="00FB1300" w:rsidP="00460C69">
            <w:pPr>
              <w:pStyle w:val="TableFootnote"/>
            </w:pPr>
            <w:r>
              <w:t>Notes: (1) Total current public health expenditure excluding LTC (health); (2) Public expenditure on capital formation excluding capital formation for R&amp;D health.</w:t>
            </w:r>
          </w:p>
          <w:p w14:paraId="001AF7ED" w14:textId="77777777" w:rsidR="00FB1300" w:rsidRPr="00CC5639" w:rsidRDefault="00FB1300" w:rsidP="00460C69">
            <w:pPr>
              <w:pStyle w:val="TableSource"/>
            </w:pPr>
            <w:r w:rsidRPr="00CC5639">
              <w:rPr>
                <w:b/>
                <w:i/>
              </w:rPr>
              <w:t>Source:</w:t>
            </w:r>
            <w:r w:rsidRPr="00CC5639">
              <w:t xml:space="preserve"> Commission services, EPC.</w:t>
            </w:r>
          </w:p>
        </w:tc>
      </w:tr>
      <w:tr w:rsidR="00FB1300" w:rsidRPr="00CC5639" w14:paraId="4C1AB978" w14:textId="77777777" w:rsidTr="00460C69">
        <w:trPr>
          <w:cantSplit/>
          <w:trHeight w:val="20"/>
        </w:trPr>
        <w:tc>
          <w:tcPr>
            <w:tcW w:w="4110" w:type="dxa"/>
            <w:shd w:val="clear" w:color="auto" w:fill="auto"/>
            <w:tcMar>
              <w:bottom w:w="240" w:type="dxa"/>
            </w:tcMar>
          </w:tcPr>
          <w:p w14:paraId="684F7A7B" w14:textId="77777777" w:rsidR="00FB1300" w:rsidRPr="00CC5639" w:rsidRDefault="00FB1300" w:rsidP="00460C69">
            <w:pPr>
              <w:pStyle w:val="SlimCell"/>
            </w:pPr>
          </w:p>
        </w:tc>
      </w:tr>
    </w:tbl>
    <w:p w14:paraId="384A02F1" w14:textId="77777777" w:rsidR="00FB1300" w:rsidRPr="00CC5639" w:rsidRDefault="00FB1300" w:rsidP="00460C69">
      <w:r w:rsidRPr="00CC5639">
        <w:t>Moreover, the age-gender expenditure profiles were adjusted to the total public expenditure provided according to System of Health Accounts 2011 (SHA 2011) / COFOG, i.e. upward or downward adjustment without modifying the age specific distribution.</w:t>
      </w:r>
    </w:p>
    <w:p w14:paraId="0A5FA2EF" w14:textId="77777777" w:rsidR="00FB1300" w:rsidRPr="00CC5639" w:rsidRDefault="00FB1300" w:rsidP="00460C69">
      <w:pPr>
        <w:pStyle w:val="Heading"/>
      </w:pPr>
      <w:r w:rsidRPr="00CC5639">
        <w:t>Data used for calculating total public expenditure on health care</w:t>
      </w:r>
    </w:p>
    <w:p w14:paraId="11FA53F7" w14:textId="77777777" w:rsidR="00FB1300" w:rsidRPr="00CC5639" w:rsidRDefault="00FB1300" w:rsidP="00460C69">
      <w:r w:rsidRPr="00CC5639">
        <w:t>In order to calculate total public expenditure on health care, the sum of the following two components is used:</w:t>
      </w:r>
    </w:p>
    <w:p w14:paraId="4B73D37E" w14:textId="77777777" w:rsidR="00FB1300" w:rsidRPr="00CC5639" w:rsidRDefault="00FB1300" w:rsidP="00460C69">
      <w:r w:rsidRPr="00CC5639">
        <w:t xml:space="preserve">1) Public current expenditure on health care – computed as the sum of all "core" health care SHA 2011 functions/expenditure categories HC.1 to HC.9, excluding HC.3 (Long-Term Care (health)). </w:t>
      </w:r>
      <w:r w:rsidRPr="00CC5639">
        <w:lastRenderedPageBreak/>
        <w:t>In more detail, the following SHA categories have been used to calculate public current expenditure on health care: Inpatient curative care (HC.1); and Rehabilitative care (HC.2); Ancillary services (HC.4); Medical goods (HC.5); Preventive care (HC.6); Governance, and health system and financing administration (HC.7); Other health care services not elsewhere classified (HC.9).</w:t>
      </w:r>
    </w:p>
    <w:p w14:paraId="35855B6C" w14:textId="77777777" w:rsidR="00FB1300" w:rsidRPr="00CC5639" w:rsidRDefault="00FB1300" w:rsidP="00460C69">
      <w:r w:rsidRPr="00CC5639">
        <w:t>2) Public expenditure on capital formation in health – computed from COFOG's gross capital formation for the GF07 "Health" function excluding the GF0705 "R&amp;D Health" category. In order to smooth the volatility inherent to capital formation, the average value for the last four years is used.</w:t>
      </w:r>
    </w:p>
    <w:p w14:paraId="5810FF1F" w14:textId="77777777" w:rsidR="00FB1300" w:rsidRPr="00CC5639" w:rsidRDefault="00FB1300" w:rsidP="00460C69">
      <w:r w:rsidRPr="00CC5639">
        <w:t>In comparison to the 2015 EPC/EC Ageing Report, there are two changes in the data sources used to compute total public expenditure on health care: (1) ESSPROS data is no longer used, as all EU Member States and Norway are now reporting data on health expenditure under the EU Implementing Regulation 2015/359 (</w:t>
      </w:r>
      <w:r w:rsidRPr="00CC5639">
        <w:rPr>
          <w:rStyle w:val="Referencafusnote"/>
        </w:rPr>
        <w:footnoteReference w:id="144"/>
      </w:r>
      <w:r w:rsidRPr="00CC5639">
        <w:t>) and SHA 2011 classification; (2) SHA 1.0 data for the HCR.1 category on gross capital formation was replaced by data from COFOG for the GF07 "Health" function excluding the GF0705 "R&amp;D Health" category.</w:t>
      </w:r>
    </w:p>
    <w:p w14:paraId="1F182DA4" w14:textId="77777777" w:rsidR="00FB1300" w:rsidRPr="00CC5639" w:rsidRDefault="00FB1300" w:rsidP="00460C69">
      <w:pPr>
        <w:pStyle w:val="Heading"/>
      </w:pPr>
      <w:r w:rsidRPr="00CC5639">
        <w:t>Data used for calculating the sector-specific composite indexation</w:t>
      </w:r>
    </w:p>
    <w:p w14:paraId="7D9BBD33" w14:textId="77777777" w:rsidR="00FB1300" w:rsidRPr="00CC5639" w:rsidRDefault="00FB1300" w:rsidP="00460C69">
      <w:r w:rsidRPr="00CC5639">
        <w:t>In the "</w:t>
      </w:r>
      <w:r w:rsidRPr="00CC5639">
        <w:rPr>
          <w:i/>
        </w:rPr>
        <w:t>sector-specific composite indexation scenario</w:t>
      </w:r>
      <w:r w:rsidRPr="00CC5639">
        <w:t>" the importance and evolution of various components to health care provision is captured. This scenario looks at each of these components separately and indexes each of them in a separate way, creating a sort of composite indexation for "unit cost development".</w:t>
      </w:r>
    </w:p>
    <w:p w14:paraId="5AB63873" w14:textId="77777777" w:rsidR="00FB1300" w:rsidRPr="00CC5639" w:rsidRDefault="00FB1300" w:rsidP="00460C69">
      <w:r w:rsidRPr="00CC5639">
        <w:t xml:space="preserve">The components are: (1) inpatient care, (2) outpatient care and ancillary services, (3) pharmaceuticals and therapeutic appliances, (4) preventive care, (5) governance and administration, and (6) capital investment. They broadly reflect the different sectors of the health </w:t>
      </w:r>
      <w:r w:rsidRPr="00CC5639">
        <w:lastRenderedPageBreak/>
        <w:t xml:space="preserve">system and correspond to the categories of the System of Health Accounts (SHA). </w:t>
      </w:r>
    </w:p>
    <w:p w14:paraId="1BA07569" w14:textId="77777777" w:rsidR="00FB1300" w:rsidRPr="00CC5639" w:rsidRDefault="00FB1300" w:rsidP="00460C69">
      <w:r w:rsidRPr="00CC5639">
        <w:t xml:space="preserve">As shown in Table </w:t>
      </w:r>
      <w:r w:rsidRPr="00CC5639">
        <w:fldChar w:fldCharType="begin"/>
      </w:r>
      <w:r w:rsidRPr="00CC5639">
        <w:instrText xml:space="preserve"> QUOTE "II.AIII.2"</w:instrText>
      </w:r>
      <w:r w:rsidRPr="00CC5639">
        <w:fldChar w:fldCharType="begin">
          <w:fldData xml:space="preserve">QwBSAE8AUwBTAFIARQBGAEUAUgBFAE4AQwBFACoAVABBAEIATABFACoAMgBiADEAZQA5AGIANABh
AC0ANwAzAGQAYQAtADQAYgA4AGIALQA5AGYANgA2AC0AZQA4AGUANQBmADQAMAA4ADIAZAA4ADUA
</w:fldData>
        </w:fldChar>
      </w:r>
      <w:r w:rsidRPr="00CC5639">
        <w:instrText xml:space="preserve"> ADDIN </w:instrText>
      </w:r>
      <w:r w:rsidRPr="00CC5639">
        <w:fldChar w:fldCharType="end"/>
      </w:r>
      <w:r w:rsidRPr="00CC5639">
        <w:instrText xml:space="preserve"> </w:instrText>
      </w:r>
      <w:r w:rsidRPr="00CC5639">
        <w:fldChar w:fldCharType="separate"/>
      </w:r>
      <w:r w:rsidR="009F3ED8" w:rsidRPr="00CC5639">
        <w:t>II.AIII.2</w:t>
      </w:r>
      <w:r w:rsidRPr="00CC5639">
        <w:fldChar w:fldCharType="end"/>
      </w:r>
      <w:r w:rsidRPr="00CC5639">
        <w:t xml:space="preserve"> the respective share in public expenditure on health care of each component is calculated with SHA data for the latest year available, except for the capital formation component, for which COFOG data on gross capital formation on health excluding R&amp;D health is used. These shares are then applied to the age-specific per capita expenditure and by so doing each age-specific per capita expenditure is divided into six sub-items of expenditure.</w:t>
      </w:r>
    </w:p>
    <w:p w14:paraId="75C50A9E" w14:textId="77777777" w:rsidR="00FB1300" w:rsidRPr="00CC5639" w:rsidRDefault="00FB1300" w:rsidP="00460C69">
      <w:r w:rsidRPr="00CC5639">
        <w:t>Next, the past evolution of public expenditure on each of those components is calculated as average annual growth rate for the past 10 years. Due to current data limitations for building 10-year time series from data based on the SHA 2011 classification, data from COFOG categories in correspondence to the SHA 2011 health care functions are used for the calculation of the average annual expenditure growth rate for each component.</w:t>
      </w:r>
    </w:p>
    <w:p w14:paraId="2335488F" w14:textId="77777777" w:rsidR="00FB1300" w:rsidRPr="00CC5639" w:rsidRDefault="00FB1300" w:rsidP="00460C69">
      <w:r w:rsidRPr="00CC5639">
        <w:t>Lastly, the ratio of each of these growth rates to the growth rate of GDP per capita is built. Due to high volatility in the relative growth rates for prevention, capital formation and governance and administration, these items were excluded from the indexation. Moreover, similarly to the approach undertaken in the 2015 Ageing Report, the relative growth rates of the other three components (hospitals, outpatient care and medical goods) were capped at their respective 25</w:t>
      </w:r>
      <w:r w:rsidRPr="00CC5639">
        <w:rPr>
          <w:vertAlign w:val="superscript"/>
        </w:rPr>
        <w:t>th</w:t>
      </w:r>
      <w:r w:rsidRPr="00CC5639">
        <w:t xml:space="preserve"> and 75</w:t>
      </w:r>
      <w:r w:rsidRPr="00CC5639">
        <w:rPr>
          <w:vertAlign w:val="superscript"/>
        </w:rPr>
        <w:t>th</w:t>
      </w:r>
      <w:r w:rsidRPr="00CC5639">
        <w:t xml:space="preserve"> percentiles.</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FB1300" w:rsidRPr="00CC5639" w14:paraId="3E82BCF0" w14:textId="77777777" w:rsidTr="00460C69">
        <w:trPr>
          <w:cantSplit/>
          <w:trHeight w:val="20"/>
        </w:trPr>
        <w:tc>
          <w:tcPr>
            <w:tcW w:w="8505" w:type="dxa"/>
            <w:shd w:val="clear" w:color="auto" w:fill="auto"/>
          </w:tcPr>
          <w:p w14:paraId="4E2D64D9" w14:textId="77777777" w:rsidR="00FB1300" w:rsidRPr="00CC5639" w:rsidRDefault="00FB1300" w:rsidP="00460C69">
            <w:pPr>
              <w:pStyle w:val="SlimCell"/>
              <w:keepNext/>
            </w:pPr>
            <w:r w:rsidRPr="00CC5639">
              <w:lastRenderedPageBreak/>
              <w:fldChar w:fldCharType="begin"/>
            </w:r>
            <w:r w:rsidRPr="009F3ED8">
              <w:instrText xml:space="preserve"> TC "</w:instrText>
            </w:r>
            <w:bookmarkStart w:id="293" w:name="_Toc511664600"/>
            <w:r w:rsidRPr="009F3ED8">
              <w:instrText>II.AIII.2.</w:instrText>
            </w:r>
            <w:r w:rsidRPr="009F3ED8">
              <w:tab/>
              <w:instrText>Data sources for the health care sector-specific indexation components</w:instrText>
            </w:r>
            <w:bookmarkEnd w:id="293"/>
            <w:r w:rsidRPr="009F3ED8">
              <w:instrText xml:space="preserve">" \ftable \l 5 </w:instrText>
            </w:r>
            <w:r w:rsidRPr="00CC5639">
              <w:fldChar w:fldCharType="end"/>
            </w:r>
          </w:p>
        </w:tc>
      </w:tr>
      <w:tr w:rsidR="00FB1300" w:rsidRPr="00CC5639" w14:paraId="165E7CF2" w14:textId="77777777" w:rsidTr="00460C69">
        <w:trPr>
          <w:cantSplit/>
        </w:trPr>
        <w:tc>
          <w:tcPr>
            <w:tcW w:w="8505" w:type="dxa"/>
            <w:shd w:val="clear" w:color="auto" w:fill="auto"/>
          </w:tcPr>
          <w:p w14:paraId="38971070" w14:textId="77777777" w:rsidR="00FB1300" w:rsidRPr="00CC5639" w:rsidRDefault="00FB1300" w:rsidP="00460C69">
            <w:pPr>
              <w:pStyle w:val="TableTitle"/>
              <w:rPr>
                <w:b/>
              </w:rPr>
            </w:pPr>
            <w:r w:rsidRPr="00CC5639">
              <w:t>Table II.AIII.2:</w:t>
            </w:r>
            <w:r w:rsidRPr="00CC5639">
              <w:rPr>
                <w:b/>
              </w:rPr>
              <w:tab/>
              <w:t>Data sources for the health care sector-specific indexation components</w:t>
            </w:r>
          </w:p>
        </w:tc>
      </w:tr>
      <w:tr w:rsidR="00FB1300" w:rsidRPr="00CC5639" w14:paraId="167EA2AD" w14:textId="77777777" w:rsidTr="00460C69">
        <w:trPr>
          <w:cantSplit/>
        </w:trPr>
        <w:tc>
          <w:tcPr>
            <w:tcW w:w="8505" w:type="dxa"/>
            <w:shd w:val="clear" w:color="auto" w:fill="auto"/>
          </w:tcPr>
          <w:p w14:paraId="41EC04BD" w14:textId="77777777" w:rsidR="00FB1300" w:rsidRPr="00CC5639" w:rsidRDefault="00FB1300" w:rsidP="00460C69">
            <w:pPr>
              <w:pStyle w:val="TableShape"/>
              <w:rPr>
                <w:sz w:val="2"/>
              </w:rPr>
            </w:pPr>
            <w:r w:rsidRPr="00CC5639">
              <w:rPr>
                <w:noProof/>
                <w:sz w:val="2"/>
                <w:lang w:val="hr-HR" w:eastAsia="hr-HR"/>
              </w:rPr>
              <w:drawing>
                <wp:inline distT="0" distB="0" distL="0" distR="0" wp14:anchorId="70FD6FB8" wp14:editId="45B3D99C">
                  <wp:extent cx="5400929" cy="2821191"/>
                  <wp:effectExtent l="0" t="0" r="0" b="0"/>
                  <wp:docPr id="829" name="Picture 829" descr="&lt;nbr&gt;&lt;GETTEXTFROMWORD&gt;&lt;/nbr&gt;&#10;&lt;title&gt;&lt;GETTEXTFROMWORD&gt;&lt;/title&gt;&#10;&lt;id&gt;2b1e9b4a-73da-4b8b-9f66-e8e5f4082d85&lt;/id&gt;&#10;&lt;srcType&gt;EXCEL&lt;/srcType&gt;&#10;&lt;srcPath&gt;U:\Budgetary projections 2018\Reports\2018 AR\Tables_and_graphs\Part II Annex 3\&lt;/srcPath&gt;&#10;&lt;srcName&gt;Sector specific scenario Annex 3 table.xlsx&lt;/srcName&gt;&#10;&lt;type&gt;table&lt;/type&gt;&#10; &lt;srcSheet&gt;Table Annex 3&lt;/srcSheet&gt;&#10; &lt;srcRange&gt;R2C2:R8C9&lt;/srcRange&gt;&#10;&lt;pos&gt;top&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2-09T11:53:45&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400929" cy="2821191"/>
                          </a:xfrm>
                          <a:prstGeom prst="rect">
                            <a:avLst/>
                          </a:prstGeom>
                          <a:noFill/>
                          <a:ln>
                            <a:noFill/>
                          </a:ln>
                        </pic:spPr>
                      </pic:pic>
                    </a:graphicData>
                  </a:graphic>
                </wp:inline>
              </w:drawing>
            </w:r>
          </w:p>
        </w:tc>
      </w:tr>
      <w:tr w:rsidR="00FB1300" w:rsidRPr="00CC5639" w14:paraId="5D2F73FB" w14:textId="77777777" w:rsidTr="00460C69">
        <w:trPr>
          <w:cantSplit/>
        </w:trPr>
        <w:tc>
          <w:tcPr>
            <w:tcW w:w="8505" w:type="dxa"/>
            <w:shd w:val="clear" w:color="auto" w:fill="auto"/>
          </w:tcPr>
          <w:p w14:paraId="13337C6D" w14:textId="77777777" w:rsidR="00FB1300" w:rsidRDefault="00FB1300" w:rsidP="00460C69">
            <w:pPr>
              <w:pStyle w:val="TableFootnote"/>
            </w:pPr>
            <w:r>
              <w:t>Notes: (1) COFOG categories from the GF07 "Health" function in correspondence with the respective SHA 2011 functions are used for building the 10-year time series for the six components (2006-2015). (2) The relative average growth rates are calculated as a ratio of the average annual growth rates to the average GDP per capita growth rates.</w:t>
            </w:r>
          </w:p>
          <w:p w14:paraId="39391034" w14:textId="77777777" w:rsidR="00FB1300" w:rsidRPr="00CC5639" w:rsidRDefault="00FB1300" w:rsidP="00460C69">
            <w:pPr>
              <w:pStyle w:val="TableSource"/>
            </w:pPr>
            <w:r w:rsidRPr="00CC5639">
              <w:rPr>
                <w:b/>
                <w:i/>
              </w:rPr>
              <w:t>Source:</w:t>
            </w:r>
            <w:r w:rsidRPr="00CC5639">
              <w:t xml:space="preserve"> Commission services.</w:t>
            </w:r>
          </w:p>
        </w:tc>
      </w:tr>
      <w:tr w:rsidR="00FB1300" w:rsidRPr="00CC5639" w14:paraId="790A1FCA" w14:textId="77777777" w:rsidTr="00460C69">
        <w:trPr>
          <w:cantSplit/>
          <w:trHeight w:val="20"/>
        </w:trPr>
        <w:tc>
          <w:tcPr>
            <w:tcW w:w="8505" w:type="dxa"/>
            <w:shd w:val="clear" w:color="auto" w:fill="auto"/>
          </w:tcPr>
          <w:p w14:paraId="00813CE7" w14:textId="77777777" w:rsidR="00FB1300" w:rsidRPr="00CC5639" w:rsidRDefault="00FB1300" w:rsidP="00460C69">
            <w:pPr>
              <w:pStyle w:val="SlimCell"/>
            </w:pPr>
          </w:p>
        </w:tc>
      </w:tr>
      <w:bookmarkEnd w:id="288"/>
    </w:tbl>
    <w:p w14:paraId="1472793B" w14:textId="77777777" w:rsidR="00FB1300" w:rsidRPr="00FB1300" w:rsidRDefault="00FB1300" w:rsidP="00460C69">
      <w:pPr>
        <w:sectPr w:rsidR="00FB1300" w:rsidRPr="00FB1300" w:rsidSect="00FB1300">
          <w:headerReference w:type="even" r:id="rId321"/>
          <w:headerReference w:type="default" r:id="rId322"/>
          <w:footerReference w:type="even" r:id="rId323"/>
          <w:footerReference w:type="default" r:id="rId324"/>
          <w:headerReference w:type="first" r:id="rId325"/>
          <w:footerReference w:type="first" r:id="rId326"/>
          <w:endnotePr>
            <w:numFmt w:val="decimal"/>
          </w:endnotePr>
          <w:pgSz w:w="11907" w:h="16839"/>
          <w:pgMar w:top="2693" w:right="1701" w:bottom="1417" w:left="1701" w:header="709" w:footer="1191" w:gutter="0"/>
          <w:cols w:num="2" w:space="283"/>
          <w:titlePg/>
          <w:docGrid w:linePitch="360"/>
        </w:sectPr>
      </w:pPr>
    </w:p>
    <w:bookmarkStart w:id="294" w:name="GUIDCF133F39EA064626988B60DF5E9E70E0"/>
    <w:bookmarkEnd w:id="290"/>
    <w:bookmarkEnd w:id="291"/>
    <w:p w14:paraId="06A17A38" w14:textId="77777777" w:rsidR="00223A02" w:rsidRPr="009F3ED8" w:rsidRDefault="00223A02" w:rsidP="00460C69">
      <w:pPr>
        <w:pStyle w:val="EPKitTCFrame"/>
      </w:pPr>
      <w:r w:rsidRPr="009F3ED8">
        <w:lastRenderedPageBreak/>
        <w:fldChar w:fldCharType="begin"/>
      </w:r>
      <w:r w:rsidRPr="009F3ED8">
        <w:rPr>
          <w:vanish w:val="0"/>
        </w:rPr>
        <w:instrText xml:space="preserve"> TC "</w:instrText>
      </w:r>
      <w:bookmarkStart w:id="295" w:name="_Toc511664463"/>
      <w:r w:rsidRPr="009F3ED8">
        <w:rPr>
          <w:vanish w:val="0"/>
        </w:rPr>
        <w:instrText>AIV.</w:instrText>
      </w:r>
      <w:r w:rsidRPr="009F3ED8">
        <w:rPr>
          <w:vanish w:val="0"/>
        </w:rPr>
        <w:tab/>
        <w:instrText>Input data used and long-term care expenditure</w:instrText>
      </w:r>
      <w:bookmarkEnd w:id="295"/>
      <w:r w:rsidRPr="009F3ED8">
        <w:rPr>
          <w:vanish w:val="0"/>
        </w:rPr>
        <w:instrText xml:space="preserve">" \f \l 2 </w:instrText>
      </w:r>
      <w:r w:rsidRPr="009F3ED8">
        <w:fldChar w:fldCharType="end"/>
      </w:r>
    </w:p>
    <w:p w14:paraId="7BDA6924" w14:textId="77777777" w:rsidR="00223A02" w:rsidRPr="0091483C" w:rsidRDefault="00223A02" w:rsidP="00460C69">
      <w:r w:rsidRPr="0091483C">
        <w:t>The most important data required to successfully run this projection exercise in the field of LTC include:</w:t>
      </w:r>
    </w:p>
    <w:p w14:paraId="05009021" w14:textId="77777777" w:rsidR="00223A02" w:rsidRPr="0091483C" w:rsidRDefault="00223A02" w:rsidP="00223A02">
      <w:pPr>
        <w:pStyle w:val="Grafikeoznake"/>
        <w:numPr>
          <w:ilvl w:val="0"/>
          <w:numId w:val="1"/>
        </w:numPr>
      </w:pPr>
      <w:r w:rsidRPr="0091483C">
        <w:t>public expenditure on LTC;</w:t>
      </w:r>
    </w:p>
    <w:p w14:paraId="01A5F3D2" w14:textId="77777777" w:rsidR="00223A02" w:rsidRPr="0091483C" w:rsidRDefault="00223A02" w:rsidP="00223A02">
      <w:pPr>
        <w:pStyle w:val="Grafikeoznake"/>
        <w:numPr>
          <w:ilvl w:val="0"/>
          <w:numId w:val="1"/>
        </w:numPr>
      </w:pPr>
      <w:r w:rsidRPr="0091483C">
        <w:t>per user (also called beneficiary or recipient) public expenditure on LTC by gender and single age or five-year age cohorts (so-called "age-related expenditure profiles");</w:t>
      </w:r>
    </w:p>
    <w:p w14:paraId="56876ABF" w14:textId="77777777" w:rsidR="00223A02" w:rsidRPr="0091483C" w:rsidRDefault="00223A02" w:rsidP="00223A02">
      <w:pPr>
        <w:pStyle w:val="Grafikeoznake"/>
        <w:numPr>
          <w:ilvl w:val="0"/>
          <w:numId w:val="1"/>
        </w:numPr>
      </w:pPr>
      <w:r w:rsidRPr="0091483C">
        <w:t>disaggregation of total public spending on LTC into spending on services in kind and spending on cash benefits for LTC, by gender and single age or five-year age cohorts;</w:t>
      </w:r>
    </w:p>
    <w:p w14:paraId="241708B7" w14:textId="77777777" w:rsidR="00223A02" w:rsidRPr="0091483C" w:rsidRDefault="00223A02" w:rsidP="00223A02">
      <w:pPr>
        <w:pStyle w:val="Grafikeoznake"/>
        <w:numPr>
          <w:ilvl w:val="0"/>
          <w:numId w:val="1"/>
        </w:numPr>
      </w:pPr>
      <w:r w:rsidRPr="0091483C">
        <w:t>disaggregation of total public spending on services in kind into spending on services provided in the institutions and services provided at home, by gender and single age or five-year age cohorts;</w:t>
      </w:r>
    </w:p>
    <w:p w14:paraId="22B625EE" w14:textId="77777777" w:rsidR="00223A02" w:rsidRPr="0091483C" w:rsidRDefault="00223A02" w:rsidP="00223A02">
      <w:pPr>
        <w:pStyle w:val="Grafikeoznake"/>
        <w:numPr>
          <w:ilvl w:val="0"/>
          <w:numId w:val="1"/>
        </w:numPr>
      </w:pPr>
      <w:r w:rsidRPr="0091483C">
        <w:t>number of beneficiaries of LTC services provided a) at home and b) in institutions, and recipients of cash benefits for LTC, by gender and single age or five-year age cohorts;</w:t>
      </w:r>
    </w:p>
    <w:p w14:paraId="40D9DFF2" w14:textId="77777777" w:rsidR="00223A02" w:rsidRPr="0091483C" w:rsidRDefault="00223A02" w:rsidP="00223A02">
      <w:pPr>
        <w:pStyle w:val="Grafikeoznake"/>
        <w:numPr>
          <w:ilvl w:val="0"/>
          <w:numId w:val="1"/>
        </w:numPr>
      </w:pPr>
      <w:r w:rsidRPr="0091483C">
        <w:t>information on the possible overlapping between the recipients of cash benefits related to LTC and the recipients of LTC services (legal possibility and numbers);</w:t>
      </w:r>
    </w:p>
    <w:p w14:paraId="01712182" w14:textId="77777777" w:rsidR="00223A02" w:rsidRPr="0091483C" w:rsidRDefault="00223A02" w:rsidP="00223A02">
      <w:pPr>
        <w:pStyle w:val="Grafikeoznake"/>
        <w:numPr>
          <w:ilvl w:val="0"/>
          <w:numId w:val="1"/>
        </w:numPr>
      </w:pPr>
      <w:r w:rsidRPr="0091483C">
        <w:t>EU-SILC dependency rates by gender and five-year age cohorts (as a measure of demand for LTC);</w:t>
      </w:r>
    </w:p>
    <w:p w14:paraId="6C1F1C7D" w14:textId="77777777" w:rsidR="00223A02" w:rsidRPr="0091483C" w:rsidRDefault="00223A02" w:rsidP="00223A02">
      <w:pPr>
        <w:pStyle w:val="Grafikeoznake"/>
        <w:numPr>
          <w:ilvl w:val="0"/>
          <w:numId w:val="1"/>
        </w:numPr>
      </w:pPr>
      <w:r w:rsidRPr="0091483C">
        <w:t xml:space="preserve">Policy reforms in the LTC area. </w:t>
      </w:r>
    </w:p>
    <w:p w14:paraId="0094E452" w14:textId="77777777" w:rsidR="00223A02" w:rsidRPr="0091483C" w:rsidRDefault="00223A02" w:rsidP="00460C69">
      <w:r w:rsidRPr="0091483C">
        <w:t xml:space="preserve">The EU Member States and Norway were invited to complete the data questionnaire. Outstanding issues were discussed with the Commission on a bilateral basis. Table </w:t>
      </w:r>
      <w:r w:rsidRPr="0091483C">
        <w:fldChar w:fldCharType="begin"/>
      </w:r>
      <w:r w:rsidRPr="0091483C">
        <w:instrText xml:space="preserve"> QUOTE "II.AIV.2"</w:instrText>
      </w:r>
      <w:r w:rsidRPr="0091483C">
        <w:fldChar w:fldCharType="begin">
          <w:fldData xml:space="preserve">QwBSAE8AUwBTAFIARQBGAEUAUgBFAE4AQwBFACoAVABBAEIATABFACoANAA5AGQAYgA1ADEAZgA1
AC0AMAAzADcANgAtADQAMgAzADcALQBhADEANQA3AC0AMgAwADkAYQA3AGQAMwBmADIAZAAyAGYA
</w:fldData>
        </w:fldChar>
      </w:r>
      <w:r w:rsidRPr="0091483C">
        <w:instrText xml:space="preserve"> ADDIN </w:instrText>
      </w:r>
      <w:r w:rsidRPr="0091483C">
        <w:fldChar w:fldCharType="end"/>
      </w:r>
      <w:r w:rsidRPr="0091483C">
        <w:instrText xml:space="preserve"> </w:instrText>
      </w:r>
      <w:r w:rsidRPr="0091483C">
        <w:fldChar w:fldCharType="separate"/>
      </w:r>
      <w:r w:rsidR="009F3ED8" w:rsidRPr="0091483C">
        <w:t>II.AIV.2</w:t>
      </w:r>
      <w:r w:rsidRPr="0091483C">
        <w:fldChar w:fldCharType="end"/>
      </w:r>
      <w:r w:rsidRPr="0091483C">
        <w:t xml:space="preserve"> below presents an overview of the available data. It first shows the expenditure data sources for in-kind long-term care and cash benefits, as well as whether member states supplied quantified estimates of the effects of legislated reforms. It then shows whether cost-profiles by age of recipient were available, or whether, in their absence the profile of expenditure by age has been assumed to be in-line with other EU15 or NMS Member States. The table shows how data has been used according to availability. </w:t>
      </w:r>
      <w:r w:rsidRPr="0091483C">
        <w:lastRenderedPageBreak/>
        <w:t>Next, it describes the availability of expenditure and recipient data for home care, institutional care and cash benefits. Finally, the availability of cost-profiles in the Ageing Reports 2018 and 2015 is reported.</w:t>
      </w:r>
    </w:p>
    <w:p w14:paraId="6B07D502" w14:textId="77777777" w:rsidR="00223A02" w:rsidRPr="0091483C" w:rsidRDefault="00223A02" w:rsidP="00460C69">
      <w:r w:rsidRPr="0091483C">
        <w:t xml:space="preserve">It is useful to recall that the AWG has decided to define viable solutions for important data limitations regarding reporting of LTC expenditure. This concerns both in-kind and cash benefit expenditure. Many countries using SHA accounting do not report expenditure on social services of LTC, which may lead to underreporting of expenditure. Second, the split of LTC public expenditure into institutional care, home care and cash benefits is not available in SHA data. The AWG agreed thus, to preserve the accounting methodology from the 2015 Ageing Report, (updated to take into account the move from the old SHA 1.0 data standard to the new SHA 2011source) which combines SHA with ESSPROS databases, to use ESSPROS and national data on a bilateral basis to split the expenditure across types of care and to effectively eliminate any issues of double-counting of expenditure, which may arise in this case (Table </w:t>
      </w:r>
      <w:r w:rsidRPr="0091483C">
        <w:fldChar w:fldCharType="begin"/>
      </w:r>
      <w:r w:rsidRPr="0091483C">
        <w:instrText xml:space="preserve"> QUOTE "II.AIV.1"</w:instrText>
      </w:r>
      <w:r w:rsidRPr="0091483C">
        <w:fldChar w:fldCharType="begin">
          <w:fldData xml:space="preserve">QwBSAE8AUwBTAFIARQBGAEUAUgBFAE4AQwBFACoAVABBAEIATABFACoANQA1ADAANQAwADIAMAAy
AC0AYwBjAGQAMAAtADQAMABjAGQALQBiAGYAZAA2AC0AZQAyAGIANQA4ADgANQBmAGMAYgA2ADkA
</w:fldData>
        </w:fldChar>
      </w:r>
      <w:r w:rsidRPr="0091483C">
        <w:instrText xml:space="preserve"> ADDIN </w:instrText>
      </w:r>
      <w:r w:rsidRPr="0091483C">
        <w:fldChar w:fldCharType="end"/>
      </w:r>
      <w:r w:rsidRPr="0091483C">
        <w:instrText xml:space="preserve"> </w:instrText>
      </w:r>
      <w:r w:rsidRPr="0091483C">
        <w:fldChar w:fldCharType="separate"/>
      </w:r>
      <w:r w:rsidR="009F3ED8" w:rsidRPr="0091483C">
        <w:t>II.AIV.1</w:t>
      </w:r>
      <w:r w:rsidRPr="0091483C">
        <w:fldChar w:fldCharType="end"/>
      </w:r>
      <w:r w:rsidRPr="0091483C">
        <w:t>)</w:t>
      </w:r>
    </w:p>
    <w:p w14:paraId="2683A8E9" w14:textId="77777777" w:rsidR="00223A02" w:rsidRPr="0091483C" w:rsidRDefault="00223A02" w:rsidP="00460C69">
      <w:r w:rsidRPr="0091483C">
        <w:t xml:space="preserve">As a result of this accounting exercise, the reported levels of spending may deviate from those reported by international data, such as EUROSTAT or OECD. The resulting spending levels are depicted by the source of expenditure in Table </w:t>
      </w:r>
      <w:r w:rsidRPr="0091483C">
        <w:fldChar w:fldCharType="begin"/>
      </w:r>
      <w:r w:rsidRPr="0091483C">
        <w:instrText xml:space="preserve"> QUOTE "II.AIV.3"</w:instrText>
      </w:r>
      <w:r w:rsidRPr="0091483C">
        <w:fldChar w:fldCharType="begin">
          <w:fldData xml:space="preserve">QwBSAE8AUwBTAFIARQBGAEUAUgBFAE4AQwBFACoAVABBAEIATABFACoAMQAzAGUAYwAwAGMANwAx
AC0AZgA1AGIAZgAtADQAMgBhAGYALQBiAGMAZABiAC0ANwBmADgANQBhADgAMQBiADkAMgA2ADYA
</w:fldData>
        </w:fldChar>
      </w:r>
      <w:r w:rsidRPr="0091483C">
        <w:instrText xml:space="preserve"> ADDIN </w:instrText>
      </w:r>
      <w:r w:rsidRPr="0091483C">
        <w:fldChar w:fldCharType="end"/>
      </w:r>
      <w:r w:rsidRPr="0091483C">
        <w:instrText xml:space="preserve"> </w:instrText>
      </w:r>
      <w:r w:rsidRPr="0091483C">
        <w:fldChar w:fldCharType="separate"/>
      </w:r>
      <w:r w:rsidR="009F3ED8" w:rsidRPr="0091483C">
        <w:t>II.AIV.3</w:t>
      </w:r>
      <w:r w:rsidRPr="0091483C">
        <w:fldChar w:fldCharType="end"/>
      </w:r>
      <w:r w:rsidRPr="0091483C">
        <w:t>.</w:t>
      </w:r>
    </w:p>
    <w:p w14:paraId="23F3C957" w14:textId="77777777" w:rsidR="00223A02" w:rsidRPr="0091483C" w:rsidRDefault="00223A02" w:rsidP="00460C69">
      <w:r w:rsidRPr="0091483C">
        <w:t xml:space="preserve">All countries based their questionnaires primarily on SHA data, while 14 countries used ESSPROS data to provide the LTC social data missing in SHA 2011. 23 country-specific age-cost profiles were agreed upon for usage, one more than in 2015. In addition, 6 countries provided information regarding the budgetary effects of policy reforms on public long-term care spending. </w:t>
      </w:r>
    </w:p>
    <w:p w14:paraId="5A7FC826" w14:textId="77777777" w:rsidR="00223A02" w:rsidRPr="0091483C" w:rsidRDefault="00223A02" w:rsidP="00460C69">
      <w:r w:rsidRPr="0091483C">
        <w:t xml:space="preserve">As Table </w:t>
      </w:r>
      <w:r w:rsidRPr="0091483C">
        <w:fldChar w:fldCharType="begin"/>
      </w:r>
      <w:r w:rsidRPr="0091483C">
        <w:instrText xml:space="preserve"> QUOTE "II.AIV.2"</w:instrText>
      </w:r>
      <w:r w:rsidRPr="0091483C">
        <w:fldChar w:fldCharType="begin">
          <w:fldData xml:space="preserve">QwBSAE8AUwBTAFIARQBGAEUAUgBFAE4AQwBFACoAVABBAEIATABFACoANAA5AGQAYgA1ADEAZgA1
AC0AMAAzADcANgAtADQAMgAzADcALQBhADEANQA3AC0AMgAwADkAYQA3AGQAMwBmADIAZAAyAGYA
</w:fldData>
        </w:fldChar>
      </w:r>
      <w:r w:rsidRPr="0091483C">
        <w:instrText xml:space="preserve"> ADDIN </w:instrText>
      </w:r>
      <w:r w:rsidRPr="0091483C">
        <w:fldChar w:fldCharType="end"/>
      </w:r>
      <w:r w:rsidRPr="0091483C">
        <w:instrText xml:space="preserve"> </w:instrText>
      </w:r>
      <w:r w:rsidRPr="0091483C">
        <w:fldChar w:fldCharType="separate"/>
      </w:r>
      <w:r w:rsidR="009F3ED8" w:rsidRPr="0091483C">
        <w:t>II.AIV.2</w:t>
      </w:r>
      <w:r w:rsidRPr="0091483C">
        <w:fldChar w:fldCharType="end"/>
      </w:r>
      <w:r w:rsidRPr="0091483C">
        <w:t xml:space="preserve"> shows, only a few countries have provided the full data necessary to run the projection exercise. The close links between health care and long-term care make it difficult to separate the two types of services as well as the two strands of expenditure and recipients. Additionally, the provision and financing of LTC has traditionally been fragmented, which leads to difficulties in compiling data that includes all aspects of expenditure and recipients of all services. As a result, only 18 countries out of 28 </w:t>
      </w:r>
      <w:r w:rsidRPr="0091483C">
        <w:lastRenderedPageBreak/>
        <w:fldChar w:fldCharType="begin"/>
      </w:r>
      <w:r w:rsidRPr="009F3ED8">
        <w:instrText xml:space="preserve"> TC "</w:instrText>
      </w:r>
      <w:bookmarkStart w:id="296" w:name="_Toc511664601"/>
      <w:r w:rsidRPr="009F3ED8">
        <w:instrText>II.AIV.1.</w:instrText>
      </w:r>
      <w:r w:rsidRPr="009F3ED8">
        <w:tab/>
        <w:instrText>Combinations of data sources for estimating long-term care expenditure</w:instrText>
      </w:r>
      <w:bookmarkEnd w:id="296"/>
      <w:r w:rsidRPr="009F3ED8">
        <w:instrText xml:space="preserve">" \ftable \l 2 </w:instrText>
      </w:r>
      <w:r w:rsidRPr="0091483C">
        <w:fldChar w:fldCharType="end"/>
      </w:r>
      <w:r w:rsidRPr="0091483C">
        <w:t>have information on the number of recipients and expenditure for each type of care. However, having data for every type of benefits does not necessarily mean that the authorities are aware of overlaps across benefits. It should be noted that only 7 countries out of 28 have reported overlaps in expenditure across between in-kind and cash benefits, whereas, if we look at the characteristics of EU LTC systems, it is very likely that overlaps may be greater, since cash and in-kind benefits are often aimed at the same recipients (</w:t>
      </w:r>
      <w:r w:rsidRPr="0091483C">
        <w:rPr>
          <w:rStyle w:val="Referencafusnote"/>
        </w:rPr>
        <w:footnoteReference w:id="145"/>
      </w:r>
      <w:r w:rsidRPr="0091483C">
        <w:t>).</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223A02" w:rsidRPr="0091483C" w14:paraId="515FF181" w14:textId="77777777" w:rsidTr="00460C69">
        <w:trPr>
          <w:cantSplit/>
          <w:trHeight w:val="20"/>
        </w:trPr>
        <w:tc>
          <w:tcPr>
            <w:tcW w:w="8505" w:type="dxa"/>
            <w:shd w:val="clear" w:color="auto" w:fill="auto"/>
          </w:tcPr>
          <w:p w14:paraId="732E46D3" w14:textId="77777777" w:rsidR="00223A02" w:rsidRPr="0091483C" w:rsidRDefault="00223A02" w:rsidP="00460C69">
            <w:pPr>
              <w:pStyle w:val="SlimCell"/>
              <w:keepNext/>
            </w:pPr>
          </w:p>
        </w:tc>
      </w:tr>
      <w:tr w:rsidR="00223A02" w:rsidRPr="0091483C" w14:paraId="47C21979" w14:textId="77777777" w:rsidTr="00460C69">
        <w:trPr>
          <w:cantSplit/>
        </w:trPr>
        <w:tc>
          <w:tcPr>
            <w:tcW w:w="8505" w:type="dxa"/>
            <w:shd w:val="clear" w:color="auto" w:fill="auto"/>
          </w:tcPr>
          <w:p w14:paraId="68C0CE95" w14:textId="77777777" w:rsidR="00223A02" w:rsidRPr="0091483C" w:rsidRDefault="00223A02" w:rsidP="00460C69">
            <w:pPr>
              <w:pStyle w:val="TableTitle"/>
              <w:rPr>
                <w:b/>
              </w:rPr>
            </w:pPr>
            <w:r w:rsidRPr="0091483C">
              <w:t>Table II.AIV.1:</w:t>
            </w:r>
            <w:r w:rsidRPr="0091483C">
              <w:rPr>
                <w:b/>
              </w:rPr>
              <w:tab/>
              <w:t>Combinations of data sources for estimating long-term care expenditure</w:t>
            </w:r>
          </w:p>
        </w:tc>
      </w:tr>
      <w:tr w:rsidR="00223A02" w:rsidRPr="0091483C" w14:paraId="59107936" w14:textId="77777777" w:rsidTr="00460C69">
        <w:trPr>
          <w:cantSplit/>
        </w:trPr>
        <w:tc>
          <w:tcPr>
            <w:tcW w:w="8505" w:type="dxa"/>
            <w:shd w:val="clear" w:color="auto" w:fill="auto"/>
          </w:tcPr>
          <w:p w14:paraId="7C580DA5" w14:textId="77777777" w:rsidR="00223A02" w:rsidRPr="0091483C" w:rsidRDefault="00223A02" w:rsidP="00460C69">
            <w:pPr>
              <w:pStyle w:val="TableShape"/>
              <w:rPr>
                <w:sz w:val="2"/>
              </w:rPr>
            </w:pPr>
            <w:r w:rsidRPr="0091483C">
              <w:rPr>
                <w:noProof/>
                <w:sz w:val="2"/>
                <w:lang w:val="hr-HR" w:eastAsia="hr-HR"/>
              </w:rPr>
              <w:drawing>
                <wp:inline distT="0" distB="0" distL="0" distR="0" wp14:anchorId="1FB00194" wp14:editId="3E393E51">
                  <wp:extent cx="5400929" cy="5966106"/>
                  <wp:effectExtent l="0" t="0" r="0" b="0"/>
                  <wp:docPr id="1051" name="Picture 1051" descr="&lt;nbr&gt;&lt;GETTEXTFROMWORD&gt;&lt;/nbr&gt;&#10;&lt;title&gt;&lt;GETTEXTFROMWORD&gt;&lt;/title&gt;&#10;&lt;id&gt;55050202-ccd0-40cd-bfd6-e2b5885fcb69&lt;/id&gt;&#10;&lt;srcType&gt;IMAGE&lt;/srcType&gt;&#10;&lt;srcPath&gt;U:\Budgetary projections 2018\Reports\2018 AR\Tables_and_graphs\Part II Annex 4\&lt;/srcPath&gt;&#10;&lt;srcName&gt;Table II.A4.1.tif&lt;/srcName&gt;&#10;&lt;type&gt;table&lt;/type&gt;&#10;&lt;pos&gt;top&lt;/pos&gt;&#10;&lt;numbering&gt;internal&lt;/numbering&gt;&#10;&lt;manNumb&gt;no&lt;/manNumb&gt;&#10; &lt;insFtn&gt;no&lt;/insFtn&gt;&#10; &lt;insSrc&gt;yes&lt;/insSrc&gt;&#10; &lt;shpSrc&gt;&lt;GETTEXTFROMWORD&gt;&lt;/shpSrc&gt;&#10;&lt;multi&gt;no&lt;/multi&gt;&#10;&lt;statAnn&gt;no&lt;/statAnn&gt;&#10;&lt;float&gt;yes&lt;/float&gt;&#10;&lt;bottomShapePageNumber&gt;-1&lt;/bottomShapePageNumber&gt;&#10;&lt;version&gt;2&lt;/version&gt;&#10;&lt;scrFileTime&gt;2018-03-06T17:33:59&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5400929" cy="5966106"/>
                          </a:xfrm>
                          <a:prstGeom prst="rect">
                            <a:avLst/>
                          </a:prstGeom>
                          <a:noFill/>
                          <a:ln>
                            <a:noFill/>
                          </a:ln>
                        </pic:spPr>
                      </pic:pic>
                    </a:graphicData>
                  </a:graphic>
                </wp:inline>
              </w:drawing>
            </w:r>
          </w:p>
        </w:tc>
      </w:tr>
      <w:tr w:rsidR="00223A02" w:rsidRPr="0091483C" w14:paraId="6EA3C711" w14:textId="77777777" w:rsidTr="00460C69">
        <w:trPr>
          <w:cantSplit/>
        </w:trPr>
        <w:tc>
          <w:tcPr>
            <w:tcW w:w="8505" w:type="dxa"/>
            <w:shd w:val="clear" w:color="auto" w:fill="auto"/>
          </w:tcPr>
          <w:p w14:paraId="6806F9A3" w14:textId="77777777" w:rsidR="00223A02" w:rsidRPr="0091483C" w:rsidRDefault="00223A02" w:rsidP="00460C69">
            <w:pPr>
              <w:pStyle w:val="TableSource"/>
            </w:pPr>
            <w:r w:rsidRPr="0091483C">
              <w:rPr>
                <w:b/>
                <w:i/>
              </w:rPr>
              <w:t>Source:</w:t>
            </w:r>
            <w:r w:rsidRPr="0091483C">
              <w:t xml:space="preserve"> European Commission, EPC,</w:t>
            </w:r>
          </w:p>
        </w:tc>
      </w:tr>
      <w:tr w:rsidR="00223A02" w:rsidRPr="0091483C" w14:paraId="7D1A57DD" w14:textId="77777777" w:rsidTr="00460C69">
        <w:trPr>
          <w:cantSplit/>
          <w:trHeight w:val="20"/>
        </w:trPr>
        <w:tc>
          <w:tcPr>
            <w:tcW w:w="8505" w:type="dxa"/>
            <w:shd w:val="clear" w:color="auto" w:fill="auto"/>
          </w:tcPr>
          <w:p w14:paraId="1C18C3C0" w14:textId="77777777" w:rsidR="00223A02" w:rsidRPr="0091483C" w:rsidRDefault="00223A02" w:rsidP="00460C69">
            <w:pPr>
              <w:pStyle w:val="SlimCell"/>
            </w:pPr>
          </w:p>
        </w:tc>
      </w:tr>
    </w:tbl>
    <w:p w14:paraId="76A9C58C" w14:textId="77777777" w:rsidR="00223A02" w:rsidRPr="0091483C" w:rsidRDefault="00223A02" w:rsidP="00460C69">
      <w:pPr>
        <w:pStyle w:val="MultipageDelimiter"/>
      </w:pPr>
    </w:p>
    <w:tbl>
      <w:tblPr>
        <w:tblpPr w:horzAnchor="margin" w:tblpYSpec="top"/>
        <w:tblOverlap w:val="never"/>
        <w:tblW w:w="0" w:type="auto"/>
        <w:tblLayout w:type="fixed"/>
        <w:tblCellMar>
          <w:left w:w="0" w:type="dxa"/>
          <w:right w:w="0" w:type="dxa"/>
        </w:tblCellMar>
        <w:tblLook w:val="0000" w:firstRow="0" w:lastRow="0" w:firstColumn="0" w:lastColumn="0" w:noHBand="0" w:noVBand="0"/>
      </w:tblPr>
      <w:tblGrid>
        <w:gridCol w:w="20"/>
        <w:gridCol w:w="273"/>
        <w:gridCol w:w="7458"/>
        <w:gridCol w:w="273"/>
        <w:gridCol w:w="481"/>
      </w:tblGrid>
      <w:tr w:rsidR="00223A02" w:rsidRPr="0091483C" w14:paraId="6E473978" w14:textId="77777777" w:rsidTr="00460C69">
        <w:trPr>
          <w:cantSplit/>
          <w:trHeight w:val="12632"/>
        </w:trPr>
        <w:tc>
          <w:tcPr>
            <w:tcW w:w="6" w:type="dxa"/>
            <w:shd w:val="clear" w:color="auto" w:fill="auto"/>
            <w:textDirection w:val="btLr"/>
          </w:tcPr>
          <w:p w14:paraId="6A0C8D42" w14:textId="77777777" w:rsidR="00223A02" w:rsidRPr="0091483C" w:rsidRDefault="00223A02" w:rsidP="00460C69">
            <w:pPr>
              <w:pStyle w:val="SlimCell"/>
            </w:pPr>
            <w:r w:rsidRPr="0091483C">
              <w:lastRenderedPageBreak/>
              <w:fldChar w:fldCharType="begin"/>
            </w:r>
            <w:r w:rsidRPr="009F3ED8">
              <w:instrText xml:space="preserve"> TC "</w:instrText>
            </w:r>
            <w:bookmarkStart w:id="297" w:name="_Toc511664602"/>
            <w:r w:rsidRPr="009F3ED8">
              <w:instrText>II.AIV.2.</w:instrText>
            </w:r>
            <w:r w:rsidRPr="009F3ED8">
              <w:tab/>
              <w:instrText>Availability of input data for long-term care expenditure projections</w:instrText>
            </w:r>
            <w:bookmarkEnd w:id="297"/>
            <w:r w:rsidRPr="009F3ED8">
              <w:instrText xml:space="preserve">" \ftable \l 2 </w:instrText>
            </w:r>
            <w:r w:rsidRPr="0091483C">
              <w:fldChar w:fldCharType="end"/>
            </w:r>
          </w:p>
        </w:tc>
        <w:tc>
          <w:tcPr>
            <w:tcW w:w="273" w:type="dxa"/>
            <w:shd w:val="clear" w:color="auto" w:fill="auto"/>
            <w:textDirection w:val="btLr"/>
          </w:tcPr>
          <w:p w14:paraId="7E94117D" w14:textId="77777777" w:rsidR="00223A02" w:rsidRPr="0091483C" w:rsidRDefault="00223A02" w:rsidP="00460C69">
            <w:pPr>
              <w:pStyle w:val="TableTitle"/>
              <w:rPr>
                <w:b/>
              </w:rPr>
            </w:pPr>
            <w:r w:rsidRPr="0091483C">
              <w:t>Table II.AIV.2:</w:t>
            </w:r>
            <w:r w:rsidRPr="0091483C">
              <w:rPr>
                <w:b/>
              </w:rPr>
              <w:tab/>
              <w:t>Availability of input data for long-term care expenditure projections</w:t>
            </w:r>
          </w:p>
        </w:tc>
        <w:tc>
          <w:tcPr>
            <w:tcW w:w="7458" w:type="dxa"/>
            <w:shd w:val="clear" w:color="auto" w:fill="auto"/>
            <w:textDirection w:val="btLr"/>
          </w:tcPr>
          <w:p w14:paraId="116FD390" w14:textId="77777777" w:rsidR="00223A02" w:rsidRPr="0091483C" w:rsidRDefault="00223A02" w:rsidP="00460C69">
            <w:pPr>
              <w:pStyle w:val="TableShape"/>
              <w:jc w:val="right"/>
              <w:rPr>
                <w:sz w:val="2"/>
              </w:rPr>
            </w:pPr>
            <w:r w:rsidRPr="0091483C">
              <w:rPr>
                <w:noProof/>
                <w:sz w:val="2"/>
                <w:lang w:val="hr-HR" w:eastAsia="hr-HR"/>
              </w:rPr>
              <w:drawing>
                <wp:inline distT="0" distB="0" distL="0" distR="0" wp14:anchorId="35188211" wp14:editId="08429B73">
                  <wp:extent cx="7985515" cy="4724292"/>
                  <wp:effectExtent l="0" t="7620" r="8255" b="8255"/>
                  <wp:docPr id="1052" name="Picture 1052" descr="&lt;nbr&gt;&lt;GETTEXTFROMWORD&gt;&lt;/nbr&gt;&#10;&lt;title&gt;&lt;GETTEXTFROMWORD&gt;&lt;/title&gt;&#10;&lt;id&gt;49db51f5-0376-4237-a157-209a7d3f2d2f&lt;/id&gt;&#10;&lt;srcType&gt;EXCEL&lt;/srcType&gt;&#10;&lt;srcPath&gt;U:\Budgetary projections 2018\Reports\2018 AR\Tables_and_graphs\Part II Annex 4\&lt;/srcPath&gt;&#10;&lt;srcName&gt;Annex 4 Tables and Charts.xlsx&lt;/srcName&gt;&#10;&lt;type&gt;table&lt;/type&gt;&#10; &lt;srcSheet&gt;Table II.A4.2&lt;/srcSheet&gt;&#10; &lt;srcRange&gt;R3C1:R37C37&lt;/srcRange&gt;&#10;&lt;pos&gt;landscape&lt;/pos&gt;&#10;&lt;numbering&gt;internal&lt;/numbering&gt;&#10;&lt;manNumb&gt;no&lt;/manNumb&gt;&#10; &lt;insFtn&gt;no&lt;/insFtn&gt;&#10; &lt;insSrc&gt;yes&lt;/insSrc&gt;&#10; &lt;shpSrc&gt;&lt;GETTEXTFROMWORD&gt;&lt;/shpSrc&gt;&#10;&lt;multi&gt;no&lt;/multi&gt;&#10;&lt;statAnn&gt;no&lt;/statAnn&gt;&#10;&lt;float&gt;yes&lt;/float&gt;&#10;&lt;bottomShapePageNumber&gt;-1&lt;/bottomShapePageNumber&gt;&#10;&lt;version&gt;2&lt;/version&gt;&#10;&lt;scrFileTime&gt;2018-01-19T16:56:18&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rot="16200000">
                            <a:off x="0" y="0"/>
                            <a:ext cx="7985515" cy="4724292"/>
                          </a:xfrm>
                          <a:prstGeom prst="rect">
                            <a:avLst/>
                          </a:prstGeom>
                          <a:noFill/>
                          <a:ln>
                            <a:noFill/>
                          </a:ln>
                        </pic:spPr>
                      </pic:pic>
                    </a:graphicData>
                  </a:graphic>
                </wp:inline>
              </w:drawing>
            </w:r>
          </w:p>
        </w:tc>
        <w:tc>
          <w:tcPr>
            <w:tcW w:w="273" w:type="dxa"/>
            <w:shd w:val="clear" w:color="auto" w:fill="auto"/>
            <w:textDirection w:val="btLr"/>
          </w:tcPr>
          <w:p w14:paraId="0A13E533" w14:textId="77777777" w:rsidR="00223A02" w:rsidRPr="0091483C" w:rsidRDefault="00223A02" w:rsidP="00460C69">
            <w:pPr>
              <w:pStyle w:val="TableSource"/>
            </w:pPr>
            <w:r w:rsidRPr="0091483C">
              <w:rPr>
                <w:b/>
                <w:i/>
              </w:rPr>
              <w:t>Source:</w:t>
            </w:r>
            <w:r w:rsidRPr="0091483C">
              <w:t xml:space="preserve">  European Commission, EPC</w:t>
            </w:r>
          </w:p>
        </w:tc>
        <w:tc>
          <w:tcPr>
            <w:tcW w:w="481" w:type="dxa"/>
            <w:shd w:val="clear" w:color="auto" w:fill="auto"/>
            <w:textDirection w:val="btLr"/>
          </w:tcPr>
          <w:p w14:paraId="384C9D9C" w14:textId="77777777" w:rsidR="00223A02" w:rsidRPr="0091483C" w:rsidRDefault="00223A02" w:rsidP="00460C69">
            <w:pPr>
              <w:pStyle w:val="SlimCell"/>
            </w:pPr>
          </w:p>
        </w:tc>
      </w:tr>
    </w:tbl>
    <w:p w14:paraId="3D749B98" w14:textId="77777777" w:rsidR="00223A02" w:rsidRPr="0091483C" w:rsidRDefault="00223A02" w:rsidP="00460C69">
      <w:pPr>
        <w:pageBreakBefore/>
      </w:pPr>
      <w:r w:rsidRPr="0091483C">
        <w:lastRenderedPageBreak/>
        <w:fldChar w:fldCharType="begin"/>
      </w:r>
      <w:r w:rsidRPr="009F3ED8">
        <w:instrText xml:space="preserve"> TC "</w:instrText>
      </w:r>
      <w:bookmarkStart w:id="298" w:name="_Toc511664603"/>
      <w:r w:rsidRPr="009F3ED8">
        <w:instrText>II.AIV.3.</w:instrText>
      </w:r>
      <w:r w:rsidRPr="009F3ED8">
        <w:tab/>
        <w:instrText>Public expenditure on LTC on the basis of the SHA joint questionnaire with proxy for HC.R.1 from ESSPROS as a % of GDP (2015 or latest)</w:instrText>
      </w:r>
      <w:bookmarkEnd w:id="298"/>
      <w:r w:rsidRPr="009F3ED8">
        <w:instrText xml:space="preserve">" \ftable \l 2 </w:instrText>
      </w:r>
      <w:r w:rsidRPr="0091483C">
        <w:fldChar w:fldCharType="end"/>
      </w:r>
      <w:r w:rsidRPr="0091483C">
        <w:t>Missing data has been replaced in a number of ways. In particular:</w:t>
      </w:r>
    </w:p>
    <w:p w14:paraId="3D81D862" w14:textId="77777777" w:rsidR="00223A02" w:rsidRPr="0091483C" w:rsidRDefault="00223A02" w:rsidP="00460C69">
      <w:r w:rsidRPr="0091483C">
        <w:t>1.</w:t>
      </w:r>
      <w:r w:rsidRPr="0091483C">
        <w:tab/>
        <w:t>when the number of users of institutional and home care and the number of cash beneficiaries were not available by age and sex group but only in total, they have been computed by age and sex on the basis of the share of dependents (EU-SILC dependency rates) by respective age and sex group;</w:t>
      </w:r>
    </w:p>
    <w:p w14:paraId="3956E9FD" w14:textId="77777777" w:rsidR="00223A02" w:rsidRPr="0091483C" w:rsidRDefault="00223A02" w:rsidP="00460C69">
      <w:r w:rsidRPr="0091483C">
        <w:t>2.</w:t>
      </w:r>
      <w:r w:rsidRPr="0091483C">
        <w:tab/>
        <w:t>when a country provided the total number of users of home care by age and sex but only the total number of users of institutional care, the allocation of institutional care users to each age and sex group was done on the basis of the distribution of home care users;</w:t>
      </w:r>
    </w:p>
    <w:p w14:paraId="565B6633" w14:textId="77777777" w:rsidR="00223A02" w:rsidRPr="0091483C" w:rsidRDefault="00223A02" w:rsidP="00460C69">
      <w:r w:rsidRPr="0091483C">
        <w:t>3.</w:t>
      </w:r>
      <w:r w:rsidRPr="0091483C">
        <w:tab/>
        <w:t>missing LTC age-gender specific cost profiles have been replaced by the simple average of individual countries' LTC age-gender specific expenditure profiles expressed as % of GDP per capita and as calculated for either EU15 or NMS aggregates; the averages have been calculated using all available data;</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223A02" w:rsidRPr="0091483C" w14:paraId="61D57B57" w14:textId="77777777" w:rsidTr="00460C69">
        <w:trPr>
          <w:cantSplit/>
          <w:trHeight w:val="20"/>
        </w:trPr>
        <w:tc>
          <w:tcPr>
            <w:tcW w:w="8505" w:type="dxa"/>
            <w:shd w:val="clear" w:color="auto" w:fill="auto"/>
          </w:tcPr>
          <w:p w14:paraId="0B6CA3D3" w14:textId="77777777" w:rsidR="00223A02" w:rsidRPr="0091483C" w:rsidRDefault="00223A02" w:rsidP="00460C69">
            <w:pPr>
              <w:pStyle w:val="SlimCell"/>
              <w:keepNext/>
            </w:pPr>
          </w:p>
        </w:tc>
      </w:tr>
      <w:tr w:rsidR="00223A02" w:rsidRPr="0091483C" w14:paraId="7EBD78E6" w14:textId="77777777" w:rsidTr="00460C69">
        <w:trPr>
          <w:cantSplit/>
        </w:trPr>
        <w:tc>
          <w:tcPr>
            <w:tcW w:w="8505" w:type="dxa"/>
            <w:shd w:val="clear" w:color="auto" w:fill="auto"/>
          </w:tcPr>
          <w:p w14:paraId="55E9A074" w14:textId="77777777" w:rsidR="00223A02" w:rsidRPr="0091483C" w:rsidRDefault="00223A02" w:rsidP="00460C69">
            <w:pPr>
              <w:pStyle w:val="TableTitle"/>
              <w:rPr>
                <w:b/>
              </w:rPr>
            </w:pPr>
            <w:r w:rsidRPr="0091483C">
              <w:t>Table II.AIV.3:</w:t>
            </w:r>
            <w:r w:rsidRPr="0091483C">
              <w:rPr>
                <w:b/>
              </w:rPr>
              <w:tab/>
              <w:t>Public expenditure on LTC on the basis of the SHA joint questionnaire with proxy for HC.R.1 from ESSPROS as a % of GDP (2015 or latest)</w:t>
            </w:r>
          </w:p>
        </w:tc>
      </w:tr>
      <w:tr w:rsidR="00223A02" w:rsidRPr="0091483C" w14:paraId="72DABDBE" w14:textId="77777777" w:rsidTr="00460C69">
        <w:trPr>
          <w:cantSplit/>
        </w:trPr>
        <w:tc>
          <w:tcPr>
            <w:tcW w:w="8505" w:type="dxa"/>
            <w:shd w:val="clear" w:color="auto" w:fill="auto"/>
          </w:tcPr>
          <w:p w14:paraId="45D40BF0" w14:textId="77777777" w:rsidR="00223A02" w:rsidRPr="0091483C" w:rsidRDefault="00223A02" w:rsidP="00460C69">
            <w:pPr>
              <w:pStyle w:val="TableShape"/>
              <w:rPr>
                <w:sz w:val="2"/>
              </w:rPr>
            </w:pPr>
            <w:r w:rsidRPr="0091483C">
              <w:rPr>
                <w:noProof/>
                <w:sz w:val="2"/>
                <w:lang w:val="hr-HR" w:eastAsia="hr-HR"/>
              </w:rPr>
              <w:drawing>
                <wp:inline distT="0" distB="0" distL="0" distR="0" wp14:anchorId="7E523303" wp14:editId="327BE8AF">
                  <wp:extent cx="5400929" cy="4539322"/>
                  <wp:effectExtent l="0" t="0" r="0" b="0"/>
                  <wp:docPr id="1053" name="Picture 1053" descr="&lt;nbr&gt;&lt;GETTEXTFROMWORD&gt;&lt;/nbr&gt;&#10;&lt;title&gt;&lt;GETTEXTFROMWORD&gt;&lt;/title&gt;&#10;&lt;id&gt;13ec0c71-f5bf-42af-bcdb-7f85a81b9266&lt;/id&gt;&#10;&lt;srcType&gt;EXCEL&lt;/srcType&gt;&#10;&lt;srcPath&gt;U:\Budgetary projections 2018\Reports\2018 AR\Tables_and_graphs\Part II Annex 4\&lt;/srcPath&gt;&#10;&lt;srcName&gt;Annex 4 Tables and Charts.xlsx&lt;/srcName&gt;&#10;&lt;type&gt;table&lt;/type&gt;&#10; &lt;srcSheet&gt;Table II.A4.3&lt;/srcSheet&gt;&#10; &lt;srcRange&gt;R1C1:R32C5&lt;/srcRange&gt;&#10;&lt;pos&gt;top&lt;/pos&gt;&#10;&lt;numbering&gt;internal&lt;/numbering&gt;&#10;&lt;manNumb&gt;no&lt;/manNumb&gt;&#10; &lt;insFtn&gt;no&lt;/insFtn&gt;&#10; &lt;insSrc&gt;yes&lt;/insSrc&gt;&#10; &lt;shpSrc&gt;&lt;GETTEXTFROMWORD&gt;&lt;/shpSrc&gt;&#10;&lt;multi&gt;no&lt;/multi&gt;&#10;&lt;statAnn&gt;no&lt;/statAnn&gt;&#10;&lt;float&gt;yes&lt;/float&gt;&#10;&lt;bottomShapePageNumber&gt;-1&lt;/bottomShapePageNumber&gt;&#10;&lt;version&gt;2&lt;/version&gt;&#10;&lt;scrFileTime&gt;2018-01-19T16:56:18&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400929" cy="4539322"/>
                          </a:xfrm>
                          <a:prstGeom prst="rect">
                            <a:avLst/>
                          </a:prstGeom>
                          <a:noFill/>
                          <a:ln>
                            <a:noFill/>
                          </a:ln>
                        </pic:spPr>
                      </pic:pic>
                    </a:graphicData>
                  </a:graphic>
                </wp:inline>
              </w:drawing>
            </w:r>
          </w:p>
        </w:tc>
      </w:tr>
      <w:tr w:rsidR="00223A02" w:rsidRPr="0091483C" w14:paraId="4C532033" w14:textId="77777777" w:rsidTr="00460C69">
        <w:trPr>
          <w:cantSplit/>
        </w:trPr>
        <w:tc>
          <w:tcPr>
            <w:tcW w:w="8505" w:type="dxa"/>
            <w:shd w:val="clear" w:color="auto" w:fill="auto"/>
          </w:tcPr>
          <w:p w14:paraId="4CAE0DC5" w14:textId="77777777" w:rsidR="00223A02" w:rsidRPr="0091483C" w:rsidRDefault="00223A02" w:rsidP="00460C69">
            <w:pPr>
              <w:pStyle w:val="TableSource"/>
            </w:pPr>
            <w:r w:rsidRPr="0091483C">
              <w:rPr>
                <w:b/>
                <w:i/>
              </w:rPr>
              <w:t>Source:</w:t>
            </w:r>
            <w:r w:rsidRPr="0091483C">
              <w:t xml:space="preserve">  European Commission, EPC.</w:t>
            </w:r>
          </w:p>
        </w:tc>
      </w:tr>
      <w:tr w:rsidR="00223A02" w:rsidRPr="0091483C" w14:paraId="264A8329" w14:textId="77777777" w:rsidTr="00460C69">
        <w:trPr>
          <w:cantSplit/>
          <w:trHeight w:val="20"/>
        </w:trPr>
        <w:tc>
          <w:tcPr>
            <w:tcW w:w="8505" w:type="dxa"/>
            <w:shd w:val="clear" w:color="auto" w:fill="auto"/>
          </w:tcPr>
          <w:p w14:paraId="2C071201" w14:textId="77777777" w:rsidR="00223A02" w:rsidRPr="0091483C" w:rsidRDefault="00223A02" w:rsidP="00460C69">
            <w:pPr>
              <w:pStyle w:val="SlimCell"/>
            </w:pPr>
          </w:p>
        </w:tc>
      </w:tr>
    </w:tbl>
    <w:p w14:paraId="13968AB9" w14:textId="77777777" w:rsidR="00223A02" w:rsidRPr="0091483C" w:rsidRDefault="00223A02" w:rsidP="00460C69">
      <w:r w:rsidRPr="0091483C">
        <w:t>4.</w:t>
      </w:r>
      <w:r w:rsidRPr="0091483C">
        <w:tab/>
        <w:t xml:space="preserve">missing LTC age-gender specific number of recipients of either home, institutional care or cash benefits have been replaced by the corresponding simple average of individual countries' LTC age-gender specific number of recipients expressed as % of disabled for either EU15 or NMS aggregates; the averages have been calculated using all available data; </w:t>
      </w:r>
    </w:p>
    <w:p w14:paraId="115491FC" w14:textId="77777777" w:rsidR="00223A02" w:rsidRPr="0091483C" w:rsidRDefault="00223A02" w:rsidP="00460C69">
      <w:r w:rsidRPr="0091483C">
        <w:lastRenderedPageBreak/>
        <w:t>5.</w:t>
      </w:r>
      <w:r w:rsidRPr="0091483C">
        <w:tab/>
        <w:t xml:space="preserve">missing detailed spending in home, institutional care and cash benefits has been proxied by the average share of those items in total LTC spending. </w:t>
      </w:r>
    </w:p>
    <w:p w14:paraId="74711B8E" w14:textId="77777777" w:rsidR="00223A02" w:rsidRPr="0091483C" w:rsidRDefault="00223A02" w:rsidP="00460C69">
      <w:r w:rsidRPr="0091483C">
        <w:t>The average LTC age-gender specific expenditure profile (as calculated in point 3 just above) was also used when a country: 1) provided aggregate expenditure but 2) no information on recipients of institutional and home care, 3) no information on age-gender expenditure profile per user and 4) only age-gender specific expenditure per capita (total public expenditure on long-term care for each age-gender cohort divided by the number of population in a given age-gender cohort). Using per capita rather than per user creates a pattern of age-gender profiles which is not coherent with the pattern of age-gender profiles of the countries providing data per user. Indeed, the per capita profiles show a strongly increasing (exponential) shape. The methodology for running these projections required expenditure per user (also called beneficiary or recipient).</w:t>
      </w:r>
    </w:p>
    <w:p w14:paraId="323AFA77" w14:textId="77777777" w:rsidR="00223A02" w:rsidRPr="0091483C" w:rsidRDefault="00223A02" w:rsidP="00460C69">
      <w:r w:rsidRPr="0091483C">
        <w:t>Moreover, the age-gender expenditure profiles were adjusted to the total public expenditure provided according to SHA/ESSPROS i.e. upward or downward adjustment without modifying the age specific distribution. This is the same procedure followed in the case of health care projections.</w:t>
      </w:r>
    </w:p>
    <w:p w14:paraId="1BA78604" w14:textId="77777777" w:rsidR="00223A02" w:rsidRPr="0091483C" w:rsidRDefault="00223A02" w:rsidP="00460C69">
      <w:r w:rsidRPr="0091483C">
        <w:t xml:space="preserve">Graphs </w:t>
      </w:r>
      <w:r w:rsidRPr="0091483C">
        <w:fldChar w:fldCharType="begin"/>
      </w:r>
      <w:r w:rsidRPr="0091483C">
        <w:instrText xml:space="preserve"> QUOTE "II.AIV.1"</w:instrText>
      </w:r>
      <w:r w:rsidRPr="0091483C">
        <w:fldChar w:fldCharType="begin">
          <w:fldData xml:space="preserve">QwBSAE8AUwBTAFIARQBGAEUAUgBFAE4AQwBFACoARwBSAEEAUABIACoAYwA1ADAAZQAwADgAYQA3
AC0ANgA5AGQAYQAtADQAZQBlAGMALQA4ADIAMABkAC0AMwAwADMANAA3ADUAYQBjADQAMwAyADQA
</w:fldData>
        </w:fldChar>
      </w:r>
      <w:r w:rsidRPr="0091483C">
        <w:instrText xml:space="preserve"> ADDIN </w:instrText>
      </w:r>
      <w:r w:rsidRPr="0091483C">
        <w:fldChar w:fldCharType="end"/>
      </w:r>
      <w:r w:rsidRPr="0091483C">
        <w:instrText xml:space="preserve"> </w:instrText>
      </w:r>
      <w:r w:rsidRPr="0091483C">
        <w:fldChar w:fldCharType="separate"/>
      </w:r>
      <w:r w:rsidR="009F3ED8" w:rsidRPr="0091483C">
        <w:t>II.AIV.1</w:t>
      </w:r>
      <w:r w:rsidRPr="0091483C">
        <w:fldChar w:fldCharType="end"/>
      </w:r>
      <w:r w:rsidRPr="0091483C">
        <w:t xml:space="preserve"> and </w:t>
      </w:r>
      <w:r w:rsidRPr="0091483C">
        <w:fldChar w:fldCharType="begin"/>
      </w:r>
      <w:r w:rsidRPr="0091483C">
        <w:instrText xml:space="preserve"> QUOTE "II.AIV.2"</w:instrText>
      </w:r>
      <w:r w:rsidRPr="0091483C">
        <w:fldChar w:fldCharType="begin">
          <w:fldData xml:space="preserve">QwBSAE8AUwBTAFIARQBGAEUAUgBFAE4AQwBFACoARwBSAEEAUABIACoAOAA5ADkAZAAwAGMAMABk
AC0AMQBmADMAOQAtADQAZAA3ADgALQA5AGMAMgBjAC0AYgA4ADYAOQA4ADAAOQBiADEAOAAwADgA
</w:fldData>
        </w:fldChar>
      </w:r>
      <w:r w:rsidRPr="0091483C">
        <w:instrText xml:space="preserve"> ADDIN </w:instrText>
      </w:r>
      <w:r w:rsidRPr="0091483C">
        <w:fldChar w:fldCharType="end"/>
      </w:r>
      <w:r w:rsidRPr="0091483C">
        <w:instrText xml:space="preserve"> </w:instrText>
      </w:r>
      <w:r w:rsidRPr="0091483C">
        <w:fldChar w:fldCharType="separate"/>
      </w:r>
      <w:r w:rsidR="009F3ED8" w:rsidRPr="0091483C">
        <w:t>II.AIV.2</w:t>
      </w:r>
      <w:r w:rsidRPr="0091483C">
        <w:fldChar w:fldCharType="end"/>
      </w:r>
      <w:r w:rsidRPr="0091483C">
        <w:t xml:space="preserve"> display the age-related expenditure profiles (as % of GDP per beneficiary) which have been used in the projection of long-term care expenditure, also in comparison to the 2015 Ageing Report. </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91483C" w14:paraId="4B387ACA" w14:textId="77777777" w:rsidTr="00460C69">
        <w:trPr>
          <w:cantSplit/>
        </w:trPr>
        <w:tc>
          <w:tcPr>
            <w:tcW w:w="4110" w:type="dxa"/>
            <w:shd w:val="clear" w:color="auto" w:fill="auto"/>
          </w:tcPr>
          <w:p w14:paraId="04CD18AE" w14:textId="77777777" w:rsidR="00223A02" w:rsidRPr="0091483C" w:rsidRDefault="00223A02" w:rsidP="00460C69">
            <w:pPr>
              <w:pStyle w:val="GraphTitle"/>
              <w:rPr>
                <w:b/>
              </w:rPr>
            </w:pPr>
            <w:r w:rsidRPr="0091483C">
              <w:lastRenderedPageBreak/>
              <w:t>Graph II.AIV.1:</w:t>
            </w:r>
            <w:r w:rsidRPr="0091483C">
              <w:rPr>
                <w:b/>
              </w:rPr>
              <w:tab/>
              <w:t>Expenditure profiles of long-term care services by age and gender in the EU15, spending per recipient as % of GDP per capita and comparing 2018 and 2015 Ageing Reports</w:t>
            </w:r>
          </w:p>
        </w:tc>
      </w:tr>
      <w:tr w:rsidR="00223A02" w:rsidRPr="0091483C" w14:paraId="29BA72C0" w14:textId="77777777" w:rsidTr="00460C69">
        <w:trPr>
          <w:cantSplit/>
        </w:trPr>
        <w:tc>
          <w:tcPr>
            <w:tcW w:w="4110" w:type="dxa"/>
            <w:shd w:val="clear" w:color="auto" w:fill="auto"/>
          </w:tcPr>
          <w:p w14:paraId="50CB7E55" w14:textId="77777777" w:rsidR="00223A02" w:rsidRPr="0091483C" w:rsidRDefault="00223A02" w:rsidP="00460C69">
            <w:pPr>
              <w:pStyle w:val="GraphShape"/>
              <w:rPr>
                <w:sz w:val="2"/>
              </w:rPr>
            </w:pPr>
            <w:r w:rsidRPr="0091483C">
              <w:fldChar w:fldCharType="begin"/>
            </w:r>
            <w:r w:rsidRPr="009F3ED8">
              <w:instrText xml:space="preserve"> TC "</w:instrText>
            </w:r>
            <w:bookmarkStart w:id="299" w:name="_Toc511664709"/>
            <w:r w:rsidRPr="009F3ED8">
              <w:instrText>II.AIV.1.</w:instrText>
            </w:r>
            <w:r w:rsidRPr="009F3ED8">
              <w:tab/>
              <w:instrText>Expenditure profiles of long-term care services by age and gender in the EU15, spending per recipient as % of GDP per capita and comparing 2018 and 2015 Ageing Reports</w:instrText>
            </w:r>
            <w:bookmarkEnd w:id="299"/>
            <w:r w:rsidRPr="009F3ED8">
              <w:instrText xml:space="preserve">" \fgraph \l 5 </w:instrText>
            </w:r>
            <w:r w:rsidRPr="0091483C">
              <w:fldChar w:fldCharType="end"/>
            </w:r>
            <w:r w:rsidRPr="0091483C">
              <w:rPr>
                <w:noProof/>
                <w:sz w:val="2"/>
                <w:lang w:val="hr-HR" w:eastAsia="hr-HR"/>
              </w:rPr>
              <w:drawing>
                <wp:inline distT="0" distB="0" distL="0" distR="0" wp14:anchorId="569A5F4F" wp14:editId="7B473C74">
                  <wp:extent cx="2597595" cy="1349104"/>
                  <wp:effectExtent l="0" t="0" r="0" b="3810"/>
                  <wp:docPr id="1054" name="Picture 1054" descr="&lt;nbr&gt;&lt;GETTEXTFROMWORD&gt;&lt;/nbr&gt;&#10;&lt;title&gt;&lt;GETTEXTFROMWORD&gt;&lt;/title&gt;&#10;&lt;id&gt;c50e08a7-69da-4eec-820d-303475ac4324&lt;/id&gt;&#10;&lt;srcType&gt;EXCEL&lt;/srcType&gt;&#10;&lt;srcPath&gt;U:\Budgetary projections 2018\Reports\2018 AR\Tables_and_graphs\Part II Annex 4\&lt;/srcPath&gt;&#10;&lt;srcName&gt;Annex 4 Tables and Charts.xlsx&lt;/srcName&gt;&#10;&lt;type&gt;graph&lt;/type&gt;&#10; &lt;srcSheet&gt;Graph II.A4.1 EU 15&lt;/srcSheet&gt;&#10; &lt;srcChartTitle&gt;Chart 3&lt;/srcChartTitl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1-19T16:56:18&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597595" cy="1349104"/>
                          </a:xfrm>
                          <a:prstGeom prst="rect">
                            <a:avLst/>
                          </a:prstGeom>
                          <a:noFill/>
                          <a:ln>
                            <a:noFill/>
                          </a:ln>
                        </pic:spPr>
                      </pic:pic>
                    </a:graphicData>
                  </a:graphic>
                </wp:inline>
              </w:drawing>
            </w:r>
          </w:p>
        </w:tc>
      </w:tr>
      <w:tr w:rsidR="00223A02" w:rsidRPr="0091483C" w14:paraId="148CE6E3" w14:textId="77777777" w:rsidTr="00460C69">
        <w:trPr>
          <w:cantSplit/>
        </w:trPr>
        <w:tc>
          <w:tcPr>
            <w:tcW w:w="4110" w:type="dxa"/>
            <w:shd w:val="clear" w:color="auto" w:fill="auto"/>
            <w:tcMar>
              <w:bottom w:w="240" w:type="dxa"/>
            </w:tcMar>
          </w:tcPr>
          <w:p w14:paraId="70D0EA7E" w14:textId="77777777" w:rsidR="00223A02" w:rsidRDefault="00223A02" w:rsidP="00460C69">
            <w:pPr>
              <w:pStyle w:val="GraphFootnote"/>
              <w:keepNext/>
            </w:pPr>
            <w:r>
              <w:t>Notes: F= Females; M=Males;</w:t>
            </w:r>
            <w:r>
              <w:br/>
              <w:t>EU15: Belgium, Denmark, Germany, Ireland, Greece, Spain, France, Italy, Luxembourg, Netherlands, Austria, Portugal, Finland, Sweden, United Kingdom.</w:t>
            </w:r>
          </w:p>
          <w:p w14:paraId="19C0CD33" w14:textId="77777777" w:rsidR="00223A02" w:rsidRPr="0091483C" w:rsidRDefault="00223A02" w:rsidP="00460C69">
            <w:pPr>
              <w:pStyle w:val="GraphSource"/>
              <w:keepNext/>
            </w:pPr>
            <w:r w:rsidRPr="0091483C">
              <w:rPr>
                <w:b/>
                <w:i/>
              </w:rPr>
              <w:t>Source:</w:t>
            </w:r>
            <w:r w:rsidRPr="0091483C">
              <w:t xml:space="preserve"> European Commission, EPC.</w:t>
            </w:r>
          </w:p>
        </w:tc>
      </w:tr>
    </w:tbl>
    <w:p w14:paraId="7C823F45" w14:textId="77777777" w:rsidR="00223A02" w:rsidRPr="0091483C" w:rsidRDefault="00223A02" w:rsidP="00460C69">
      <w:r w:rsidRPr="0091483C">
        <w:t xml:space="preserve">The 2018 "age-related expenditure profiles" show that expenditure (spending per user as % of GDP per beneficiary) is relatively flat for LTC recipients, which signals that the LTC costs related to severe disability are relatively independent of age. </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91483C" w14:paraId="531493E7" w14:textId="77777777" w:rsidTr="00460C69">
        <w:trPr>
          <w:cantSplit/>
        </w:trPr>
        <w:tc>
          <w:tcPr>
            <w:tcW w:w="4110" w:type="dxa"/>
            <w:shd w:val="clear" w:color="auto" w:fill="auto"/>
          </w:tcPr>
          <w:p w14:paraId="2BC22BBC" w14:textId="77777777" w:rsidR="00223A02" w:rsidRPr="0091483C" w:rsidRDefault="00223A02" w:rsidP="00460C69">
            <w:pPr>
              <w:pStyle w:val="GraphTitle"/>
              <w:rPr>
                <w:b/>
              </w:rPr>
            </w:pPr>
            <w:r w:rsidRPr="0091483C">
              <w:t>Graph II.AIV.2:</w:t>
            </w:r>
            <w:r w:rsidRPr="0091483C">
              <w:rPr>
                <w:b/>
              </w:rPr>
              <w:tab/>
              <w:t>Expenditure profiles of long-term care recipients in the New Member States, spending per recipient as % of GDP per capita and comparing 2018 and 2015 Ageing Reports</w:t>
            </w:r>
          </w:p>
        </w:tc>
      </w:tr>
      <w:tr w:rsidR="00223A02" w:rsidRPr="0091483C" w14:paraId="1FCEE981" w14:textId="77777777" w:rsidTr="00460C69">
        <w:trPr>
          <w:cantSplit/>
        </w:trPr>
        <w:tc>
          <w:tcPr>
            <w:tcW w:w="4110" w:type="dxa"/>
            <w:shd w:val="clear" w:color="auto" w:fill="auto"/>
          </w:tcPr>
          <w:p w14:paraId="577ADF21" w14:textId="77777777" w:rsidR="00223A02" w:rsidRPr="0091483C" w:rsidRDefault="00223A02" w:rsidP="00460C69">
            <w:pPr>
              <w:pStyle w:val="GraphShape"/>
              <w:rPr>
                <w:sz w:val="2"/>
              </w:rPr>
            </w:pPr>
            <w:r w:rsidRPr="0091483C">
              <w:fldChar w:fldCharType="begin"/>
            </w:r>
            <w:r w:rsidRPr="009F3ED8">
              <w:instrText xml:space="preserve"> TC "</w:instrText>
            </w:r>
            <w:bookmarkStart w:id="300" w:name="_Toc511664710"/>
            <w:r w:rsidRPr="009F3ED8">
              <w:instrText>II.AIV.2.</w:instrText>
            </w:r>
            <w:r w:rsidRPr="009F3ED8">
              <w:tab/>
              <w:instrText>Expenditure profiles of long-term care recipients in the New Member States, spending per recipient as % of GDP per capita and comparing 2018 and 2015 Ageing Reports</w:instrText>
            </w:r>
            <w:bookmarkEnd w:id="300"/>
            <w:r w:rsidRPr="009F3ED8">
              <w:instrText xml:space="preserve">" \fgraph \l 5 </w:instrText>
            </w:r>
            <w:r w:rsidRPr="0091483C">
              <w:fldChar w:fldCharType="end"/>
            </w:r>
            <w:r w:rsidRPr="0091483C">
              <w:rPr>
                <w:noProof/>
                <w:sz w:val="2"/>
                <w:lang w:val="hr-HR" w:eastAsia="hr-HR"/>
              </w:rPr>
              <w:drawing>
                <wp:inline distT="0" distB="0" distL="0" distR="0" wp14:anchorId="76E71769" wp14:editId="1A7A1F4B">
                  <wp:extent cx="2597595" cy="1354799"/>
                  <wp:effectExtent l="0" t="0" r="0" b="0"/>
                  <wp:docPr id="1055" name="Picture 1055" descr="&lt;nbr&gt;&lt;GETTEXTFROMWORD&gt;&lt;/nbr&gt;&#10;&lt;title&gt;&lt;GETTEXTFROMWORD&gt;&lt;/title&gt;&#10;&lt;id&gt;899d0c0d-1f39-4d78-9c2c-b869809b1808&lt;/id&gt;&#10;&lt;srcType&gt;EXCEL&lt;/srcType&gt;&#10;&lt;srcPath&gt;U:\Budgetary projections 2018\Reports\2018 AR\Tables_and_graphs\Part II Annex 4\&lt;/srcPath&gt;&#10;&lt;srcName&gt;Annex 4 Tables and Charts.xlsx&lt;/srcName&gt;&#10;&lt;type&gt;graph&lt;/type&gt;&#10; &lt;srcSheet&gt;Graph II.A4.2 NMS&lt;/srcSheet&gt;&#10; &lt;srcChartTitle&gt;Chart 4&lt;/srcChartTitl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1-19T16:56:18&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597595" cy="1354799"/>
                          </a:xfrm>
                          <a:prstGeom prst="rect">
                            <a:avLst/>
                          </a:prstGeom>
                          <a:noFill/>
                          <a:ln>
                            <a:noFill/>
                          </a:ln>
                        </pic:spPr>
                      </pic:pic>
                    </a:graphicData>
                  </a:graphic>
                </wp:inline>
              </w:drawing>
            </w:r>
          </w:p>
        </w:tc>
      </w:tr>
      <w:tr w:rsidR="00223A02" w:rsidRPr="0091483C" w14:paraId="05A86DEE" w14:textId="77777777" w:rsidTr="00460C69">
        <w:trPr>
          <w:cantSplit/>
        </w:trPr>
        <w:tc>
          <w:tcPr>
            <w:tcW w:w="4110" w:type="dxa"/>
            <w:shd w:val="clear" w:color="auto" w:fill="auto"/>
            <w:tcMar>
              <w:bottom w:w="240" w:type="dxa"/>
            </w:tcMar>
          </w:tcPr>
          <w:p w14:paraId="5FE0BEA5" w14:textId="77777777" w:rsidR="00223A02" w:rsidRDefault="00223A02" w:rsidP="00460C69">
            <w:pPr>
              <w:pStyle w:val="GraphFootnote"/>
              <w:keepNext/>
            </w:pPr>
            <w:r>
              <w:t>Notes: F= Females; M=Males;</w:t>
            </w:r>
            <w:r>
              <w:br/>
              <w:t>NMS = New Member States: Bulgaria, Czech Republic, Estonia, Croatia, Cyprus, Latvia, Lithuania, Hungary, Malta, Poland, Romania, Slovenia and Slovakia.</w:t>
            </w:r>
          </w:p>
          <w:p w14:paraId="4BFEB667" w14:textId="77777777" w:rsidR="00223A02" w:rsidRPr="0091483C" w:rsidRDefault="00223A02" w:rsidP="00460C69">
            <w:pPr>
              <w:pStyle w:val="GraphSource"/>
              <w:keepNext/>
            </w:pPr>
            <w:r w:rsidRPr="0091483C">
              <w:rPr>
                <w:b/>
                <w:i/>
              </w:rPr>
              <w:t>Source:</w:t>
            </w:r>
            <w:r w:rsidRPr="0091483C">
              <w:t xml:space="preserve"> European Commission, EPC.</w:t>
            </w:r>
          </w:p>
        </w:tc>
      </w:tr>
    </w:tbl>
    <w:p w14:paraId="298DF524" w14:textId="77777777" w:rsidR="00223A02" w:rsidRPr="0091483C" w:rsidRDefault="00223A02" w:rsidP="00460C69">
      <w:r w:rsidRPr="0091483C">
        <w:t xml:space="preserve">Age cost profiles in the EU15 are higher than those estimated in the 2015 Ageing Report, whereas for NMS the profiles show generally lower expenditure per recipient (relative to GDP per capita). This may be linked to changes in base-year levels, but also to data improvements when compiling profiles. </w:t>
      </w:r>
    </w:p>
    <w:p w14:paraId="460229F7" w14:textId="77777777" w:rsidR="00223A02" w:rsidRPr="0091483C" w:rsidRDefault="00223A02" w:rsidP="00460C69">
      <w:pPr>
        <w:keepNext/>
        <w:rPr>
          <w:b/>
        </w:rPr>
      </w:pPr>
      <w:r w:rsidRPr="0091483C">
        <w:lastRenderedPageBreak/>
        <w:fldChar w:fldCharType="begin"/>
      </w:r>
      <w:r w:rsidRPr="009F3ED8">
        <w:instrText xml:space="preserve"> TC "</w:instrText>
      </w:r>
      <w:bookmarkStart w:id="301" w:name="_Toc511664604"/>
      <w:r w:rsidRPr="009F3ED8">
        <w:instrText>II.AIV.4.</w:instrText>
      </w:r>
      <w:r w:rsidRPr="009F3ED8">
        <w:tab/>
        <w:instrText>Dependency rates, based on EU-SILC</w:instrText>
      </w:r>
      <w:bookmarkEnd w:id="301"/>
      <w:r w:rsidRPr="009F3ED8">
        <w:instrText xml:space="preserve">" \ftable \l 2 </w:instrText>
      </w:r>
      <w:r w:rsidRPr="0091483C">
        <w:fldChar w:fldCharType="end"/>
      </w:r>
      <w:r w:rsidRPr="0091483C">
        <w:rPr>
          <w:b/>
        </w:rPr>
        <w:t>Dependency rates</w:t>
      </w:r>
    </w:p>
    <w:p w14:paraId="5C10B1EF" w14:textId="77777777" w:rsidR="00223A02" w:rsidRPr="0091483C" w:rsidRDefault="00223A02" w:rsidP="00460C69">
      <w:r w:rsidRPr="0091483C">
        <w:t xml:space="preserve">As defined in EU-SILC, dependency does increase by age (and, on average, is more prevalent among women than among men). Table </w:t>
      </w:r>
      <w:r w:rsidRPr="0091483C">
        <w:fldChar w:fldCharType="begin"/>
      </w:r>
      <w:r w:rsidRPr="0091483C">
        <w:instrText xml:space="preserve"> QUOTE "II.AIV.5"</w:instrText>
      </w:r>
      <w:r w:rsidRPr="0091483C">
        <w:fldChar w:fldCharType="begin">
          <w:fldData xml:space="preserve">QwBSAE8AUwBTAFIARQBGAEUAUgBFAE4AQwBFACoAVABBAEIATABFACoAMgA2AGYAOQA0ADEAYgBh
AC0AYgA3AGIAZgAtADQAMwBjADAALQBhADIAMAAwAC0AZgBjADkAOQBmAGMAOQA3ADUAYgAwADgA
</w:fldData>
        </w:fldChar>
      </w:r>
      <w:r w:rsidRPr="0091483C">
        <w:instrText xml:space="preserve"> ADDIN </w:instrText>
      </w:r>
      <w:r w:rsidRPr="0091483C">
        <w:fldChar w:fldCharType="end"/>
      </w:r>
      <w:r w:rsidRPr="0091483C">
        <w:instrText xml:space="preserve"> </w:instrText>
      </w:r>
      <w:r w:rsidRPr="0091483C">
        <w:fldChar w:fldCharType="separate"/>
      </w:r>
      <w:r w:rsidR="009F3ED8" w:rsidRPr="0091483C">
        <w:t>II.AIV.5</w:t>
      </w:r>
      <w:r w:rsidRPr="0091483C">
        <w:fldChar w:fldCharType="end"/>
      </w:r>
      <w:r w:rsidRPr="0091483C">
        <w:t xml:space="preserve"> shows the dependency rates per age group, for each Member State and Norway. </w:t>
      </w:r>
    </w:p>
    <w:p w14:paraId="0787096D" w14:textId="77777777" w:rsidR="00223A02" w:rsidRPr="0091483C" w:rsidRDefault="00223A02" w:rsidP="00460C69">
      <w:r w:rsidRPr="0091483C">
        <w:t xml:space="preserve">The age-specific dependency rates vary markedly across EU Member states (and Norway). In some countries they are far higher than in others. Given the limited comparability of the data concerning self-perceived disability, the dependency rates in Table </w:t>
      </w:r>
      <w:r w:rsidRPr="0091483C">
        <w:fldChar w:fldCharType="begin"/>
      </w:r>
      <w:r w:rsidRPr="0091483C">
        <w:instrText xml:space="preserve"> QUOTE "II.AIV.4"</w:instrText>
      </w:r>
      <w:r w:rsidRPr="0091483C">
        <w:fldChar w:fldCharType="begin">
          <w:fldData xml:space="preserve">QwBSAE8AUwBTAFIARQBGAEUAUgBFAE4AQwBFACoAVABBAEIATABFACoAYgAyADUANQAyAGEAMwAz
AC0ANwA5ADUAMgAtADQAOABlAGQALQBhAGIAMAA1AC0AMgA0ADkANwBkADEAOQBiAGMANABjADcA
</w:fldData>
        </w:fldChar>
      </w:r>
      <w:r w:rsidRPr="0091483C">
        <w:instrText xml:space="preserve"> ADDIN </w:instrText>
      </w:r>
      <w:r w:rsidRPr="0091483C">
        <w:fldChar w:fldCharType="end"/>
      </w:r>
      <w:r w:rsidRPr="0091483C">
        <w:instrText xml:space="preserve"> </w:instrText>
      </w:r>
      <w:r w:rsidRPr="0091483C">
        <w:fldChar w:fldCharType="separate"/>
      </w:r>
      <w:r w:rsidR="009F3ED8" w:rsidRPr="0091483C">
        <w:t>II.AIV.4</w:t>
      </w:r>
      <w:r w:rsidRPr="0091483C">
        <w:fldChar w:fldCharType="end"/>
      </w:r>
      <w:r w:rsidRPr="0091483C">
        <w:t xml:space="preserve"> do not necessarily represent the real country-specific health status. As already mentioned, they may diverge noticeably from other national statistics.</w:t>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223A02" w:rsidRPr="0091483C" w14:paraId="14AB8B71" w14:textId="77777777" w:rsidTr="00460C69">
        <w:trPr>
          <w:cantSplit/>
          <w:trHeight w:val="20"/>
        </w:trPr>
        <w:tc>
          <w:tcPr>
            <w:tcW w:w="8505" w:type="dxa"/>
            <w:shd w:val="clear" w:color="auto" w:fill="auto"/>
          </w:tcPr>
          <w:p w14:paraId="628147C7" w14:textId="77777777" w:rsidR="00223A02" w:rsidRPr="0091483C" w:rsidRDefault="00223A02" w:rsidP="00460C69">
            <w:pPr>
              <w:pStyle w:val="SlimCell"/>
              <w:keepNext/>
            </w:pPr>
          </w:p>
        </w:tc>
      </w:tr>
      <w:tr w:rsidR="00223A02" w:rsidRPr="0091483C" w14:paraId="705148F0" w14:textId="77777777" w:rsidTr="00460C69">
        <w:trPr>
          <w:cantSplit/>
        </w:trPr>
        <w:tc>
          <w:tcPr>
            <w:tcW w:w="8505" w:type="dxa"/>
            <w:shd w:val="clear" w:color="auto" w:fill="auto"/>
          </w:tcPr>
          <w:p w14:paraId="141121FB" w14:textId="77777777" w:rsidR="00223A02" w:rsidRPr="0091483C" w:rsidRDefault="00223A02" w:rsidP="00460C69">
            <w:pPr>
              <w:pStyle w:val="TableTitle"/>
              <w:rPr>
                <w:b/>
              </w:rPr>
            </w:pPr>
            <w:r w:rsidRPr="0091483C">
              <w:t>Table II.AIV.4:</w:t>
            </w:r>
            <w:r w:rsidRPr="0091483C">
              <w:rPr>
                <w:b/>
              </w:rPr>
              <w:tab/>
              <w:t>Dependency rates, based on EU-SILC</w:t>
            </w:r>
          </w:p>
        </w:tc>
      </w:tr>
      <w:tr w:rsidR="00223A02" w:rsidRPr="0091483C" w14:paraId="26C33C88" w14:textId="77777777" w:rsidTr="00460C69">
        <w:trPr>
          <w:cantSplit/>
        </w:trPr>
        <w:tc>
          <w:tcPr>
            <w:tcW w:w="8505" w:type="dxa"/>
            <w:shd w:val="clear" w:color="auto" w:fill="auto"/>
          </w:tcPr>
          <w:p w14:paraId="79680636" w14:textId="77777777" w:rsidR="00223A02" w:rsidRPr="0091483C" w:rsidRDefault="00223A02" w:rsidP="00460C69">
            <w:pPr>
              <w:pStyle w:val="TableShape"/>
              <w:rPr>
                <w:sz w:val="2"/>
              </w:rPr>
            </w:pPr>
            <w:r>
              <w:rPr>
                <w:noProof/>
                <w:sz w:val="2"/>
                <w:lang w:val="hr-HR" w:eastAsia="hr-HR"/>
              </w:rPr>
              <w:drawing>
                <wp:inline distT="0" distB="0" distL="0" distR="0" wp14:anchorId="5A0F355E" wp14:editId="147F4F09">
                  <wp:extent cx="5400929" cy="3668999"/>
                  <wp:effectExtent l="0" t="0" r="0" b="8255"/>
                  <wp:docPr id="1056" name="Picture 1056" descr="&lt;nbr&gt;&lt;GETTEXTFROMWORD&gt;&lt;/nbr&gt;&#10;&lt;title&gt;&lt;GETTEXTFROMWORD&gt;&lt;/title&gt;&#10;&lt;id&gt;b2552a33-7952-48ed-ab05-2497d19bc4c7&lt;/id&gt;&#10;&lt;srcType&gt;EXCEL&lt;/srcType&gt;&#10;&lt;srcPath&gt;U:\Budgetary projections 2018\Reports\2018 AR\Tables_and_graphs\Part II Chapter 3\&lt;/srcPath&gt;&#10;&lt;srcName&gt;Tables &amp; charts - CHAP 3.xlsx&lt;/srcName&gt;&#10;&lt;type&gt;table&lt;/type&gt;&#10; &lt;srcSheet&gt;dependency rates&lt;/srcSheet&gt;&#10; &lt;srcRange&gt;R2C2:R31C18&lt;/srcRange&gt;&#10;&lt;pos&gt;top&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26T12:08:13&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400929" cy="3668999"/>
                          </a:xfrm>
                          <a:prstGeom prst="rect">
                            <a:avLst/>
                          </a:prstGeom>
                          <a:noFill/>
                          <a:ln>
                            <a:noFill/>
                          </a:ln>
                        </pic:spPr>
                      </pic:pic>
                    </a:graphicData>
                  </a:graphic>
                </wp:inline>
              </w:drawing>
            </w:r>
          </w:p>
        </w:tc>
      </w:tr>
      <w:tr w:rsidR="00223A02" w:rsidRPr="0091483C" w14:paraId="3747FE30" w14:textId="77777777" w:rsidTr="00460C69">
        <w:trPr>
          <w:cantSplit/>
        </w:trPr>
        <w:tc>
          <w:tcPr>
            <w:tcW w:w="8505" w:type="dxa"/>
            <w:shd w:val="clear" w:color="auto" w:fill="auto"/>
          </w:tcPr>
          <w:p w14:paraId="2AF5EB13" w14:textId="77777777" w:rsidR="00223A02" w:rsidRPr="0091483C" w:rsidRDefault="00223A02" w:rsidP="00460C69">
            <w:pPr>
              <w:pStyle w:val="TableSource"/>
            </w:pPr>
            <w:r w:rsidRPr="0091483C">
              <w:rPr>
                <w:b/>
                <w:i/>
              </w:rPr>
              <w:t>Source:</w:t>
            </w:r>
            <w:r w:rsidRPr="0091483C">
              <w:t xml:space="preserve"> European Commission, EPC.</w:t>
            </w:r>
          </w:p>
        </w:tc>
      </w:tr>
      <w:tr w:rsidR="00223A02" w:rsidRPr="0091483C" w14:paraId="777BCB96" w14:textId="77777777" w:rsidTr="00460C69">
        <w:trPr>
          <w:cantSplit/>
          <w:trHeight w:val="20"/>
        </w:trPr>
        <w:tc>
          <w:tcPr>
            <w:tcW w:w="8505" w:type="dxa"/>
            <w:shd w:val="clear" w:color="auto" w:fill="auto"/>
          </w:tcPr>
          <w:p w14:paraId="5FEF3973" w14:textId="77777777" w:rsidR="00223A02" w:rsidRPr="0091483C" w:rsidRDefault="00223A02" w:rsidP="00460C69">
            <w:pPr>
              <w:pStyle w:val="SlimCell"/>
            </w:pPr>
          </w:p>
        </w:tc>
      </w:tr>
    </w:tbl>
    <w:p w14:paraId="633E3F63" w14:textId="77777777" w:rsidR="00223A02" w:rsidRPr="0091483C" w:rsidRDefault="00223A02" w:rsidP="00460C69">
      <w:pPr>
        <w:keepNext/>
        <w:rPr>
          <w:b/>
        </w:rPr>
      </w:pPr>
      <w:r w:rsidRPr="0091483C">
        <w:rPr>
          <w:b/>
        </w:rPr>
        <w:t>Coverage rates</w:t>
      </w:r>
    </w:p>
    <w:p w14:paraId="6612A994" w14:textId="77777777" w:rsidR="00223A02" w:rsidRPr="0091483C" w:rsidRDefault="00223A02" w:rsidP="00460C69">
      <w:r w:rsidRPr="0091483C">
        <w:t xml:space="preserve">Bearing this in mind, the calculated coverage rates, for both types of formal LTC services are presented for each country in Table </w:t>
      </w:r>
      <w:r w:rsidRPr="0091483C">
        <w:fldChar w:fldCharType="begin"/>
      </w:r>
      <w:r w:rsidRPr="0091483C">
        <w:instrText xml:space="preserve"> QUOTE "II.AIV.5"</w:instrText>
      </w:r>
      <w:r w:rsidRPr="0091483C">
        <w:fldChar w:fldCharType="begin">
          <w:fldData xml:space="preserve">QwBSAE8AUwBTAFIARQBGAEUAUgBFAE4AQwBFACoAVABBAEIATABFACoAMgA2AGYAOQA0ADEAYgBh
AC0AYgA3AGIAZgAtADQAMwBjADAALQBhADIAMAAwAC0AZgBjADkAOQBmAGMAOQA3ADUAYgAwADgA
</w:fldData>
        </w:fldChar>
      </w:r>
      <w:r w:rsidRPr="0091483C">
        <w:instrText xml:space="preserve"> ADDIN </w:instrText>
      </w:r>
      <w:r w:rsidRPr="0091483C">
        <w:fldChar w:fldCharType="end"/>
      </w:r>
      <w:r w:rsidRPr="0091483C">
        <w:instrText xml:space="preserve"> </w:instrText>
      </w:r>
      <w:r w:rsidRPr="0091483C">
        <w:fldChar w:fldCharType="separate"/>
      </w:r>
      <w:r w:rsidR="009F3ED8" w:rsidRPr="0091483C">
        <w:t>II.AIV.5</w:t>
      </w:r>
      <w:r w:rsidRPr="0091483C">
        <w:fldChar w:fldCharType="end"/>
      </w:r>
      <w:r w:rsidRPr="0091483C">
        <w:t>. They result from the comparison between the number of "dependents", such as defined by EU-SILC, and the number of recipients of LTC services as provided by the Member States (or, when missing, as measured by the correspondent EU15 or NMS average).  Of course, the limitations in estimating the real number of recipients covered by the system as well as those inherent to using EU-SILC survey to estimate the overall dependent population have consequences for the construction of coverage rates, which may be considerably under- or overestimated.</w:t>
      </w:r>
    </w:p>
    <w:p w14:paraId="75009331" w14:textId="77777777" w:rsidR="00223A02" w:rsidRPr="0091483C" w:rsidRDefault="00223A02" w:rsidP="00460C69">
      <w:r w:rsidRPr="0091483C">
        <w:t>In nearly all countries, overall coverage rates are projected to increase between 2016 and 2070, even in the "base case scenario". This reflects the fact that the ageing of the population shifts the composition of the dependent population towards higher ages, where coverage rates are higher.</w:t>
      </w:r>
    </w:p>
    <w:tbl>
      <w:tblPr>
        <w:tblW w:w="0" w:type="auto"/>
        <w:tblLayout w:type="fixed"/>
        <w:tblCellMar>
          <w:left w:w="0" w:type="dxa"/>
          <w:right w:w="0" w:type="dxa"/>
        </w:tblCellMar>
        <w:tblLook w:val="0000" w:firstRow="0" w:lastRow="0" w:firstColumn="0" w:lastColumn="0" w:noHBand="0" w:noVBand="0"/>
      </w:tblPr>
      <w:tblGrid>
        <w:gridCol w:w="4110"/>
      </w:tblGrid>
      <w:tr w:rsidR="00223A02" w:rsidRPr="0091483C" w14:paraId="69A44756" w14:textId="77777777" w:rsidTr="00460C69">
        <w:trPr>
          <w:cantSplit/>
          <w:trHeight w:val="20"/>
        </w:trPr>
        <w:tc>
          <w:tcPr>
            <w:tcW w:w="4110" w:type="dxa"/>
            <w:shd w:val="clear" w:color="auto" w:fill="auto"/>
          </w:tcPr>
          <w:p w14:paraId="321BA561" w14:textId="77777777" w:rsidR="00223A02" w:rsidRPr="0091483C" w:rsidRDefault="00223A02" w:rsidP="00460C69">
            <w:pPr>
              <w:pStyle w:val="SlimCell"/>
              <w:keepNext/>
            </w:pPr>
          </w:p>
        </w:tc>
      </w:tr>
      <w:tr w:rsidR="00223A02" w:rsidRPr="0091483C" w14:paraId="7E170329" w14:textId="77777777" w:rsidTr="00460C69">
        <w:trPr>
          <w:cantSplit/>
        </w:trPr>
        <w:tc>
          <w:tcPr>
            <w:tcW w:w="4110" w:type="dxa"/>
            <w:shd w:val="clear" w:color="auto" w:fill="auto"/>
          </w:tcPr>
          <w:p w14:paraId="5E51AAEC" w14:textId="77777777" w:rsidR="00223A02" w:rsidRPr="0091483C" w:rsidRDefault="00223A02" w:rsidP="00460C69">
            <w:pPr>
              <w:pStyle w:val="TableTitle"/>
              <w:rPr>
                <w:b/>
              </w:rPr>
            </w:pPr>
            <w:r w:rsidRPr="0091483C">
              <w:t>Table II.AIV.5:</w:t>
            </w:r>
            <w:r w:rsidRPr="0091483C">
              <w:rPr>
                <w:b/>
              </w:rPr>
              <w:tab/>
              <w:t>Coverage rates in the base case scenario</w:t>
            </w:r>
          </w:p>
        </w:tc>
      </w:tr>
      <w:tr w:rsidR="00223A02" w:rsidRPr="0091483C" w14:paraId="0301FA73" w14:textId="77777777" w:rsidTr="00460C69">
        <w:trPr>
          <w:cantSplit/>
        </w:trPr>
        <w:tc>
          <w:tcPr>
            <w:tcW w:w="4110" w:type="dxa"/>
            <w:shd w:val="clear" w:color="auto" w:fill="auto"/>
          </w:tcPr>
          <w:p w14:paraId="53E13D85" w14:textId="77777777" w:rsidR="00223A02" w:rsidRPr="0091483C" w:rsidRDefault="00223A02" w:rsidP="00460C69">
            <w:pPr>
              <w:pStyle w:val="TableShape"/>
              <w:rPr>
                <w:sz w:val="2"/>
              </w:rPr>
            </w:pPr>
            <w:r w:rsidRPr="0091483C">
              <w:fldChar w:fldCharType="begin"/>
            </w:r>
            <w:r w:rsidRPr="009F3ED8">
              <w:instrText xml:space="preserve"> TC "</w:instrText>
            </w:r>
            <w:bookmarkStart w:id="302" w:name="_Toc511664605"/>
            <w:r w:rsidRPr="009F3ED8">
              <w:instrText>II.AIV.5.</w:instrText>
            </w:r>
            <w:r w:rsidRPr="009F3ED8">
              <w:tab/>
              <w:instrText>Coverage rates in the base case scenario</w:instrText>
            </w:r>
            <w:bookmarkEnd w:id="302"/>
            <w:r w:rsidRPr="009F3ED8">
              <w:instrText xml:space="preserve">" \ftable \l 2 </w:instrText>
            </w:r>
            <w:r w:rsidRPr="0091483C">
              <w:fldChar w:fldCharType="end"/>
            </w:r>
            <w:r w:rsidRPr="0091483C">
              <w:rPr>
                <w:noProof/>
                <w:sz w:val="2"/>
                <w:lang w:val="hr-HR" w:eastAsia="hr-HR"/>
              </w:rPr>
              <w:drawing>
                <wp:inline distT="0" distB="0" distL="0" distR="0" wp14:anchorId="7307D7B8" wp14:editId="0EEBAAAD">
                  <wp:extent cx="2597595" cy="5036553"/>
                  <wp:effectExtent l="0" t="0" r="0" b="0"/>
                  <wp:docPr id="1057" name="Picture 1057" descr="&lt;nbr&gt;&lt;GETTEXTFROMWORD&gt;&lt;/nbr&gt;&#10;&lt;title&gt;&lt;GETTEXTFROMWORD&gt;&lt;/title&gt;&#10;&lt;id&gt;26f941ba-b7bf-43c0-a200-fc99fc975b08&lt;/id&gt;&#10;&lt;srcType&gt;EXCEL&lt;/srcType&gt;&#10;&lt;srcPath&gt;U:\Budgetary projections 2018\Reports\2018 AR\Tables_and_graphs\Part II Annex 4\&lt;/srcPath&gt;&#10;&lt;srcName&gt;Annex 4 Tables and Charts.xlsx&lt;/srcName&gt;&#10;&lt;type&gt;table&lt;/type&gt;&#10; &lt;srcSheet&gt;Table II.A4.4&lt;/srcSheet&gt;&#10; &lt;srcRange&gt;R2C2:R37C8&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1-19T16:56:18&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597595" cy="5036553"/>
                          </a:xfrm>
                          <a:prstGeom prst="rect">
                            <a:avLst/>
                          </a:prstGeom>
                          <a:noFill/>
                          <a:ln>
                            <a:noFill/>
                          </a:ln>
                        </pic:spPr>
                      </pic:pic>
                    </a:graphicData>
                  </a:graphic>
                </wp:inline>
              </w:drawing>
            </w:r>
          </w:p>
        </w:tc>
      </w:tr>
      <w:tr w:rsidR="00223A02" w:rsidRPr="0091483C" w14:paraId="4058B7BA" w14:textId="77777777" w:rsidTr="00460C69">
        <w:trPr>
          <w:cantSplit/>
        </w:trPr>
        <w:tc>
          <w:tcPr>
            <w:tcW w:w="4110" w:type="dxa"/>
            <w:shd w:val="clear" w:color="auto" w:fill="auto"/>
          </w:tcPr>
          <w:p w14:paraId="7DF1CD2A" w14:textId="77777777" w:rsidR="00223A02" w:rsidRPr="0091483C" w:rsidRDefault="00223A02" w:rsidP="00460C69">
            <w:pPr>
              <w:pStyle w:val="TableSource"/>
            </w:pPr>
            <w:r w:rsidRPr="0091483C">
              <w:rPr>
                <w:b/>
                <w:i/>
              </w:rPr>
              <w:t>Source:</w:t>
            </w:r>
            <w:r w:rsidRPr="0091483C">
              <w:t xml:space="preserve"> European Commission, EPC.</w:t>
            </w:r>
          </w:p>
        </w:tc>
      </w:tr>
      <w:tr w:rsidR="00223A02" w:rsidRPr="0091483C" w14:paraId="0F4C1269" w14:textId="77777777" w:rsidTr="00460C69">
        <w:trPr>
          <w:cantSplit/>
          <w:trHeight w:val="20"/>
        </w:trPr>
        <w:tc>
          <w:tcPr>
            <w:tcW w:w="4110" w:type="dxa"/>
            <w:shd w:val="clear" w:color="auto" w:fill="auto"/>
            <w:tcMar>
              <w:bottom w:w="240" w:type="dxa"/>
            </w:tcMar>
          </w:tcPr>
          <w:p w14:paraId="268D2187" w14:textId="77777777" w:rsidR="00223A02" w:rsidRPr="0091483C" w:rsidRDefault="00223A02" w:rsidP="00460C69">
            <w:pPr>
              <w:pStyle w:val="SlimCell"/>
            </w:pPr>
          </w:p>
        </w:tc>
      </w:tr>
    </w:tbl>
    <w:p w14:paraId="746AFBDE" w14:textId="77777777" w:rsidR="00223A02" w:rsidRPr="0091483C" w:rsidRDefault="00223A02" w:rsidP="00460C69"/>
    <w:p w14:paraId="474D568E" w14:textId="77777777" w:rsidR="00223A02" w:rsidRPr="0091483C" w:rsidRDefault="00223A02" w:rsidP="00460C69"/>
    <w:p w14:paraId="7CFE566E" w14:textId="77777777" w:rsidR="00223A02" w:rsidRPr="0091483C" w:rsidRDefault="00223A02" w:rsidP="00460C69"/>
    <w:p w14:paraId="4446B9CA" w14:textId="77777777" w:rsidR="00223A02" w:rsidRPr="0091483C" w:rsidRDefault="00223A02" w:rsidP="00460C69"/>
    <w:p w14:paraId="68524FB9" w14:textId="77777777" w:rsidR="00223A02" w:rsidRPr="0091483C" w:rsidRDefault="00223A02" w:rsidP="00460C69"/>
    <w:p w14:paraId="38C96824" w14:textId="77777777" w:rsidR="00223A02" w:rsidRPr="0091483C" w:rsidRDefault="00223A02" w:rsidP="00460C69"/>
    <w:p w14:paraId="21ACF131" w14:textId="77777777" w:rsidR="00223A02" w:rsidRPr="0091483C" w:rsidRDefault="00223A02" w:rsidP="00460C69"/>
    <w:p w14:paraId="02AD9C8D" w14:textId="77777777" w:rsidR="00223A02" w:rsidRDefault="00223A02" w:rsidP="00460C69"/>
    <w:bookmarkEnd w:id="294"/>
    <w:p w14:paraId="595B8618" w14:textId="77777777" w:rsidR="00223A02" w:rsidRDefault="00223A02" w:rsidP="00460C69">
      <w:pPr>
        <w:sectPr w:rsidR="00223A02" w:rsidSect="00223A02">
          <w:headerReference w:type="even" r:id="rId334"/>
          <w:headerReference w:type="default" r:id="rId335"/>
          <w:footerReference w:type="even" r:id="rId336"/>
          <w:footerReference w:type="default" r:id="rId337"/>
          <w:headerReference w:type="first" r:id="rId338"/>
          <w:footerReference w:type="first" r:id="rId339"/>
          <w:endnotePr>
            <w:numFmt w:val="decimal"/>
            <w:numRestart w:val="eachSect"/>
          </w:endnotePr>
          <w:pgSz w:w="11907" w:h="16839"/>
          <w:pgMar w:top="2693" w:right="1701" w:bottom="1417" w:left="1701" w:header="709" w:footer="1191" w:gutter="0"/>
          <w:cols w:num="2" w:space="283"/>
          <w:titlePg/>
          <w:docGrid w:linePitch="360"/>
        </w:sectPr>
      </w:pPr>
    </w:p>
    <w:bookmarkStart w:id="303" w:name="GUID6CF589FA8BE44F41A1818A1A46EC1D4D"/>
    <w:p w14:paraId="27341B64"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04" w:name="_Toc511664464"/>
      <w:r w:rsidRPr="009F3ED8">
        <w:rPr>
          <w:vanish w:val="0"/>
        </w:rPr>
        <w:instrText>AV.</w:instrText>
      </w:r>
      <w:r w:rsidRPr="009F3ED8">
        <w:rPr>
          <w:vanish w:val="0"/>
        </w:rPr>
        <w:tab/>
        <w:instrText>Input data used to project education expenditure</w:instrText>
      </w:r>
      <w:bookmarkEnd w:id="304"/>
      <w:r w:rsidRPr="009F3ED8">
        <w:rPr>
          <w:vanish w:val="0"/>
        </w:rPr>
        <w:instrText xml:space="preserve">" \f \l 2 </w:instrText>
      </w:r>
      <w:r w:rsidRPr="009F3ED8">
        <w:fldChar w:fldCharType="end"/>
      </w:r>
    </w:p>
    <w:p w14:paraId="150B9F8D" w14:textId="77777777" w:rsidR="00FB1300" w:rsidRPr="00036021" w:rsidRDefault="00FB1300" w:rsidP="00460C69">
      <w:pPr>
        <w:pStyle w:val="NumberedHeading1"/>
        <w:tabs>
          <w:tab w:val="left" w:pos="567"/>
        </w:tabs>
      </w:pPr>
      <w:bookmarkStart w:id="305" w:name="_Toc511664465"/>
      <w:r w:rsidRPr="00036021">
        <w:t>AV.1.</w:t>
      </w:r>
      <w:r w:rsidRPr="00036021">
        <w:tab/>
        <w:t>METHODOLOGY</w:t>
      </w:r>
      <w:bookmarkEnd w:id="305"/>
    </w:p>
    <w:p w14:paraId="79F49DFD" w14:textId="77777777" w:rsidR="00FB1300" w:rsidRPr="00036021" w:rsidRDefault="00FB1300" w:rsidP="00460C69">
      <w:r w:rsidRPr="00036021">
        <w:t>Expenditure data are presented in terms of GDP ratios and 2016 is the base year for the projections, using data for enrolment rates and education expenditure. (</w:t>
      </w:r>
      <w:r w:rsidRPr="00036021">
        <w:rPr>
          <w:rStyle w:val="Referencafusnote"/>
        </w:rPr>
        <w:footnoteReference w:id="146"/>
      </w:r>
      <w:r w:rsidRPr="00036021">
        <w:t>)</w:t>
      </w:r>
    </w:p>
    <w:p w14:paraId="385DF4D6" w14:textId="77777777" w:rsidR="00FB1300" w:rsidRPr="00036021" w:rsidRDefault="00FB1300" w:rsidP="00460C69">
      <w:r w:rsidRPr="00036021">
        <w:t xml:space="preserve">Besides requiring the definition of a base period, the methodology used to project education expenditure requires calculating indexes for students, education staff, and employment, together with participation rate data by single age. </w:t>
      </w:r>
    </w:p>
    <w:p w14:paraId="07868E63" w14:textId="77777777" w:rsidR="00FB1300" w:rsidRPr="00036021" w:rsidRDefault="00FB1300" w:rsidP="00460C69">
      <w:r w:rsidRPr="00036021">
        <w:t>Total expenditure on education is broken down into four components: i) expenditure on staff compensation (i.e. gross wages and salaries of teaching and non-teaching staff); ii) other current expenditure; iii) capital expenditure; and iv) transfers (e.g. scholarships and public subsidies to private education institutions). (</w:t>
      </w:r>
      <w:r w:rsidRPr="00036021">
        <w:rPr>
          <w:rStyle w:val="Referencafusnote"/>
        </w:rPr>
        <w:footnoteReference w:id="147"/>
      </w:r>
      <w:r w:rsidRPr="00036021">
        <w:t xml:space="preserve">) </w:t>
      </w:r>
    </w:p>
    <w:p w14:paraId="50111ADF" w14:textId="77777777" w:rsidR="00FB1300" w:rsidRPr="00036021" w:rsidRDefault="00FB1300" w:rsidP="00460C69">
      <w:r w:rsidRPr="00036021">
        <w:t>For details on the projection methodology, see the first volume of the 1018 Ageing Report (</w:t>
      </w:r>
      <w:r w:rsidRPr="00036021">
        <w:rPr>
          <w:rStyle w:val="Referencafusnote"/>
        </w:rPr>
        <w:footnoteReference w:id="148"/>
      </w:r>
      <w:r w:rsidRPr="00036021">
        <w:t xml:space="preserve">). </w:t>
      </w:r>
    </w:p>
    <w:p w14:paraId="3B40AB9D" w14:textId="77777777" w:rsidR="00FB1300" w:rsidRPr="00036021" w:rsidRDefault="00FB1300" w:rsidP="00460C69"/>
    <w:p w14:paraId="3B046E44" w14:textId="77777777" w:rsidR="00FB1300" w:rsidRPr="00036021" w:rsidRDefault="00FB1300" w:rsidP="00460C69"/>
    <w:p w14:paraId="34070471" w14:textId="77777777" w:rsidR="00FB1300" w:rsidRPr="00036021" w:rsidRDefault="00FB1300" w:rsidP="00460C69"/>
    <w:p w14:paraId="0C421F72" w14:textId="77777777" w:rsidR="00FB1300" w:rsidRPr="00036021" w:rsidRDefault="00FB1300" w:rsidP="00460C69"/>
    <w:p w14:paraId="5FBD1B53" w14:textId="77777777" w:rsidR="00FB1300" w:rsidRPr="00036021" w:rsidRDefault="00FB1300" w:rsidP="00460C69"/>
    <w:p w14:paraId="74CE20DB" w14:textId="77777777" w:rsidR="00FB1300" w:rsidRPr="00036021" w:rsidRDefault="00FB1300" w:rsidP="00460C69"/>
    <w:p w14:paraId="22CF6C5E" w14:textId="77777777" w:rsidR="00FB1300" w:rsidRPr="00036021" w:rsidRDefault="00FB1300" w:rsidP="00460C69"/>
    <w:p w14:paraId="0A7D20E7" w14:textId="77777777" w:rsidR="00FB1300" w:rsidRPr="00036021" w:rsidRDefault="00FB1300" w:rsidP="00460C69"/>
    <w:p w14:paraId="7D63EDB8" w14:textId="77777777" w:rsidR="00FB1300" w:rsidRPr="00036021" w:rsidRDefault="00FB1300" w:rsidP="00460C69"/>
    <w:p w14:paraId="7DA3A7B2" w14:textId="77777777" w:rsidR="00FB1300" w:rsidRPr="00036021" w:rsidRDefault="00FB1300" w:rsidP="00460C69">
      <w:pPr>
        <w:pStyle w:val="NumberedHeading1"/>
        <w:tabs>
          <w:tab w:val="left" w:pos="567"/>
        </w:tabs>
      </w:pPr>
      <w:bookmarkStart w:id="306" w:name="_Toc511664466"/>
      <w:r w:rsidRPr="00036021">
        <w:lastRenderedPageBreak/>
        <w:t>AV.2.</w:t>
      </w:r>
      <w:r w:rsidRPr="00036021">
        <w:tab/>
        <w:t>DATA</w:t>
      </w:r>
      <w:bookmarkEnd w:id="306"/>
      <w:r w:rsidRPr="00036021">
        <w:tab/>
      </w:r>
    </w:p>
    <w:p w14:paraId="0A65619C" w14:textId="77777777" w:rsidR="00FB1300" w:rsidRPr="00036021" w:rsidRDefault="00FB1300" w:rsidP="00460C69">
      <w:r w:rsidRPr="00036021">
        <w:t xml:space="preserve">Tables II.AV.1 to II.AV.6 provide useful complementary results to the projections presented in Part II, Chapter 4. Respectively, they illustrate: enrolment rates (by country, age and ISCED level) for each country in base year 2016; expenditure-to-GDP ratios in the base period (broken down by expenditure component and ISCED level); expenditure-to-GDP ratios in the Baseline and High enrolment scenarios; total expenditure on education (in levels and as percentage of GDP) for both data sources of reference (COFOG and UOE). </w:t>
      </w:r>
    </w:p>
    <w:p w14:paraId="6E5E6095" w14:textId="77777777" w:rsidR="00FB1300" w:rsidRPr="00036021" w:rsidRDefault="00FB1300" w:rsidP="00460C69">
      <w:r w:rsidRPr="00036021">
        <w:br w:type="column"/>
      </w:r>
      <w:r w:rsidRPr="00036021">
        <w:lastRenderedPageBreak/>
        <w:fldChar w:fldCharType="begin"/>
      </w:r>
      <w:r w:rsidRPr="009F3ED8">
        <w:instrText xml:space="preserve"> TC "</w:instrText>
      </w:r>
      <w:bookmarkStart w:id="307" w:name="_Toc511664606"/>
      <w:r w:rsidRPr="009F3ED8">
        <w:instrText>II.AV.1.</w:instrText>
      </w:r>
      <w:r w:rsidRPr="009F3ED8">
        <w:tab/>
        <w:instrText>Base enrolment rates by country, age and ISCED level</w:instrText>
      </w:r>
      <w:bookmarkEnd w:id="307"/>
      <w:r w:rsidRPr="009F3ED8">
        <w:instrText xml:space="preserve">" \ftable \l 5 </w:instrText>
      </w:r>
      <w:r w:rsidRPr="00036021">
        <w:fldChar w:fldCharType="end"/>
      </w:r>
    </w:p>
    <w:tbl>
      <w:tblPr>
        <w:tblpPr w:bottomFromText="240" w:horzAnchor="margin" w:tblpYSpec="top"/>
        <w:tblOverlap w:val="never"/>
        <w:tblW w:w="0" w:type="auto"/>
        <w:tblLayout w:type="fixed"/>
        <w:tblCellMar>
          <w:left w:w="0" w:type="dxa"/>
          <w:right w:w="0" w:type="dxa"/>
        </w:tblCellMar>
        <w:tblLook w:val="0000" w:firstRow="0" w:lastRow="0" w:firstColumn="0" w:lastColumn="0" w:noHBand="0" w:noVBand="0"/>
      </w:tblPr>
      <w:tblGrid>
        <w:gridCol w:w="8505"/>
      </w:tblGrid>
      <w:tr w:rsidR="00FB1300" w:rsidRPr="00036021" w14:paraId="25CE8730" w14:textId="77777777" w:rsidTr="00460C69">
        <w:trPr>
          <w:cantSplit/>
          <w:trHeight w:val="20"/>
        </w:trPr>
        <w:tc>
          <w:tcPr>
            <w:tcW w:w="8505" w:type="dxa"/>
            <w:shd w:val="clear" w:color="auto" w:fill="auto"/>
          </w:tcPr>
          <w:p w14:paraId="35AC15D6" w14:textId="77777777" w:rsidR="00FB1300" w:rsidRPr="00036021" w:rsidRDefault="00FB1300" w:rsidP="00460C69">
            <w:pPr>
              <w:pStyle w:val="SlimCell"/>
              <w:keepNext/>
            </w:pPr>
          </w:p>
        </w:tc>
      </w:tr>
      <w:tr w:rsidR="00FB1300" w:rsidRPr="00036021" w14:paraId="4B2826BC" w14:textId="77777777" w:rsidTr="00460C69">
        <w:trPr>
          <w:cantSplit/>
        </w:trPr>
        <w:tc>
          <w:tcPr>
            <w:tcW w:w="8505" w:type="dxa"/>
            <w:shd w:val="clear" w:color="auto" w:fill="auto"/>
          </w:tcPr>
          <w:p w14:paraId="7F250B1C" w14:textId="77777777" w:rsidR="00FB1300" w:rsidRPr="00036021" w:rsidRDefault="00FB1300" w:rsidP="00460C69">
            <w:pPr>
              <w:pStyle w:val="TableTitle"/>
              <w:rPr>
                <w:b/>
              </w:rPr>
            </w:pPr>
            <w:r w:rsidRPr="00036021">
              <w:t>Table II.AV.1:</w:t>
            </w:r>
            <w:r w:rsidRPr="00036021">
              <w:rPr>
                <w:b/>
              </w:rPr>
              <w:tab/>
              <w:t>Base enrolment rates by country, age and ISCED level</w:t>
            </w:r>
          </w:p>
        </w:tc>
      </w:tr>
      <w:tr w:rsidR="00FB1300" w:rsidRPr="00036021" w14:paraId="106B54A6" w14:textId="77777777" w:rsidTr="00460C69">
        <w:trPr>
          <w:cantSplit/>
        </w:trPr>
        <w:tc>
          <w:tcPr>
            <w:tcW w:w="8505" w:type="dxa"/>
            <w:shd w:val="clear" w:color="auto" w:fill="auto"/>
          </w:tcPr>
          <w:p w14:paraId="5E62D3FC" w14:textId="77777777" w:rsidR="00FB1300" w:rsidRPr="00036021" w:rsidRDefault="00FB1300" w:rsidP="00460C69">
            <w:pPr>
              <w:pStyle w:val="TableShape"/>
              <w:rPr>
                <w:sz w:val="2"/>
              </w:rPr>
            </w:pPr>
            <w:r w:rsidRPr="00036021">
              <w:rPr>
                <w:noProof/>
                <w:sz w:val="2"/>
                <w:lang w:val="hr-HR" w:eastAsia="hr-HR"/>
              </w:rPr>
              <w:drawing>
                <wp:inline distT="0" distB="0" distL="0" distR="0" wp14:anchorId="01FF7A01" wp14:editId="40F832F5">
                  <wp:extent cx="5400929" cy="4981809"/>
                  <wp:effectExtent l="0" t="0" r="9525" b="9525"/>
                  <wp:docPr id="837" name="Picture 837" descr="&lt;nbr&gt;&lt;GETTEXTFROMWORD&gt;&lt;/nbr&gt;&#10;&lt;title&gt;&lt;GETTEXTFROMWORD&gt;&lt;/title&gt;&#10;&lt;id&gt;6570b920-8d1a-4df4-8f7c-e98a35474cb0&lt;/id&gt;&#10;&lt;srcType&gt;EXCEL&lt;/srcType&gt;&#10;&lt;srcPath&gt;U:\Budgetary projections 2018\Reports\2018 AR\Tables_and_graphs\Part II  Chapter 4\Annex V Tables\&lt;/srcPath&gt;&#10;&lt;srcName&gt;Table II.AV.1-Table II.AV.6.xlsx&lt;/srcName&gt;&#10;&lt;type&gt;table&lt;/type&gt;&#10; &lt;srcSheet&gt;Table II.AV.1&lt;/srcSheet&gt;&#10; &lt;srcRange&gt;R6C2:R59C32&lt;/srcRange&gt;&#10;&lt;pos&gt;top&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08T12:44:06&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5400929" cy="4981809"/>
                          </a:xfrm>
                          <a:prstGeom prst="rect">
                            <a:avLst/>
                          </a:prstGeom>
                          <a:noFill/>
                          <a:ln>
                            <a:noFill/>
                          </a:ln>
                        </pic:spPr>
                      </pic:pic>
                    </a:graphicData>
                  </a:graphic>
                </wp:inline>
              </w:drawing>
            </w:r>
          </w:p>
        </w:tc>
      </w:tr>
      <w:tr w:rsidR="00FB1300" w:rsidRPr="00036021" w14:paraId="5A1717E0" w14:textId="77777777" w:rsidTr="00460C69">
        <w:trPr>
          <w:cantSplit/>
        </w:trPr>
        <w:tc>
          <w:tcPr>
            <w:tcW w:w="8505" w:type="dxa"/>
            <w:shd w:val="clear" w:color="auto" w:fill="auto"/>
          </w:tcPr>
          <w:p w14:paraId="009B1F94" w14:textId="77777777" w:rsidR="00FB1300" w:rsidRPr="00036021" w:rsidRDefault="00FB1300" w:rsidP="00460C69">
            <w:pPr>
              <w:pStyle w:val="TableSource"/>
            </w:pPr>
            <w:r w:rsidRPr="00036021">
              <w:rPr>
                <w:b/>
                <w:i/>
              </w:rPr>
              <w:t>Source:</w:t>
            </w:r>
            <w:r w:rsidRPr="00036021">
              <w:t xml:space="preserve"> Commission services, EPC</w:t>
            </w:r>
          </w:p>
        </w:tc>
      </w:tr>
      <w:tr w:rsidR="00FB1300" w:rsidRPr="00036021" w14:paraId="54A1930F" w14:textId="77777777" w:rsidTr="00460C69">
        <w:trPr>
          <w:cantSplit/>
          <w:trHeight w:val="20"/>
        </w:trPr>
        <w:tc>
          <w:tcPr>
            <w:tcW w:w="8505" w:type="dxa"/>
            <w:shd w:val="clear" w:color="auto" w:fill="auto"/>
          </w:tcPr>
          <w:p w14:paraId="42FBE589" w14:textId="77777777" w:rsidR="00FB1300" w:rsidRPr="00036021" w:rsidRDefault="00FB1300" w:rsidP="00460C69">
            <w:pPr>
              <w:pStyle w:val="SlimCell"/>
            </w:pPr>
          </w:p>
        </w:tc>
      </w:tr>
    </w:tbl>
    <w:p w14:paraId="55937B91" w14:textId="77777777" w:rsidR="00FB1300" w:rsidRPr="00036021" w:rsidRDefault="00FB1300" w:rsidP="00460C69"/>
    <w:p w14:paraId="15F850B4" w14:textId="77777777" w:rsidR="00FB1300" w:rsidRPr="00036021" w:rsidRDefault="00FB1300" w:rsidP="00460C69"/>
    <w:p w14:paraId="723CD9DC" w14:textId="77777777" w:rsidR="00FB1300" w:rsidRPr="00036021" w:rsidRDefault="00FB1300" w:rsidP="00460C69"/>
    <w:p w14:paraId="237ED046" w14:textId="77777777" w:rsidR="00FB1300" w:rsidRPr="00036021" w:rsidDel="00B956FE" w:rsidRDefault="00FB1300" w:rsidP="00460C69"/>
    <w:p w14:paraId="5308D0F0" w14:textId="77777777" w:rsidR="00FB1300" w:rsidRPr="00036021" w:rsidRDefault="00FB1300" w:rsidP="00460C69">
      <w:r w:rsidRPr="00036021">
        <w:br w:type="page"/>
      </w:r>
    </w:p>
    <w:tbl>
      <w:tblPr>
        <w:tblW w:w="0" w:type="auto"/>
        <w:tblLayout w:type="fixed"/>
        <w:tblCellMar>
          <w:left w:w="0" w:type="dxa"/>
          <w:right w:w="0" w:type="dxa"/>
        </w:tblCellMar>
        <w:tblLook w:val="0000" w:firstRow="0" w:lastRow="0" w:firstColumn="0" w:lastColumn="0" w:noHBand="0" w:noVBand="0"/>
      </w:tblPr>
      <w:tblGrid>
        <w:gridCol w:w="4110"/>
      </w:tblGrid>
      <w:tr w:rsidR="00FB1300" w:rsidRPr="00036021" w14:paraId="2213CFA2" w14:textId="77777777" w:rsidTr="00460C69">
        <w:trPr>
          <w:cantSplit/>
          <w:trHeight w:val="20"/>
        </w:trPr>
        <w:tc>
          <w:tcPr>
            <w:tcW w:w="4110" w:type="dxa"/>
            <w:shd w:val="clear" w:color="auto" w:fill="auto"/>
          </w:tcPr>
          <w:p w14:paraId="14447A48" w14:textId="77777777" w:rsidR="00FB1300" w:rsidRPr="00036021" w:rsidRDefault="00FB1300" w:rsidP="00460C69">
            <w:pPr>
              <w:pStyle w:val="SlimCell"/>
              <w:keepNext/>
            </w:pPr>
          </w:p>
        </w:tc>
      </w:tr>
      <w:tr w:rsidR="00FB1300" w:rsidRPr="00036021" w14:paraId="4B8B2D12" w14:textId="77777777" w:rsidTr="00460C69">
        <w:trPr>
          <w:cantSplit/>
        </w:trPr>
        <w:tc>
          <w:tcPr>
            <w:tcW w:w="4110" w:type="dxa"/>
            <w:shd w:val="clear" w:color="auto" w:fill="auto"/>
          </w:tcPr>
          <w:p w14:paraId="6D114B85" w14:textId="77777777" w:rsidR="00FB1300" w:rsidRPr="00036021" w:rsidRDefault="00FB1300" w:rsidP="00460C69">
            <w:pPr>
              <w:pStyle w:val="TableTitle"/>
              <w:rPr>
                <w:b/>
              </w:rPr>
            </w:pPr>
            <w:r w:rsidRPr="00036021">
              <w:t>Table II.AV.2:</w:t>
            </w:r>
            <w:r w:rsidRPr="00036021">
              <w:rPr>
                <w:b/>
              </w:rPr>
              <w:tab/>
              <w:t>Expenditure-to-GDP ratio in the base period - Breakdown by component</w:t>
            </w:r>
          </w:p>
        </w:tc>
      </w:tr>
      <w:tr w:rsidR="00FB1300" w:rsidRPr="00036021" w14:paraId="604DDFD3" w14:textId="77777777" w:rsidTr="00460C69">
        <w:trPr>
          <w:cantSplit/>
        </w:trPr>
        <w:tc>
          <w:tcPr>
            <w:tcW w:w="4110" w:type="dxa"/>
            <w:shd w:val="clear" w:color="auto" w:fill="auto"/>
          </w:tcPr>
          <w:p w14:paraId="354CD9D7" w14:textId="77777777" w:rsidR="00FB1300" w:rsidRPr="00036021" w:rsidRDefault="00FB1300" w:rsidP="00460C69">
            <w:pPr>
              <w:pStyle w:val="TableShape"/>
              <w:rPr>
                <w:sz w:val="2"/>
              </w:rPr>
            </w:pPr>
            <w:r w:rsidRPr="00036021">
              <w:fldChar w:fldCharType="begin"/>
            </w:r>
            <w:r w:rsidRPr="009F3ED8">
              <w:instrText xml:space="preserve"> TC "</w:instrText>
            </w:r>
            <w:bookmarkStart w:id="308" w:name="_Toc511664607"/>
            <w:r w:rsidRPr="009F3ED8">
              <w:instrText>II.AV.2.</w:instrText>
            </w:r>
            <w:r w:rsidRPr="009F3ED8">
              <w:tab/>
              <w:instrText>Expenditure-to-GDP ratio in the base period - Breakdown by component</w:instrText>
            </w:r>
            <w:bookmarkEnd w:id="308"/>
            <w:r w:rsidRPr="009F3ED8">
              <w:instrText xml:space="preserve">" \ftable \l 5 </w:instrText>
            </w:r>
            <w:r w:rsidRPr="00036021">
              <w:fldChar w:fldCharType="end"/>
            </w:r>
            <w:r w:rsidRPr="00036021">
              <w:rPr>
                <w:noProof/>
                <w:sz w:val="2"/>
                <w:lang w:val="hr-HR" w:eastAsia="hr-HR"/>
              </w:rPr>
              <w:drawing>
                <wp:inline distT="0" distB="0" distL="0" distR="0" wp14:anchorId="0CC7BC7F" wp14:editId="6597164C">
                  <wp:extent cx="2597595" cy="2989732"/>
                  <wp:effectExtent l="0" t="0" r="0" b="1270"/>
                  <wp:docPr id="838" name="Picture 838" descr="&lt;nbr&gt;&lt;GETTEXTFROMWORD&gt;&lt;/nbr&gt;&#10;&lt;title&gt;&lt;GETTEXTFROMWORD&gt;&lt;/title&gt;&#10;&lt;id&gt;ddfa6a4c-464c-4d48-912a-93006bd9d353&lt;/id&gt;&#10;&lt;srcType&gt;EXCEL&lt;/srcType&gt;&#10;&lt;srcPath&gt;U:\Budgetary projections 2018\Reports\2018 AR\Tables_and_graphs\Part II  Chapter 4\Annex V Tables\&lt;/srcPath&gt;&#10;&lt;srcName&gt;Table II.AV.1-Table II.AV.6.xlsx&lt;/srcName&gt;&#10;&lt;type&gt;table&lt;/type&gt;&#10; &lt;srcSheet&gt;Table II.AV.2&lt;/srcSheet&gt;&#10; &lt;srcRange&gt;R3C2:R33C7&lt;/srcRange&gt;&#10;&lt;pos&gt;inline&lt;/pos&gt;&#10;&lt;numbering&gt;internal&lt;/numbering&gt;&#10;&lt;manNumb&gt;no&lt;/manNumb&gt;&#10; &lt;insFtn&gt;yes&lt;/insFtn&gt;&#10; &lt;insSrc&gt;yes&lt;/insSrc&gt;&#10; &lt;ftnText&gt;&lt;GETTEXTFROMWORD&gt;&lt;/ftnText&gt;&#10; &lt;shpSrc&gt;&lt;GETTEXTFROMWORD&gt;&lt;/shpSrc&gt;&#10;&lt;multi&gt;no&lt;/multi&gt;&#10;&lt;statAnn&gt;no&lt;/statAnn&gt;&#10;&lt;float&gt;no&lt;/float&gt;&#10;&lt;bottomShapePageNumber&gt;-1&lt;/bottomShapePageNumber&gt;&#10;&lt;version&gt;2&lt;/version&gt;&#10;&lt;scrFileTime&gt;2018-03-08T12:44:06&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597595" cy="2989732"/>
                          </a:xfrm>
                          <a:prstGeom prst="rect">
                            <a:avLst/>
                          </a:prstGeom>
                          <a:noFill/>
                          <a:ln>
                            <a:noFill/>
                          </a:ln>
                        </pic:spPr>
                      </pic:pic>
                    </a:graphicData>
                  </a:graphic>
                </wp:inline>
              </w:drawing>
            </w:r>
          </w:p>
        </w:tc>
      </w:tr>
      <w:tr w:rsidR="00FB1300" w:rsidRPr="00036021" w14:paraId="0C440B11" w14:textId="77777777" w:rsidTr="00460C69">
        <w:trPr>
          <w:cantSplit/>
        </w:trPr>
        <w:tc>
          <w:tcPr>
            <w:tcW w:w="4110" w:type="dxa"/>
            <w:shd w:val="clear" w:color="auto" w:fill="auto"/>
          </w:tcPr>
          <w:p w14:paraId="26908FE0" w14:textId="77777777" w:rsidR="00FB1300" w:rsidRDefault="00FB1300" w:rsidP="00460C69">
            <w:pPr>
              <w:pStyle w:val="TableFootnote"/>
            </w:pPr>
            <w:r>
              <w:t>(1) For the definition of the variables, see Part II, Chapter 4</w:t>
            </w:r>
          </w:p>
          <w:p w14:paraId="12EC3F46" w14:textId="77777777" w:rsidR="00FB1300" w:rsidRPr="00036021" w:rsidRDefault="00FB1300" w:rsidP="00460C69">
            <w:pPr>
              <w:pStyle w:val="TableSource"/>
            </w:pPr>
            <w:r w:rsidRPr="00036021">
              <w:rPr>
                <w:b/>
                <w:i/>
              </w:rPr>
              <w:t>Source:</w:t>
            </w:r>
            <w:r w:rsidRPr="00036021">
              <w:t xml:space="preserve"> Commission services, EPC</w:t>
            </w:r>
          </w:p>
        </w:tc>
      </w:tr>
      <w:tr w:rsidR="00FB1300" w:rsidRPr="00036021" w14:paraId="479DA6EF" w14:textId="77777777" w:rsidTr="00460C69">
        <w:trPr>
          <w:cantSplit/>
          <w:trHeight w:val="20"/>
        </w:trPr>
        <w:tc>
          <w:tcPr>
            <w:tcW w:w="4110" w:type="dxa"/>
            <w:shd w:val="clear" w:color="auto" w:fill="auto"/>
            <w:tcMar>
              <w:bottom w:w="240" w:type="dxa"/>
            </w:tcMar>
          </w:tcPr>
          <w:p w14:paraId="29694C37" w14:textId="77777777" w:rsidR="00FB1300" w:rsidRPr="00036021" w:rsidRDefault="00FB1300" w:rsidP="00460C69">
            <w:pPr>
              <w:pStyle w:val="SlimCell"/>
            </w:pPr>
          </w:p>
        </w:tc>
      </w:tr>
    </w:tbl>
    <w:p w14:paraId="0619E735" w14:textId="77777777" w:rsidR="00FB1300" w:rsidRPr="00036021" w:rsidRDefault="00FB1300" w:rsidP="00460C69">
      <w:pPr>
        <w:pStyle w:val="MultipageDelimiter"/>
      </w:pPr>
    </w:p>
    <w:tbl>
      <w:tblPr>
        <w:tblW w:w="0" w:type="auto"/>
        <w:tblLayout w:type="fixed"/>
        <w:tblCellMar>
          <w:left w:w="0" w:type="dxa"/>
          <w:right w:w="0" w:type="dxa"/>
        </w:tblCellMar>
        <w:tblLook w:val="0000" w:firstRow="0" w:lastRow="0" w:firstColumn="0" w:lastColumn="0" w:noHBand="0" w:noVBand="0"/>
      </w:tblPr>
      <w:tblGrid>
        <w:gridCol w:w="4110"/>
      </w:tblGrid>
      <w:tr w:rsidR="00FB1300" w:rsidRPr="00036021" w14:paraId="478DEBD3" w14:textId="77777777" w:rsidTr="00460C69">
        <w:trPr>
          <w:cantSplit/>
          <w:trHeight w:val="20"/>
        </w:trPr>
        <w:tc>
          <w:tcPr>
            <w:tcW w:w="4110" w:type="dxa"/>
            <w:shd w:val="clear" w:color="auto" w:fill="auto"/>
          </w:tcPr>
          <w:p w14:paraId="2AC7A190" w14:textId="77777777" w:rsidR="00FB1300" w:rsidRPr="00036021" w:rsidRDefault="00FB1300" w:rsidP="00460C69">
            <w:pPr>
              <w:pStyle w:val="SlimCell"/>
              <w:keepNext/>
            </w:pPr>
          </w:p>
        </w:tc>
      </w:tr>
      <w:tr w:rsidR="00FB1300" w:rsidRPr="00036021" w14:paraId="6070B282" w14:textId="77777777" w:rsidTr="00460C69">
        <w:trPr>
          <w:cantSplit/>
        </w:trPr>
        <w:tc>
          <w:tcPr>
            <w:tcW w:w="4110" w:type="dxa"/>
            <w:shd w:val="clear" w:color="auto" w:fill="auto"/>
          </w:tcPr>
          <w:p w14:paraId="2A9CE7AD" w14:textId="77777777" w:rsidR="00FB1300" w:rsidRPr="00036021" w:rsidRDefault="00FB1300" w:rsidP="00460C69">
            <w:pPr>
              <w:pStyle w:val="TableTitle"/>
              <w:rPr>
                <w:b/>
              </w:rPr>
            </w:pPr>
            <w:r w:rsidRPr="00036021">
              <w:t>Table II.AV.3:</w:t>
            </w:r>
            <w:r w:rsidRPr="00036021">
              <w:rPr>
                <w:b/>
              </w:rPr>
              <w:tab/>
              <w:t>Expenditure-to-GDP ratio in the base period - Breakdown by ISCED levels</w:t>
            </w:r>
          </w:p>
        </w:tc>
      </w:tr>
      <w:tr w:rsidR="00FB1300" w:rsidRPr="00036021" w14:paraId="00D58CDD" w14:textId="77777777" w:rsidTr="00460C69">
        <w:trPr>
          <w:cantSplit/>
        </w:trPr>
        <w:tc>
          <w:tcPr>
            <w:tcW w:w="4110" w:type="dxa"/>
            <w:shd w:val="clear" w:color="auto" w:fill="auto"/>
          </w:tcPr>
          <w:p w14:paraId="5E7D1D2F" w14:textId="77777777" w:rsidR="00FB1300" w:rsidRPr="00036021" w:rsidRDefault="00FB1300" w:rsidP="00460C69">
            <w:pPr>
              <w:pStyle w:val="TableShape"/>
              <w:rPr>
                <w:sz w:val="2"/>
              </w:rPr>
            </w:pPr>
            <w:r w:rsidRPr="00036021">
              <w:fldChar w:fldCharType="begin"/>
            </w:r>
            <w:r w:rsidRPr="009F3ED8">
              <w:instrText xml:space="preserve"> TC "</w:instrText>
            </w:r>
            <w:bookmarkStart w:id="309" w:name="_Toc511664608"/>
            <w:r w:rsidRPr="009F3ED8">
              <w:instrText>II.AV.3.</w:instrText>
            </w:r>
            <w:r w:rsidRPr="009F3ED8">
              <w:tab/>
              <w:instrText>Expenditure-to-GDP ratio in the base period - Breakdown by ISCED levels</w:instrText>
            </w:r>
            <w:bookmarkEnd w:id="309"/>
            <w:r w:rsidRPr="009F3ED8">
              <w:instrText xml:space="preserve">" \ftable \l 5 </w:instrText>
            </w:r>
            <w:r w:rsidRPr="00036021">
              <w:fldChar w:fldCharType="end"/>
            </w:r>
            <w:r w:rsidRPr="00036021">
              <w:rPr>
                <w:noProof/>
                <w:sz w:val="2"/>
                <w:lang w:val="hr-HR" w:eastAsia="hr-HR"/>
              </w:rPr>
              <w:drawing>
                <wp:inline distT="0" distB="0" distL="0" distR="0" wp14:anchorId="703F4A5B" wp14:editId="471482B7">
                  <wp:extent cx="2597595" cy="2838348"/>
                  <wp:effectExtent l="0" t="0" r="0" b="635"/>
                  <wp:docPr id="839" name="Picture 839" descr="&lt;nbr&gt;&lt;GETTEXTFROMWORD&gt;&lt;/nbr&gt;&#10;&lt;title&gt;&lt;GETTEXTFROMWORD&gt;&lt;/title&gt;&#10;&lt;id&gt;2eb8b8bf-588a-4782-94aa-2342f5352593&lt;/id&gt;&#10;&lt;srcType&gt;EXCEL&lt;/srcType&gt;&#10;&lt;srcPath&gt;U:\Budgetary projections 2018\Reports\2018 AR\Tables_and_graphs\Part II  Chapter 4\Annex V Tables\&lt;/srcPath&gt;&#10;&lt;srcName&gt;Table II.AV.1-Table II.AV.6.xlsx&lt;/srcName&gt;&#10;&lt;type&gt;table&lt;/type&gt;&#10; &lt;srcSheet&gt;Table II.AV.3&lt;/srcSheet&gt;&#10; &lt;srcRange&gt;R2C2:R31C12&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08T12:44:06&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597595" cy="2838348"/>
                          </a:xfrm>
                          <a:prstGeom prst="rect">
                            <a:avLst/>
                          </a:prstGeom>
                          <a:noFill/>
                          <a:ln>
                            <a:noFill/>
                          </a:ln>
                        </pic:spPr>
                      </pic:pic>
                    </a:graphicData>
                  </a:graphic>
                </wp:inline>
              </w:drawing>
            </w:r>
          </w:p>
        </w:tc>
      </w:tr>
      <w:tr w:rsidR="00FB1300" w:rsidRPr="00036021" w14:paraId="0ABC7073" w14:textId="77777777" w:rsidTr="00460C69">
        <w:trPr>
          <w:cantSplit/>
        </w:trPr>
        <w:tc>
          <w:tcPr>
            <w:tcW w:w="4110" w:type="dxa"/>
            <w:shd w:val="clear" w:color="auto" w:fill="auto"/>
          </w:tcPr>
          <w:p w14:paraId="1B89A645" w14:textId="77777777" w:rsidR="00FB1300" w:rsidRPr="00036021" w:rsidRDefault="00FB1300" w:rsidP="00460C69">
            <w:pPr>
              <w:pStyle w:val="TableSource"/>
            </w:pPr>
            <w:r w:rsidRPr="00036021">
              <w:rPr>
                <w:b/>
                <w:i/>
              </w:rPr>
              <w:t>Source:</w:t>
            </w:r>
            <w:r w:rsidRPr="00036021">
              <w:t xml:space="preserve"> Commission services, EPC</w:t>
            </w:r>
          </w:p>
        </w:tc>
      </w:tr>
      <w:tr w:rsidR="00FB1300" w:rsidRPr="00036021" w14:paraId="0340E049" w14:textId="77777777" w:rsidTr="00460C69">
        <w:trPr>
          <w:cantSplit/>
          <w:trHeight w:val="20"/>
        </w:trPr>
        <w:tc>
          <w:tcPr>
            <w:tcW w:w="4110" w:type="dxa"/>
            <w:shd w:val="clear" w:color="auto" w:fill="auto"/>
            <w:tcMar>
              <w:bottom w:w="240" w:type="dxa"/>
            </w:tcMar>
          </w:tcPr>
          <w:p w14:paraId="7A32A069" w14:textId="77777777" w:rsidR="00FB1300" w:rsidRPr="00036021" w:rsidRDefault="00FB1300" w:rsidP="00460C69">
            <w:pPr>
              <w:pStyle w:val="SlimCell"/>
            </w:pPr>
          </w:p>
        </w:tc>
      </w:tr>
    </w:tbl>
    <w:p w14:paraId="6AE8FD40" w14:textId="77777777" w:rsidR="00FB1300" w:rsidRPr="00036021" w:rsidRDefault="00FB1300" w:rsidP="00460C69"/>
    <w:p w14:paraId="07486AF4" w14:textId="77777777" w:rsidR="00FB1300" w:rsidRPr="00036021" w:rsidRDefault="00FB1300" w:rsidP="00460C69">
      <w:r w:rsidRPr="00036021">
        <w:t xml:space="preserve"> </w:t>
      </w:r>
      <w:r w:rsidRPr="00036021">
        <w:br w:type="column"/>
      </w:r>
    </w:p>
    <w:tbl>
      <w:tblPr>
        <w:tblW w:w="0" w:type="auto"/>
        <w:tblLayout w:type="fixed"/>
        <w:tblCellMar>
          <w:left w:w="0" w:type="dxa"/>
          <w:right w:w="0" w:type="dxa"/>
        </w:tblCellMar>
        <w:tblLook w:val="0000" w:firstRow="0" w:lastRow="0" w:firstColumn="0" w:lastColumn="0" w:noHBand="0" w:noVBand="0"/>
      </w:tblPr>
      <w:tblGrid>
        <w:gridCol w:w="4110"/>
      </w:tblGrid>
      <w:tr w:rsidR="00FB1300" w:rsidRPr="00036021" w14:paraId="11A7AD81" w14:textId="77777777" w:rsidTr="00460C69">
        <w:trPr>
          <w:cantSplit/>
          <w:trHeight w:val="20"/>
        </w:trPr>
        <w:tc>
          <w:tcPr>
            <w:tcW w:w="4110" w:type="dxa"/>
            <w:shd w:val="clear" w:color="auto" w:fill="auto"/>
          </w:tcPr>
          <w:p w14:paraId="003BD003" w14:textId="77777777" w:rsidR="00FB1300" w:rsidRPr="00036021" w:rsidRDefault="00FB1300" w:rsidP="00460C69">
            <w:pPr>
              <w:pStyle w:val="SlimCell"/>
              <w:keepNext/>
            </w:pPr>
          </w:p>
        </w:tc>
      </w:tr>
      <w:tr w:rsidR="00FB1300" w:rsidRPr="00036021" w14:paraId="7032F351" w14:textId="77777777" w:rsidTr="00460C69">
        <w:trPr>
          <w:cantSplit/>
        </w:trPr>
        <w:tc>
          <w:tcPr>
            <w:tcW w:w="4110" w:type="dxa"/>
            <w:shd w:val="clear" w:color="auto" w:fill="auto"/>
          </w:tcPr>
          <w:p w14:paraId="68B7D9FF" w14:textId="77777777" w:rsidR="00FB1300" w:rsidRPr="00036021" w:rsidRDefault="00FB1300" w:rsidP="00460C69">
            <w:pPr>
              <w:pStyle w:val="TableTitle"/>
              <w:rPr>
                <w:b/>
              </w:rPr>
            </w:pPr>
            <w:r w:rsidRPr="00036021">
              <w:t>Table II.AV.4:</w:t>
            </w:r>
            <w:r w:rsidRPr="00036021">
              <w:rPr>
                <w:b/>
              </w:rPr>
              <w:tab/>
              <w:t>Results of the Baseline scenario (Public education expenditure as percentage of GDP)</w:t>
            </w:r>
          </w:p>
        </w:tc>
      </w:tr>
      <w:tr w:rsidR="00FB1300" w:rsidRPr="00036021" w14:paraId="2E8D6EEF" w14:textId="77777777" w:rsidTr="00460C69">
        <w:trPr>
          <w:cantSplit/>
        </w:trPr>
        <w:tc>
          <w:tcPr>
            <w:tcW w:w="4110" w:type="dxa"/>
            <w:shd w:val="clear" w:color="auto" w:fill="auto"/>
          </w:tcPr>
          <w:p w14:paraId="6DAD5B1E" w14:textId="77777777" w:rsidR="00FB1300" w:rsidRPr="00036021" w:rsidRDefault="00FB1300" w:rsidP="00460C69">
            <w:pPr>
              <w:pStyle w:val="TableShape"/>
              <w:rPr>
                <w:sz w:val="2"/>
              </w:rPr>
            </w:pPr>
            <w:r w:rsidRPr="00036021">
              <w:fldChar w:fldCharType="begin"/>
            </w:r>
            <w:r w:rsidRPr="009F3ED8">
              <w:instrText xml:space="preserve"> TC "</w:instrText>
            </w:r>
            <w:bookmarkStart w:id="310" w:name="_Toc511664609"/>
            <w:r w:rsidRPr="009F3ED8">
              <w:instrText>II.AV.4.</w:instrText>
            </w:r>
            <w:r w:rsidRPr="009F3ED8">
              <w:tab/>
              <w:instrText>Results of the Baseline scenario (Public education expenditure as percentage of GDP)</w:instrText>
            </w:r>
            <w:bookmarkEnd w:id="310"/>
            <w:r w:rsidRPr="009F3ED8">
              <w:instrText xml:space="preserve">" \ftable \l 5 </w:instrText>
            </w:r>
            <w:r w:rsidRPr="00036021">
              <w:fldChar w:fldCharType="end"/>
            </w:r>
            <w:r w:rsidRPr="00036021">
              <w:rPr>
                <w:noProof/>
                <w:sz w:val="2"/>
                <w:lang w:val="hr-HR" w:eastAsia="hr-HR"/>
              </w:rPr>
              <w:drawing>
                <wp:inline distT="0" distB="0" distL="0" distR="0" wp14:anchorId="78E7717B" wp14:editId="61F97511">
                  <wp:extent cx="2597595" cy="3023254"/>
                  <wp:effectExtent l="0" t="0" r="0" b="5715"/>
                  <wp:docPr id="840" name="Picture 840" descr="&lt;nbr&gt;&lt;GETTEXTFROMWORD&gt;&lt;/nbr&gt;&#10;&lt;title&gt;&lt;GETTEXTFROMWORD&gt;&lt;/title&gt;&#10;&lt;id&gt;cb09f759-3a0c-4cb6-b643-ae3b661e7caf&lt;/id&gt;&#10;&lt;srcType&gt;EXCEL&lt;/srcType&gt;&#10;&lt;srcPath&gt;U:\Budgetary projections 2018\Reports\2018 AR\Tables_and_graphs\Part II  Chapter 4\Annex V Tables\&lt;/srcPath&gt;&#10;&lt;srcName&gt;Table II.AV.1-Table II.AV.6.xlsx&lt;/srcName&gt;&#10;&lt;type&gt;table&lt;/type&gt;&#10; &lt;srcSheet&gt;Table II.AV.4&lt;/srcSheet&gt;&#10; &lt;srcRange&gt;R3C2:R34C9&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08T12:44:06&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2597595" cy="3023254"/>
                          </a:xfrm>
                          <a:prstGeom prst="rect">
                            <a:avLst/>
                          </a:prstGeom>
                          <a:noFill/>
                          <a:ln>
                            <a:noFill/>
                          </a:ln>
                        </pic:spPr>
                      </pic:pic>
                    </a:graphicData>
                  </a:graphic>
                </wp:inline>
              </w:drawing>
            </w:r>
          </w:p>
        </w:tc>
      </w:tr>
      <w:tr w:rsidR="00FB1300" w:rsidRPr="00036021" w14:paraId="39DF1EA5" w14:textId="77777777" w:rsidTr="00460C69">
        <w:trPr>
          <w:cantSplit/>
        </w:trPr>
        <w:tc>
          <w:tcPr>
            <w:tcW w:w="4110" w:type="dxa"/>
            <w:shd w:val="clear" w:color="auto" w:fill="auto"/>
          </w:tcPr>
          <w:p w14:paraId="02E582FF" w14:textId="77777777" w:rsidR="00FB1300" w:rsidRPr="00036021" w:rsidRDefault="00FB1300" w:rsidP="00460C69">
            <w:pPr>
              <w:pStyle w:val="TableSource"/>
            </w:pPr>
            <w:r w:rsidRPr="00036021">
              <w:rPr>
                <w:b/>
                <w:i/>
              </w:rPr>
              <w:t>Source:</w:t>
            </w:r>
            <w:r w:rsidRPr="00036021">
              <w:t xml:space="preserve"> Commission services, EPC</w:t>
            </w:r>
          </w:p>
        </w:tc>
      </w:tr>
      <w:tr w:rsidR="00FB1300" w:rsidRPr="00036021" w14:paraId="144035A2" w14:textId="77777777" w:rsidTr="00460C69">
        <w:trPr>
          <w:cantSplit/>
          <w:trHeight w:val="20"/>
        </w:trPr>
        <w:tc>
          <w:tcPr>
            <w:tcW w:w="4110" w:type="dxa"/>
            <w:shd w:val="clear" w:color="auto" w:fill="auto"/>
            <w:tcMar>
              <w:bottom w:w="240" w:type="dxa"/>
            </w:tcMar>
          </w:tcPr>
          <w:p w14:paraId="3FA767A7" w14:textId="77777777" w:rsidR="00FB1300" w:rsidRPr="00036021" w:rsidRDefault="00FB1300" w:rsidP="00460C69">
            <w:pPr>
              <w:pStyle w:val="SlimCell"/>
            </w:pPr>
          </w:p>
        </w:tc>
      </w:tr>
    </w:tbl>
    <w:p w14:paraId="7E5631A8" w14:textId="77777777" w:rsidR="00FB1300" w:rsidRPr="00036021" w:rsidRDefault="00FB1300" w:rsidP="00460C69">
      <w:pPr>
        <w:pStyle w:val="MultipageDelimiter"/>
      </w:pPr>
    </w:p>
    <w:tbl>
      <w:tblPr>
        <w:tblW w:w="0" w:type="auto"/>
        <w:tblLayout w:type="fixed"/>
        <w:tblCellMar>
          <w:left w:w="0" w:type="dxa"/>
          <w:right w:w="0" w:type="dxa"/>
        </w:tblCellMar>
        <w:tblLook w:val="0000" w:firstRow="0" w:lastRow="0" w:firstColumn="0" w:lastColumn="0" w:noHBand="0" w:noVBand="0"/>
      </w:tblPr>
      <w:tblGrid>
        <w:gridCol w:w="4110"/>
      </w:tblGrid>
      <w:tr w:rsidR="00FB1300" w:rsidRPr="00036021" w14:paraId="0786CA03" w14:textId="77777777" w:rsidTr="00460C69">
        <w:trPr>
          <w:cantSplit/>
          <w:trHeight w:val="20"/>
        </w:trPr>
        <w:tc>
          <w:tcPr>
            <w:tcW w:w="4110" w:type="dxa"/>
            <w:shd w:val="clear" w:color="auto" w:fill="auto"/>
          </w:tcPr>
          <w:p w14:paraId="4BBC07DF" w14:textId="77777777" w:rsidR="00FB1300" w:rsidRPr="00036021" w:rsidRDefault="00FB1300" w:rsidP="00460C69">
            <w:pPr>
              <w:pStyle w:val="SlimCell"/>
              <w:keepNext/>
            </w:pPr>
          </w:p>
        </w:tc>
      </w:tr>
      <w:tr w:rsidR="00FB1300" w:rsidRPr="00036021" w14:paraId="02536D92" w14:textId="77777777" w:rsidTr="00460C69">
        <w:trPr>
          <w:cantSplit/>
        </w:trPr>
        <w:tc>
          <w:tcPr>
            <w:tcW w:w="4110" w:type="dxa"/>
            <w:shd w:val="clear" w:color="auto" w:fill="auto"/>
          </w:tcPr>
          <w:p w14:paraId="590079F4" w14:textId="77777777" w:rsidR="00FB1300" w:rsidRPr="00036021" w:rsidRDefault="00FB1300" w:rsidP="00460C69">
            <w:pPr>
              <w:pStyle w:val="TableTitle"/>
              <w:rPr>
                <w:b/>
              </w:rPr>
            </w:pPr>
            <w:r w:rsidRPr="00036021">
              <w:t>Table II.AV.5:</w:t>
            </w:r>
            <w:r w:rsidRPr="00036021">
              <w:rPr>
                <w:b/>
              </w:rPr>
              <w:tab/>
              <w:t>Results of the High Enrolment Rate scenario (Public education expenditure as percentage of GDP)</w:t>
            </w:r>
          </w:p>
        </w:tc>
      </w:tr>
      <w:tr w:rsidR="00FB1300" w:rsidRPr="00036021" w14:paraId="564316E5" w14:textId="77777777" w:rsidTr="00460C69">
        <w:trPr>
          <w:cantSplit/>
        </w:trPr>
        <w:tc>
          <w:tcPr>
            <w:tcW w:w="4110" w:type="dxa"/>
            <w:shd w:val="clear" w:color="auto" w:fill="auto"/>
          </w:tcPr>
          <w:p w14:paraId="559F2B0B" w14:textId="77777777" w:rsidR="00FB1300" w:rsidRPr="00036021" w:rsidRDefault="00FB1300" w:rsidP="00460C69">
            <w:pPr>
              <w:pStyle w:val="TableShape"/>
              <w:rPr>
                <w:sz w:val="2"/>
              </w:rPr>
            </w:pPr>
            <w:r w:rsidRPr="00036021">
              <w:fldChar w:fldCharType="begin"/>
            </w:r>
            <w:r w:rsidRPr="009F3ED8">
              <w:instrText xml:space="preserve"> TC "</w:instrText>
            </w:r>
            <w:bookmarkStart w:id="311" w:name="_Toc511664610"/>
            <w:r w:rsidRPr="009F3ED8">
              <w:instrText>II.AV.5.</w:instrText>
            </w:r>
            <w:r w:rsidRPr="009F3ED8">
              <w:tab/>
              <w:instrText>Results of the High Enrolment Rate scenario (Public education expenditure as percentage of GDP)</w:instrText>
            </w:r>
            <w:bookmarkEnd w:id="311"/>
            <w:r w:rsidRPr="009F3ED8">
              <w:instrText xml:space="preserve">" \ftable \l 5 </w:instrText>
            </w:r>
            <w:r w:rsidRPr="00036021">
              <w:fldChar w:fldCharType="end"/>
            </w:r>
            <w:r w:rsidRPr="00036021">
              <w:rPr>
                <w:noProof/>
                <w:sz w:val="2"/>
                <w:lang w:val="hr-HR" w:eastAsia="hr-HR"/>
              </w:rPr>
              <w:drawing>
                <wp:inline distT="0" distB="0" distL="0" distR="0" wp14:anchorId="3A0CF0E8" wp14:editId="1D82C50E">
                  <wp:extent cx="2597595" cy="3015032"/>
                  <wp:effectExtent l="0" t="0" r="0" b="0"/>
                  <wp:docPr id="841" name="Picture 841" descr="&lt;nbr&gt;&lt;GETTEXTFROMWORD&gt;&lt;/nbr&gt;&#10;&lt;title&gt;&lt;GETTEXTFROMWORD&gt;&lt;/title&gt;&#10;&lt;id&gt;8ad6119f-1b3f-40df-9858-ff29c1bfe130&lt;/id&gt;&#10;&lt;srcType&gt;EXCEL&lt;/srcType&gt;&#10;&lt;srcPath&gt;U:\Budgetary projections 2018\Reports\2018 AR\Tables_and_graphs\Part II  Chapter 4\Annex V Tables\&lt;/srcPath&gt;&#10;&lt;srcName&gt;Table II.AV.1-Table II.AV.6.xlsx&lt;/srcName&gt;&#10;&lt;type&gt;table&lt;/type&gt;&#10; &lt;srcSheet&gt;Table II.AV.5&lt;/srcSheet&gt;&#10; &lt;srcRange&gt;R3C2:R34C9&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08T12:44:06&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597595" cy="3015032"/>
                          </a:xfrm>
                          <a:prstGeom prst="rect">
                            <a:avLst/>
                          </a:prstGeom>
                          <a:noFill/>
                          <a:ln>
                            <a:noFill/>
                          </a:ln>
                        </pic:spPr>
                      </pic:pic>
                    </a:graphicData>
                  </a:graphic>
                </wp:inline>
              </w:drawing>
            </w:r>
          </w:p>
        </w:tc>
      </w:tr>
      <w:tr w:rsidR="00FB1300" w:rsidRPr="00036021" w14:paraId="284060C9" w14:textId="77777777" w:rsidTr="00460C69">
        <w:trPr>
          <w:cantSplit/>
        </w:trPr>
        <w:tc>
          <w:tcPr>
            <w:tcW w:w="4110" w:type="dxa"/>
            <w:shd w:val="clear" w:color="auto" w:fill="auto"/>
          </w:tcPr>
          <w:p w14:paraId="66D22E20" w14:textId="77777777" w:rsidR="00FB1300" w:rsidRPr="00036021" w:rsidRDefault="00FB1300" w:rsidP="00460C69">
            <w:pPr>
              <w:pStyle w:val="TableSource"/>
            </w:pPr>
            <w:r w:rsidRPr="00036021">
              <w:rPr>
                <w:b/>
                <w:i/>
              </w:rPr>
              <w:t>Source:</w:t>
            </w:r>
            <w:r w:rsidRPr="00036021">
              <w:t xml:space="preserve"> Commission services, EPC</w:t>
            </w:r>
          </w:p>
        </w:tc>
      </w:tr>
      <w:tr w:rsidR="00FB1300" w:rsidRPr="00036021" w14:paraId="1A33968C" w14:textId="77777777" w:rsidTr="00460C69">
        <w:trPr>
          <w:cantSplit/>
          <w:trHeight w:val="20"/>
        </w:trPr>
        <w:tc>
          <w:tcPr>
            <w:tcW w:w="4110" w:type="dxa"/>
            <w:shd w:val="clear" w:color="auto" w:fill="auto"/>
            <w:tcMar>
              <w:bottom w:w="240" w:type="dxa"/>
            </w:tcMar>
          </w:tcPr>
          <w:p w14:paraId="48CDCCB8" w14:textId="77777777" w:rsidR="00FB1300" w:rsidRPr="00036021" w:rsidRDefault="00FB1300" w:rsidP="00460C69">
            <w:pPr>
              <w:pStyle w:val="SlimCell"/>
            </w:pPr>
          </w:p>
        </w:tc>
      </w:tr>
    </w:tbl>
    <w:p w14:paraId="48233B52" w14:textId="77777777" w:rsidR="00FB1300" w:rsidRPr="00036021" w:rsidRDefault="00FB1300" w:rsidP="00460C69">
      <w:pPr>
        <w:pStyle w:val="MultipageDelimiter"/>
      </w:pPr>
    </w:p>
    <w:tbl>
      <w:tblPr>
        <w:tblW w:w="0" w:type="auto"/>
        <w:tblLayout w:type="fixed"/>
        <w:tblCellMar>
          <w:left w:w="0" w:type="dxa"/>
          <w:right w:w="0" w:type="dxa"/>
        </w:tblCellMar>
        <w:tblLook w:val="0000" w:firstRow="0" w:lastRow="0" w:firstColumn="0" w:lastColumn="0" w:noHBand="0" w:noVBand="0"/>
      </w:tblPr>
      <w:tblGrid>
        <w:gridCol w:w="4110"/>
      </w:tblGrid>
      <w:tr w:rsidR="00FB1300" w:rsidRPr="00036021" w14:paraId="5A5A9487" w14:textId="77777777" w:rsidTr="00460C69">
        <w:trPr>
          <w:cantSplit/>
          <w:trHeight w:val="20"/>
        </w:trPr>
        <w:tc>
          <w:tcPr>
            <w:tcW w:w="4110" w:type="dxa"/>
            <w:shd w:val="clear" w:color="auto" w:fill="auto"/>
          </w:tcPr>
          <w:p w14:paraId="0AA7970D" w14:textId="77777777" w:rsidR="00FB1300" w:rsidRPr="00036021" w:rsidRDefault="00FB1300" w:rsidP="00460C69">
            <w:pPr>
              <w:pStyle w:val="SlimCell"/>
              <w:keepNext/>
            </w:pPr>
          </w:p>
        </w:tc>
      </w:tr>
      <w:tr w:rsidR="00FB1300" w:rsidRPr="00036021" w14:paraId="1F4A5CB6" w14:textId="77777777" w:rsidTr="00460C69">
        <w:trPr>
          <w:cantSplit/>
        </w:trPr>
        <w:tc>
          <w:tcPr>
            <w:tcW w:w="4110" w:type="dxa"/>
            <w:shd w:val="clear" w:color="auto" w:fill="auto"/>
          </w:tcPr>
          <w:p w14:paraId="6000F1D5" w14:textId="77777777" w:rsidR="00FB1300" w:rsidRPr="00036021" w:rsidRDefault="00FB1300" w:rsidP="00460C69">
            <w:pPr>
              <w:pStyle w:val="TableTitle"/>
              <w:rPr>
                <w:b/>
              </w:rPr>
            </w:pPr>
            <w:r w:rsidRPr="00036021">
              <w:t>Table II.AV.6:</w:t>
            </w:r>
            <w:r w:rsidRPr="00036021">
              <w:rPr>
                <w:b/>
              </w:rPr>
              <w:tab/>
              <w:t>Total expenditure on education, in levels (million euros) and as % of GDP</w:t>
            </w:r>
          </w:p>
        </w:tc>
      </w:tr>
      <w:tr w:rsidR="00FB1300" w:rsidRPr="00036021" w14:paraId="042C5B8A" w14:textId="77777777" w:rsidTr="00460C69">
        <w:trPr>
          <w:cantSplit/>
        </w:trPr>
        <w:tc>
          <w:tcPr>
            <w:tcW w:w="4110" w:type="dxa"/>
            <w:shd w:val="clear" w:color="auto" w:fill="auto"/>
          </w:tcPr>
          <w:p w14:paraId="02D36DEA" w14:textId="77777777" w:rsidR="00FB1300" w:rsidRPr="00036021" w:rsidRDefault="00FB1300" w:rsidP="00460C69">
            <w:pPr>
              <w:pStyle w:val="TableShape"/>
              <w:rPr>
                <w:sz w:val="2"/>
              </w:rPr>
            </w:pPr>
            <w:r w:rsidRPr="00036021">
              <w:fldChar w:fldCharType="begin"/>
            </w:r>
            <w:r w:rsidRPr="009F3ED8">
              <w:instrText xml:space="preserve"> TC "</w:instrText>
            </w:r>
            <w:bookmarkStart w:id="312" w:name="_Toc511664611"/>
            <w:r w:rsidRPr="009F3ED8">
              <w:instrText>II.AV.6.</w:instrText>
            </w:r>
            <w:r w:rsidRPr="009F3ED8">
              <w:tab/>
              <w:instrText>Total expenditure on education, in levels (million euros) and as % of GDP</w:instrText>
            </w:r>
            <w:bookmarkEnd w:id="312"/>
            <w:r w:rsidRPr="009F3ED8">
              <w:instrText xml:space="preserve">" \ftable \l 5 </w:instrText>
            </w:r>
            <w:r w:rsidRPr="00036021">
              <w:fldChar w:fldCharType="end"/>
            </w:r>
            <w:r w:rsidRPr="00036021">
              <w:rPr>
                <w:noProof/>
                <w:sz w:val="2"/>
                <w:lang w:val="hr-HR" w:eastAsia="hr-HR"/>
              </w:rPr>
              <w:drawing>
                <wp:inline distT="0" distB="0" distL="0" distR="0" wp14:anchorId="3CCE7C95" wp14:editId="588E3971">
                  <wp:extent cx="2597595" cy="3516588"/>
                  <wp:effectExtent l="0" t="0" r="0" b="8255"/>
                  <wp:docPr id="842" name="Picture 842" descr="&lt;nbr&gt;&lt;GETTEXTFROMWORD&gt;&lt;/nbr&gt;&#10;&lt;title&gt;&lt;GETTEXTFROMWORD&gt;&lt;/title&gt;&#10;&lt;id&gt;42b0d068-6249-4a61-8ea9-5bf6cd75f781&lt;/id&gt;&#10;&lt;srcType&gt;EXCEL&lt;/srcType&gt;&#10;&lt;srcPath&gt;U:\Budgetary projections 2018\Reports\2018 AR\Tables_and_graphs\Part II  Chapter 4\Annex V Tables\&lt;/srcPath&gt;&#10;&lt;srcName&gt;Table II.AV.1-Table II.AV.6.xlsx&lt;/srcName&gt;&#10;&lt;type&gt;table&lt;/type&gt;&#10; &lt;srcSheet&gt;Table II.AV.6&lt;/srcSheet&gt;&#10; &lt;srcRange&gt;R2C2:R33C8&lt;/srcRange&gt;&#10;&lt;pos&gt;inline&lt;/pos&gt;&#10;&lt;numbering&gt;internal&lt;/numbering&gt;&#10;&lt;manNumb&gt;no&lt;/manNumb&gt;&#10; &lt;insFtn&gt;no&lt;/insFtn&gt;&#10; &lt;insSrc&gt;yes&lt;/insSrc&gt;&#10; &lt;shpSrc&gt;&lt;GETTEXTFROMWORD&gt;&lt;/shpSrc&gt;&#10;&lt;multi&gt;no&lt;/multi&gt;&#10;&lt;statAnn&gt;no&lt;/statAnn&gt;&#10;&lt;float&gt;no&lt;/float&gt;&#10;&lt;bottomShapePageNumber&gt;-1&lt;/bottomShapePageNumber&gt;&#10;&lt;version&gt;2&lt;/version&gt;&#10;&lt;scrFileTime&gt;2018-03-08T12:44:06&lt;/scrFileTime&gt;&#10;&lt;imageInformation&gt;&#10; &lt;dontScaleUp&gt;no&lt;/dontScaleUp&gt;&#10;&lt;/imageInformation&gt;&#10;&lt;url&gt;&lt;/ur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597595" cy="3516588"/>
                          </a:xfrm>
                          <a:prstGeom prst="rect">
                            <a:avLst/>
                          </a:prstGeom>
                          <a:noFill/>
                          <a:ln>
                            <a:noFill/>
                          </a:ln>
                        </pic:spPr>
                      </pic:pic>
                    </a:graphicData>
                  </a:graphic>
                </wp:inline>
              </w:drawing>
            </w:r>
          </w:p>
        </w:tc>
      </w:tr>
      <w:tr w:rsidR="00FB1300" w:rsidRPr="00036021" w14:paraId="560BD512" w14:textId="77777777" w:rsidTr="00460C69">
        <w:trPr>
          <w:cantSplit/>
        </w:trPr>
        <w:tc>
          <w:tcPr>
            <w:tcW w:w="4110" w:type="dxa"/>
            <w:shd w:val="clear" w:color="auto" w:fill="auto"/>
          </w:tcPr>
          <w:p w14:paraId="34C07316" w14:textId="77777777" w:rsidR="00FB1300" w:rsidRPr="00036021" w:rsidRDefault="00FB1300" w:rsidP="00460C69">
            <w:pPr>
              <w:pStyle w:val="TableSource"/>
            </w:pPr>
            <w:r w:rsidRPr="00036021">
              <w:rPr>
                <w:b/>
                <w:i/>
              </w:rPr>
              <w:t>Source:</w:t>
            </w:r>
            <w:r w:rsidRPr="00036021">
              <w:t xml:space="preserve"> Commission services, EPC </w:t>
            </w:r>
            <w:r w:rsidRPr="00036021">
              <w:br/>
              <w:t>(1) UOE; UNESCO/OECD/EUROSTAT</w:t>
            </w:r>
            <w:r w:rsidRPr="00036021">
              <w:br/>
              <w:t>(2) COFOG: Classification of the functions of the government</w:t>
            </w:r>
          </w:p>
        </w:tc>
      </w:tr>
      <w:tr w:rsidR="00FB1300" w:rsidRPr="00036021" w14:paraId="73FC307B" w14:textId="77777777" w:rsidTr="00460C69">
        <w:trPr>
          <w:cantSplit/>
          <w:trHeight w:val="20"/>
        </w:trPr>
        <w:tc>
          <w:tcPr>
            <w:tcW w:w="4110" w:type="dxa"/>
            <w:shd w:val="clear" w:color="auto" w:fill="auto"/>
            <w:tcMar>
              <w:bottom w:w="240" w:type="dxa"/>
            </w:tcMar>
          </w:tcPr>
          <w:p w14:paraId="1EF9E613" w14:textId="77777777" w:rsidR="00FB1300" w:rsidRPr="00036021" w:rsidRDefault="00FB1300" w:rsidP="00460C69">
            <w:pPr>
              <w:pStyle w:val="SlimCell"/>
            </w:pPr>
          </w:p>
        </w:tc>
      </w:tr>
      <w:bookmarkEnd w:id="303"/>
    </w:tbl>
    <w:p w14:paraId="2CDCC6C3" w14:textId="77777777" w:rsidR="00FB1300" w:rsidRPr="00FB1300" w:rsidRDefault="00FB1300" w:rsidP="00460C69">
      <w:pPr>
        <w:sectPr w:rsidR="00FB1300" w:rsidRPr="00FB1300" w:rsidSect="00FB1300">
          <w:headerReference w:type="even" r:id="rId346"/>
          <w:headerReference w:type="default" r:id="rId347"/>
          <w:footerReference w:type="even" r:id="rId348"/>
          <w:footerReference w:type="default" r:id="rId349"/>
          <w:headerReference w:type="first" r:id="rId350"/>
          <w:footerReference w:type="first" r:id="rId351"/>
          <w:endnotePr>
            <w:numFmt w:val="decimal"/>
          </w:endnotePr>
          <w:pgSz w:w="11907" w:h="16839"/>
          <w:pgMar w:top="2693" w:right="1701" w:bottom="1417" w:left="1701" w:header="709" w:footer="1191" w:gutter="0"/>
          <w:cols w:num="2" w:space="283"/>
          <w:titlePg/>
          <w:docGrid w:linePitch="360"/>
        </w:sectPr>
      </w:pPr>
    </w:p>
    <w:bookmarkStart w:id="313" w:name="GUID1A14471349B846328998A3EF28CE7374"/>
    <w:p w14:paraId="2CC1E5DB" w14:textId="77777777" w:rsidR="00FB1300" w:rsidRPr="009F3ED8" w:rsidRDefault="00FB1300" w:rsidP="00FB1300">
      <w:pPr>
        <w:pStyle w:val="EPKitTCFrame"/>
      </w:pPr>
      <w:r w:rsidRPr="009F3ED8">
        <w:lastRenderedPageBreak/>
        <w:fldChar w:fldCharType="begin"/>
      </w:r>
      <w:r w:rsidRPr="009F3ED8">
        <w:rPr>
          <w:vanish w:val="0"/>
        </w:rPr>
        <w:instrText xml:space="preserve"> TC "</w:instrText>
      </w:r>
      <w:bookmarkStart w:id="314" w:name="_Toc511664467"/>
      <w:r w:rsidRPr="009F3ED8">
        <w:rPr>
          <w:vanish w:val="0"/>
        </w:rPr>
        <w:instrText>Part III:</w:instrText>
      </w:r>
      <w:r w:rsidRPr="009F3ED8">
        <w:rPr>
          <w:vanish w:val="0"/>
        </w:rPr>
        <w:tab/>
        <w:instrText>Statistical Annex – CROSS-COUNTRY TABLES</w:instrText>
      </w:r>
      <w:bookmarkEnd w:id="314"/>
      <w:r w:rsidRPr="009F3ED8">
        <w:rPr>
          <w:vanish w:val="0"/>
        </w:rPr>
        <w:instrText xml:space="preserve">" \f \l 1 </w:instrText>
      </w:r>
      <w:r w:rsidRPr="009F3ED8">
        <w:fldChar w:fldCharType="end"/>
      </w:r>
    </w:p>
    <w:p w14:paraId="259BD32F" w14:textId="77777777" w:rsidR="00FB1300" w:rsidRDefault="00FB1300" w:rsidP="00FB1300"/>
    <w:bookmarkEnd w:id="313"/>
    <w:p w14:paraId="660176A2" w14:textId="77777777" w:rsidR="00FB1300" w:rsidRDefault="00FB1300" w:rsidP="00FB1300">
      <w:pPr>
        <w:sectPr w:rsidR="00FB1300" w:rsidSect="00FB1300">
          <w:headerReference w:type="even" r:id="rId352"/>
          <w:headerReference w:type="default" r:id="rId353"/>
          <w:footerReference w:type="even" r:id="rId354"/>
          <w:footerReference w:type="default" r:id="rId355"/>
          <w:headerReference w:type="first" r:id="rId356"/>
          <w:footerReference w:type="first" r:id="rId357"/>
          <w:endnotePr>
            <w:numFmt w:val="decimal"/>
          </w:endnotePr>
          <w:type w:val="oddPage"/>
          <w:pgSz w:w="11907" w:h="16839"/>
          <w:pgMar w:top="2693" w:right="1701" w:bottom="1417" w:left="1701" w:header="709" w:footer="1191" w:gutter="0"/>
          <w:cols w:space="708"/>
          <w:titlePg/>
          <w:docGrid w:linePitch="360"/>
        </w:sectPr>
      </w:pPr>
    </w:p>
    <w:bookmarkStart w:id="315" w:name="GUID5B5B752FAD3A422F8A75BF9F38DC752A"/>
    <w:p w14:paraId="61310668" w14:textId="77777777" w:rsidR="0087660D" w:rsidRPr="009F3ED8" w:rsidRDefault="0087660D" w:rsidP="00460C69">
      <w:pPr>
        <w:pStyle w:val="EPKitTCFrame"/>
      </w:pPr>
      <w:r w:rsidRPr="009F3ED8">
        <w:lastRenderedPageBreak/>
        <w:fldChar w:fldCharType="begin"/>
      </w:r>
      <w:r w:rsidRPr="009F3ED8">
        <w:rPr>
          <w:vanish w:val="0"/>
        </w:rPr>
        <w:instrText xml:space="preserve"> TC "</w:instrText>
      </w:r>
      <w:bookmarkStart w:id="316" w:name="_Toc511664468"/>
      <w:r w:rsidRPr="009F3ED8">
        <w:rPr>
          <w:vanish w:val="0"/>
        </w:rPr>
        <w:instrText>1.</w:instrText>
      </w:r>
      <w:r w:rsidRPr="009F3ED8">
        <w:rPr>
          <w:vanish w:val="0"/>
        </w:rPr>
        <w:tab/>
        <w:instrText>Tables</w:instrText>
      </w:r>
      <w:bookmarkEnd w:id="316"/>
      <w:r w:rsidRPr="009F3ED8">
        <w:rPr>
          <w:vanish w:val="0"/>
        </w:rPr>
        <w:instrText xml:space="preserve">" \f \l 2 </w:instrText>
      </w:r>
      <w:r w:rsidRPr="009F3ED8">
        <w:fldChar w:fldCharType="end"/>
      </w:r>
    </w:p>
    <w:p w14:paraId="30CFB0A7" w14:textId="77777777" w:rsidR="0087660D" w:rsidRPr="00254241" w:rsidRDefault="0087660D" w:rsidP="00460C69">
      <w:r w:rsidRPr="00254241">
        <w:t>Statistical Annex – Cross-Country Tables</w:t>
      </w:r>
    </w:p>
    <w:p w14:paraId="2AB8CD96" w14:textId="77777777" w:rsidR="0087660D" w:rsidRPr="00254241" w:rsidRDefault="0087660D" w:rsidP="00460C69">
      <w:r w:rsidRPr="00254241">
        <w:br w:type="page"/>
      </w:r>
      <w:r w:rsidRPr="00254241">
        <w:rPr>
          <w:noProof/>
          <w:lang w:val="hr-HR" w:eastAsia="hr-HR"/>
        </w:rPr>
        <w:lastRenderedPageBreak/>
        <w:drawing>
          <wp:inline distT="0" distB="0" distL="0" distR="0" wp14:anchorId="633E91AB" wp14:editId="7267435B">
            <wp:extent cx="5400675" cy="762147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400675" cy="7621470"/>
                    </a:xfrm>
                    <a:prstGeom prst="rect">
                      <a:avLst/>
                    </a:prstGeom>
                    <a:noFill/>
                    <a:ln>
                      <a:noFill/>
                    </a:ln>
                  </pic:spPr>
                </pic:pic>
              </a:graphicData>
            </a:graphic>
          </wp:inline>
        </w:drawing>
      </w:r>
    </w:p>
    <w:p w14:paraId="0EB3C1F2" w14:textId="77777777" w:rsidR="0087660D" w:rsidRPr="00254241" w:rsidRDefault="0087660D" w:rsidP="00460C69">
      <w:r w:rsidRPr="00254241">
        <w:rPr>
          <w:noProof/>
          <w:lang w:val="hr-HR" w:eastAsia="hr-HR"/>
        </w:rPr>
        <w:lastRenderedPageBreak/>
        <w:drawing>
          <wp:inline distT="0" distB="0" distL="0" distR="0" wp14:anchorId="7E8FEC05" wp14:editId="725E86A8">
            <wp:extent cx="5401515" cy="8077200"/>
            <wp:effectExtent l="0" t="0" r="889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400675" cy="8075944"/>
                    </a:xfrm>
                    <a:prstGeom prst="rect">
                      <a:avLst/>
                    </a:prstGeom>
                    <a:noFill/>
                    <a:ln>
                      <a:noFill/>
                    </a:ln>
                  </pic:spPr>
                </pic:pic>
              </a:graphicData>
            </a:graphic>
          </wp:inline>
        </w:drawing>
      </w:r>
    </w:p>
    <w:p w14:paraId="21241B36" w14:textId="77777777" w:rsidR="0087660D" w:rsidRPr="00254241" w:rsidRDefault="0087660D" w:rsidP="00460C69">
      <w:r w:rsidRPr="00254241">
        <w:rPr>
          <w:noProof/>
          <w:lang w:val="hr-HR" w:eastAsia="hr-HR"/>
        </w:rPr>
        <w:lastRenderedPageBreak/>
        <w:drawing>
          <wp:inline distT="0" distB="0" distL="0" distR="0" wp14:anchorId="2F60CB33" wp14:editId="2F603A39">
            <wp:extent cx="5401733" cy="8081433"/>
            <wp:effectExtent l="0" t="0" r="889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400675" cy="8079851"/>
                    </a:xfrm>
                    <a:prstGeom prst="rect">
                      <a:avLst/>
                    </a:prstGeom>
                    <a:noFill/>
                    <a:ln>
                      <a:noFill/>
                    </a:ln>
                  </pic:spPr>
                </pic:pic>
              </a:graphicData>
            </a:graphic>
          </wp:inline>
        </w:drawing>
      </w:r>
    </w:p>
    <w:p w14:paraId="0134A63C" w14:textId="77777777" w:rsidR="0087660D" w:rsidRPr="0087660D" w:rsidRDefault="0087660D" w:rsidP="00460C69">
      <w:pPr>
        <w:sectPr w:rsidR="0087660D" w:rsidRPr="0087660D" w:rsidSect="0087660D">
          <w:headerReference w:type="even" r:id="rId361"/>
          <w:headerReference w:type="default" r:id="rId362"/>
          <w:footerReference w:type="even" r:id="rId363"/>
          <w:footerReference w:type="default" r:id="rId364"/>
          <w:headerReference w:type="first" r:id="rId365"/>
          <w:footerReference w:type="first" r:id="rId366"/>
          <w:endnotePr>
            <w:numFmt w:val="decimal"/>
            <w:numRestart w:val="eachSect"/>
          </w:endnotePr>
          <w:pgSz w:w="11907" w:h="16839"/>
          <w:pgMar w:top="2693" w:right="1701" w:bottom="1417" w:left="1701" w:header="709" w:footer="1191" w:gutter="0"/>
          <w:cols w:space="708"/>
          <w:titlePg/>
          <w:docGrid w:linePitch="360"/>
        </w:sectPr>
      </w:pPr>
      <w:r w:rsidRPr="0087660D">
        <w:rPr>
          <w:noProof/>
          <w:lang w:val="hr-HR" w:eastAsia="hr-HR"/>
        </w:rPr>
        <w:lastRenderedPageBreak/>
        <w:drawing>
          <wp:inline distT="0" distB="0" distL="0" distR="0" wp14:anchorId="19A65641" wp14:editId="1D47C246">
            <wp:extent cx="5399121" cy="80772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400675" cy="8079524"/>
                    </a:xfrm>
                    <a:prstGeom prst="rect">
                      <a:avLst/>
                    </a:prstGeom>
                    <a:noFill/>
                    <a:ln>
                      <a:noFill/>
                    </a:ln>
                  </pic:spPr>
                </pic:pic>
              </a:graphicData>
            </a:graphic>
          </wp:inline>
        </w:drawing>
      </w:r>
      <w:r w:rsidRPr="0087660D">
        <w:br w:type="page"/>
      </w:r>
      <w:r w:rsidRPr="0087660D">
        <w:rPr>
          <w:noProof/>
          <w:lang w:val="hr-HR" w:eastAsia="hr-HR"/>
        </w:rPr>
        <w:lastRenderedPageBreak/>
        <w:drawing>
          <wp:inline distT="0" distB="0" distL="0" distR="0" wp14:anchorId="64F4B5EB" wp14:editId="1AF3E4F2">
            <wp:extent cx="5760000" cy="3960000"/>
            <wp:effectExtent l="0" t="0" r="0" b="254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19A2D2F6" wp14:editId="1683DFF1">
            <wp:extent cx="5760000" cy="3960000"/>
            <wp:effectExtent l="0" t="0" r="0" b="254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5C32D958" wp14:editId="25C8F909">
            <wp:extent cx="5760000" cy="3960000"/>
            <wp:effectExtent l="0" t="0" r="0" b="2540"/>
            <wp:docPr id="94"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2A068F9C" wp14:editId="58C01622">
            <wp:extent cx="5760000" cy="3960000"/>
            <wp:effectExtent l="0" t="0" r="0" b="2540"/>
            <wp:docPr id="95"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5C1DF49C" wp14:editId="043DF1D9">
            <wp:extent cx="5760000" cy="3960000"/>
            <wp:effectExtent l="0" t="0" r="0" b="2540"/>
            <wp:docPr id="97"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5773B7E5" wp14:editId="0D62B086">
            <wp:extent cx="5760000" cy="3960000"/>
            <wp:effectExtent l="0" t="0" r="0" b="2540"/>
            <wp:docPr id="98"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1E1AC07A" wp14:editId="0356B9DA">
            <wp:extent cx="5760000" cy="3960000"/>
            <wp:effectExtent l="0" t="0" r="0" b="2540"/>
            <wp:docPr id="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31249625" wp14:editId="63A0DAE3">
            <wp:extent cx="5760000" cy="3960000"/>
            <wp:effectExtent l="0" t="0" r="0" b="2540"/>
            <wp:docPr id="100"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2CFA2150" wp14:editId="12DCD4A7">
            <wp:extent cx="5760000" cy="3960000"/>
            <wp:effectExtent l="0" t="0" r="0" b="2540"/>
            <wp:docPr id="101"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3CD6D54C" wp14:editId="18C19B27">
            <wp:extent cx="5760000" cy="3960000"/>
            <wp:effectExtent l="0" t="0" r="0" b="2540"/>
            <wp:docPr id="102"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5669F923" wp14:editId="3A87A8FA">
            <wp:extent cx="5760000" cy="3960000"/>
            <wp:effectExtent l="0" t="0" r="0" b="2540"/>
            <wp:docPr id="103"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016A62EE" wp14:editId="6961EB59">
            <wp:extent cx="5760000" cy="3960000"/>
            <wp:effectExtent l="0" t="0" r="0" b="2540"/>
            <wp:docPr id="104"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6C8E9996" wp14:editId="35A6F625">
            <wp:extent cx="5760000" cy="3960000"/>
            <wp:effectExtent l="0" t="0" r="0" b="2540"/>
            <wp:docPr id="105"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613DBD96" wp14:editId="189EFCA9">
            <wp:extent cx="5760000" cy="3960000"/>
            <wp:effectExtent l="0" t="0" r="0" b="2540"/>
            <wp:docPr id="106"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264F98B7" wp14:editId="56A27C98">
            <wp:extent cx="5760000" cy="3960000"/>
            <wp:effectExtent l="0" t="0" r="0" b="2540"/>
            <wp:docPr id="107"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3292C470" wp14:editId="4386C1C6">
            <wp:extent cx="5760000" cy="3960000"/>
            <wp:effectExtent l="0" t="0" r="0" b="2540"/>
            <wp:docPr id="108"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23C48E8A" wp14:editId="469D1428">
            <wp:extent cx="5760000" cy="3960000"/>
            <wp:effectExtent l="0" t="0" r="0" b="2540"/>
            <wp:docPr id="112"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131B1C13" wp14:editId="1210BAB4">
            <wp:extent cx="5760000" cy="3960000"/>
            <wp:effectExtent l="0" t="0" r="0" b="2540"/>
            <wp:docPr id="113"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26D74EE7" wp14:editId="2CFAC0A5">
            <wp:extent cx="5760000" cy="3960000"/>
            <wp:effectExtent l="0" t="0" r="0" b="2540"/>
            <wp:docPr id="114"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2ABD53C8" wp14:editId="3C43F154">
            <wp:extent cx="5760000" cy="3960000"/>
            <wp:effectExtent l="0" t="0" r="0" b="2540"/>
            <wp:docPr id="115"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158DFCE8" wp14:editId="032C1E83">
            <wp:extent cx="5760000" cy="3960000"/>
            <wp:effectExtent l="0" t="0" r="0" b="2540"/>
            <wp:docPr id="116"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4E9B2CFA" wp14:editId="3219652A">
            <wp:extent cx="5760000" cy="3960000"/>
            <wp:effectExtent l="0" t="0" r="0" b="2540"/>
            <wp:docPr id="117"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134ACDC8" wp14:editId="37C53D1C">
            <wp:extent cx="5760000" cy="3960000"/>
            <wp:effectExtent l="0" t="0" r="0" b="2540"/>
            <wp:docPr id="118"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24C631A4" wp14:editId="626B2B94">
            <wp:extent cx="5760000" cy="3960000"/>
            <wp:effectExtent l="0" t="0" r="0" b="2540"/>
            <wp:docPr id="119"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4473C626" wp14:editId="28858389">
            <wp:extent cx="5760000" cy="3960000"/>
            <wp:effectExtent l="0" t="0" r="0" b="2540"/>
            <wp:docPr id="120"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2513EF8B" wp14:editId="08D979FF">
            <wp:extent cx="5760000" cy="3960000"/>
            <wp:effectExtent l="0" t="0" r="0" b="2540"/>
            <wp:docPr id="121"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1A29DE97" wp14:editId="534D0E1D">
            <wp:extent cx="5760000" cy="3960000"/>
            <wp:effectExtent l="0" t="0" r="0" b="2540"/>
            <wp:docPr id="123"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4E233E68" wp14:editId="391E0DBF">
            <wp:extent cx="5760000" cy="3960000"/>
            <wp:effectExtent l="0" t="0" r="0" b="2540"/>
            <wp:docPr id="124"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51023CCA" wp14:editId="5DE2FA81">
            <wp:extent cx="5760000" cy="3960000"/>
            <wp:effectExtent l="0" t="0" r="0" b="2540"/>
            <wp:docPr id="125"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67B120FF" wp14:editId="114BB354">
            <wp:extent cx="5760000" cy="3960000"/>
            <wp:effectExtent l="0" t="0" r="0" b="2540"/>
            <wp:docPr id="155"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202B4514" wp14:editId="3705E682">
            <wp:extent cx="5760000" cy="3960000"/>
            <wp:effectExtent l="0" t="0" r="0" b="2540"/>
            <wp:docPr id="158"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7868E5AF" wp14:editId="6B407052">
            <wp:extent cx="5760000" cy="3960000"/>
            <wp:effectExtent l="0" t="0" r="0" b="2540"/>
            <wp:docPr id="159"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2221DC79" wp14:editId="0813C9FA">
            <wp:extent cx="5760000" cy="3960000"/>
            <wp:effectExtent l="0" t="0" r="0" b="2540"/>
            <wp:docPr id="160"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7A384240" wp14:editId="5B52878F">
            <wp:extent cx="5760000" cy="3960000"/>
            <wp:effectExtent l="0" t="0" r="0" b="2540"/>
            <wp:docPr id="161"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082771F6" wp14:editId="6C4BAB41">
            <wp:extent cx="5760000" cy="3960000"/>
            <wp:effectExtent l="0" t="0" r="0" b="2540"/>
            <wp:docPr id="162"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2DF5C1FE" wp14:editId="481FFDF9">
            <wp:extent cx="5760000" cy="3960000"/>
            <wp:effectExtent l="0" t="0" r="0" b="2540"/>
            <wp:docPr id="163"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0E5F04FD" wp14:editId="6E4F14FB">
            <wp:extent cx="5760000" cy="3960000"/>
            <wp:effectExtent l="0" t="0" r="0" b="2540"/>
            <wp:docPr id="164"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6AE4CE6D" wp14:editId="66D02581">
            <wp:extent cx="5760000" cy="3960000"/>
            <wp:effectExtent l="0" t="0" r="0" b="2540"/>
            <wp:docPr id="165"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5A3BB415" wp14:editId="3F786AE3">
            <wp:extent cx="5760000" cy="3960000"/>
            <wp:effectExtent l="0" t="0" r="0" b="2540"/>
            <wp:docPr id="742" name="Picture 7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09A95777" wp14:editId="408D3145">
            <wp:extent cx="5760000" cy="3960000"/>
            <wp:effectExtent l="0" t="0" r="0" b="2540"/>
            <wp:docPr id="743" name="Picture 7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03A7F106" wp14:editId="5CD61532">
            <wp:extent cx="5760000" cy="3960000"/>
            <wp:effectExtent l="0" t="0" r="0" b="2540"/>
            <wp:docPr id="744" name="Picture 7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1BF80AD7" wp14:editId="15C48E42">
            <wp:extent cx="5760000" cy="3960000"/>
            <wp:effectExtent l="0" t="0" r="0" b="2540"/>
            <wp:docPr id="745" name="Picture 7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30923DA3" wp14:editId="755370E0">
            <wp:extent cx="5760000" cy="3960000"/>
            <wp:effectExtent l="0" t="0" r="0" b="254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1D1E3956" wp14:editId="2B8A6ABD">
            <wp:extent cx="5760000" cy="3960000"/>
            <wp:effectExtent l="0" t="0" r="0" b="254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782DADF9" wp14:editId="0B781715">
            <wp:extent cx="5760000" cy="3960000"/>
            <wp:effectExtent l="0" t="0" r="0" b="2540"/>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191A2A38" wp14:editId="1BD2528E">
            <wp:extent cx="5760000" cy="3960000"/>
            <wp:effectExtent l="0" t="0" r="0" b="2540"/>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6EB5CB81" wp14:editId="4F4CFD5D">
            <wp:extent cx="5760000" cy="3960000"/>
            <wp:effectExtent l="0" t="0" r="0" b="2540"/>
            <wp:docPr id="746" name="Picture 7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57A0A908" wp14:editId="4981865A">
            <wp:extent cx="5760000" cy="3960000"/>
            <wp:effectExtent l="0" t="0" r="0" b="2540"/>
            <wp:docPr id="747" name="Picture 7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090BFA7F" wp14:editId="2B959EC6">
            <wp:extent cx="5760000" cy="3960000"/>
            <wp:effectExtent l="0" t="0" r="0" b="2540"/>
            <wp:docPr id="748" name="Picture 7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25F8D418" wp14:editId="55ED5F1B">
            <wp:extent cx="5760000" cy="3960000"/>
            <wp:effectExtent l="0" t="0" r="0" b="254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0E66661A" wp14:editId="0967BE61">
            <wp:extent cx="5760000" cy="3960000"/>
            <wp:effectExtent l="0" t="0" r="0" b="2540"/>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6BFF34ED" wp14:editId="389E4FF3">
            <wp:extent cx="5760000" cy="3960000"/>
            <wp:effectExtent l="0" t="0" r="0" b="2540"/>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2C6DEDD4" wp14:editId="10499B9C">
            <wp:extent cx="5760000" cy="3960000"/>
            <wp:effectExtent l="0" t="0" r="0" b="2540"/>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72E36EFC" wp14:editId="1A25A60C">
            <wp:extent cx="5760000" cy="3960000"/>
            <wp:effectExtent l="0" t="0" r="0" b="2540"/>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315FCE70" wp14:editId="437F5B61">
            <wp:extent cx="5760000" cy="3960000"/>
            <wp:effectExtent l="0" t="0" r="0" b="254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07E17707" wp14:editId="6F9FF266">
            <wp:extent cx="5760000" cy="3960000"/>
            <wp:effectExtent l="0" t="0" r="0" b="2540"/>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66232F5C" wp14:editId="6EDCC372">
            <wp:extent cx="5760000" cy="3960000"/>
            <wp:effectExtent l="0" t="0" r="0" b="2540"/>
            <wp:docPr id="749" name="Picture 7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2642E341" wp14:editId="6F14EB62">
            <wp:extent cx="5760000" cy="3960000"/>
            <wp:effectExtent l="0" t="0" r="0" b="254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10970657" wp14:editId="0CDAF546">
            <wp:extent cx="5760000" cy="3960000"/>
            <wp:effectExtent l="0" t="0" r="0" b="2540"/>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470044B6" wp14:editId="7058E27D">
            <wp:extent cx="5760000" cy="3960000"/>
            <wp:effectExtent l="0" t="0" r="0" b="2540"/>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1CF5D697" wp14:editId="1E361807">
            <wp:extent cx="5760000" cy="3960000"/>
            <wp:effectExtent l="0" t="0" r="0" b="2540"/>
            <wp:docPr id="750" name="Picture 7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1C448EB9" wp14:editId="0D24224E">
            <wp:extent cx="5760000" cy="3960000"/>
            <wp:effectExtent l="0" t="0" r="0" b="2540"/>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3E44CEAC" wp14:editId="70B96922">
            <wp:extent cx="5760000" cy="3960000"/>
            <wp:effectExtent l="0" t="0" r="0" b="2540"/>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14033697" wp14:editId="5A51EE6F">
            <wp:extent cx="5760000" cy="3960000"/>
            <wp:effectExtent l="0" t="0" r="0" b="2540"/>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1434FF47" wp14:editId="5032104C">
            <wp:extent cx="5760000" cy="3960000"/>
            <wp:effectExtent l="0" t="0" r="0" b="2540"/>
            <wp:docPr id="65"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2BA814B8" wp14:editId="6A2F99E7">
            <wp:extent cx="5760000" cy="3960000"/>
            <wp:effectExtent l="0" t="0" r="0" b="2540"/>
            <wp:docPr id="6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3F302290" wp14:editId="34AABA84">
            <wp:extent cx="5760000" cy="3960000"/>
            <wp:effectExtent l="0" t="0" r="0" b="2540"/>
            <wp:docPr id="751" name="Picture 7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14C22961" wp14:editId="77BA3664">
            <wp:extent cx="5760000" cy="3960000"/>
            <wp:effectExtent l="0" t="0" r="0" b="2540"/>
            <wp:docPr id="758" name="Picture 7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3DC59775" wp14:editId="60504A87">
            <wp:extent cx="5760000" cy="3960000"/>
            <wp:effectExtent l="0" t="0" r="0" b="2540"/>
            <wp:docPr id="6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034813E2" wp14:editId="7F2F7BB9">
            <wp:extent cx="5760000" cy="3960000"/>
            <wp:effectExtent l="0" t="0" r="0" b="2540"/>
            <wp:docPr id="759" name="Picture 7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5BAA5202" wp14:editId="3018F390">
            <wp:extent cx="5760000" cy="3960000"/>
            <wp:effectExtent l="0" t="0" r="0" b="2540"/>
            <wp:docPr id="71"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4844B72D" wp14:editId="0F34075A">
            <wp:extent cx="5760000" cy="3960000"/>
            <wp:effectExtent l="0" t="0" r="0" b="2540"/>
            <wp:docPr id="72"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5A0ABE8B" wp14:editId="693CB2D6">
            <wp:extent cx="5760000" cy="3960000"/>
            <wp:effectExtent l="0" t="0" r="0" b="2540"/>
            <wp:docPr id="73"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58A59B80" wp14:editId="644B5C95">
            <wp:extent cx="5760000" cy="3960000"/>
            <wp:effectExtent l="0" t="0" r="0" b="2540"/>
            <wp:docPr id="74"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3A2BAD3A" wp14:editId="38A14F88">
            <wp:extent cx="5760000" cy="3960000"/>
            <wp:effectExtent l="0" t="0" r="0" b="2540"/>
            <wp:docPr id="760" name="Picture 7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1F74D67F" wp14:editId="6055818E">
            <wp:extent cx="5760000" cy="3960000"/>
            <wp:effectExtent l="0" t="0" r="0" b="2540"/>
            <wp:docPr id="761" name="Picture 7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4B580000" wp14:editId="0A04CA8F">
            <wp:extent cx="5760000" cy="3960000"/>
            <wp:effectExtent l="0" t="0" r="0" b="2540"/>
            <wp:docPr id="762" name="Picture 7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74DB7928" wp14:editId="22C3EFFD">
            <wp:extent cx="5760000" cy="3960000"/>
            <wp:effectExtent l="0" t="0" r="0" b="2540"/>
            <wp:docPr id="763" name="Picture 7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51DA8B82" wp14:editId="4826E8D2">
            <wp:extent cx="5760000" cy="3960000"/>
            <wp:effectExtent l="0" t="0" r="0" b="2540"/>
            <wp:docPr id="764" name="Picture 7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17BE9E07" wp14:editId="06C12EF0">
            <wp:extent cx="5760000" cy="3960000"/>
            <wp:effectExtent l="0" t="0" r="0" b="2540"/>
            <wp:docPr id="1074" name="Picture 10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3C327019" wp14:editId="760350C9">
            <wp:extent cx="5760000" cy="3960000"/>
            <wp:effectExtent l="0" t="0" r="0" b="2540"/>
            <wp:docPr id="1075" name="Picture 1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783F29D3" wp14:editId="2A3478C4">
            <wp:extent cx="5760000" cy="3960000"/>
            <wp:effectExtent l="0" t="0" r="0" b="2540"/>
            <wp:docPr id="1076" name="Picture 1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3A09CD72" wp14:editId="251B6AE1">
            <wp:extent cx="5760000" cy="3960000"/>
            <wp:effectExtent l="0" t="0" r="0" b="2540"/>
            <wp:docPr id="1077" name="Picture 10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27DFF2C3" wp14:editId="5570DF15">
            <wp:extent cx="5760000" cy="3960000"/>
            <wp:effectExtent l="0" t="0" r="0" b="2540"/>
            <wp:docPr id="1078" name="Picture 10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662B03F7" wp14:editId="1B4404AE">
            <wp:extent cx="5760000" cy="3960000"/>
            <wp:effectExtent l="0" t="0" r="0" b="2540"/>
            <wp:docPr id="1079" name="Picture 10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1B745AE9" wp14:editId="59D04BFF">
            <wp:extent cx="5760000" cy="3960000"/>
            <wp:effectExtent l="0" t="0" r="0" b="2540"/>
            <wp:docPr id="1080" name="Picture 10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27006E0C" wp14:editId="568A983A">
            <wp:extent cx="5760000" cy="3960000"/>
            <wp:effectExtent l="0" t="0" r="0" b="2540"/>
            <wp:docPr id="1081" name="Picture 10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1DFEC90E" wp14:editId="5273EBB6">
            <wp:extent cx="5760000" cy="3960000"/>
            <wp:effectExtent l="0" t="0" r="0" b="2540"/>
            <wp:docPr id="1082" name="Picture 10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442685DA" wp14:editId="14E9C2C8">
            <wp:extent cx="5760000" cy="3960000"/>
            <wp:effectExtent l="0" t="0" r="0" b="2540"/>
            <wp:docPr id="1083" name="Picture 10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66E22A2D" wp14:editId="0D78F10B">
            <wp:extent cx="5760000" cy="3960000"/>
            <wp:effectExtent l="0" t="0" r="0" b="2540"/>
            <wp:docPr id="1084" name="Picture 10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73C3EDAA" wp14:editId="3E817537">
            <wp:extent cx="5760000" cy="3960000"/>
            <wp:effectExtent l="0" t="0" r="0" b="2540"/>
            <wp:docPr id="1085" name="Picture 10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077A8C89" wp14:editId="036E172D">
            <wp:extent cx="5760000" cy="3960000"/>
            <wp:effectExtent l="0" t="0" r="0" b="2540"/>
            <wp:docPr id="92"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317BBDB0" wp14:editId="7328E672">
            <wp:extent cx="5760000" cy="3960000"/>
            <wp:effectExtent l="0" t="0" r="0" b="2540"/>
            <wp:docPr id="1086" name="Picture 10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031D97A2" wp14:editId="214ECAD7">
            <wp:extent cx="5760000" cy="3960000"/>
            <wp:effectExtent l="0" t="0" r="0" b="2540"/>
            <wp:docPr id="1087" name="Picture 10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66C85B4B" wp14:editId="2F633E23">
            <wp:extent cx="5760000" cy="3960000"/>
            <wp:effectExtent l="0" t="0" r="0" b="2540"/>
            <wp:docPr id="1088" name="Picture 10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0D53A227" wp14:editId="5C80790C">
            <wp:extent cx="5760000" cy="3960000"/>
            <wp:effectExtent l="0" t="0" r="0" b="2540"/>
            <wp:docPr id="96"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47B0BB1E" wp14:editId="62074E1B">
            <wp:extent cx="5760000" cy="3960000"/>
            <wp:effectExtent l="0" t="0" r="0" b="2540"/>
            <wp:docPr id="1089" name="Picture 10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4D4C4457" wp14:editId="01E691FB">
            <wp:extent cx="5760000" cy="3960000"/>
            <wp:effectExtent l="0" t="0" r="0" b="2540"/>
            <wp:docPr id="1090" name="Picture 10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057AEB88" wp14:editId="57AA6D5D">
            <wp:extent cx="5760000" cy="3960000"/>
            <wp:effectExtent l="0" t="0" r="0" b="2540"/>
            <wp:docPr id="1091" name="Picture 10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40327905" wp14:editId="6B59831D">
            <wp:extent cx="5760000" cy="3960000"/>
            <wp:effectExtent l="0" t="0" r="0" b="2540"/>
            <wp:docPr id="1092" name="Picture 10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6407E89E" wp14:editId="1E73E39F">
            <wp:extent cx="5760000" cy="3960000"/>
            <wp:effectExtent l="0" t="0" r="0" b="2540"/>
            <wp:docPr id="1093" name="Picture 10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5EF005A7" wp14:editId="3915CF08">
            <wp:extent cx="5760000" cy="3960000"/>
            <wp:effectExtent l="0" t="0" r="0" b="2540"/>
            <wp:docPr id="1094" name="Picture 10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14B426F2" wp14:editId="5E46DEDD">
            <wp:extent cx="5760000" cy="3960000"/>
            <wp:effectExtent l="0" t="0" r="0" b="2540"/>
            <wp:docPr id="1095" name="Picture 10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5FE0B307" wp14:editId="4A40FF37">
            <wp:extent cx="5760000" cy="3960000"/>
            <wp:effectExtent l="0" t="0" r="0" b="2540"/>
            <wp:docPr id="1096" name="Picture 10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3A8BBB7F" wp14:editId="1DA4BACD">
            <wp:extent cx="5760000" cy="3960000"/>
            <wp:effectExtent l="0" t="0" r="0" b="2540"/>
            <wp:docPr id="1097" name="Picture 1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539EFEC6" wp14:editId="15A0C388">
            <wp:extent cx="5760000" cy="3960000"/>
            <wp:effectExtent l="0" t="0" r="0" b="2540"/>
            <wp:docPr id="1098" name="Picture 10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5379E477" wp14:editId="063E7B95">
            <wp:extent cx="5760000" cy="3960000"/>
            <wp:effectExtent l="0" t="0" r="0" b="2540"/>
            <wp:docPr id="1099" name="Picture 1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2617A825" wp14:editId="749A62F0">
            <wp:extent cx="5760000" cy="3960000"/>
            <wp:effectExtent l="0" t="0" r="0" b="2540"/>
            <wp:docPr id="1100" name="Picture 1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61D286AC" wp14:editId="64856D7E">
            <wp:extent cx="5760000" cy="3960000"/>
            <wp:effectExtent l="0" t="0" r="0" b="2540"/>
            <wp:docPr id="152"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6DC66206" wp14:editId="6EAB658E">
            <wp:extent cx="5760000" cy="3960000"/>
            <wp:effectExtent l="0" t="0" r="0" b="2540"/>
            <wp:docPr id="153"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4063EFA6" wp14:editId="54ED7EE8">
            <wp:extent cx="5760000" cy="3960000"/>
            <wp:effectExtent l="0" t="0" r="0" b="2540"/>
            <wp:docPr id="111"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362A6EB0" wp14:editId="14E518B4">
            <wp:extent cx="5760000" cy="3960000"/>
            <wp:effectExtent l="0" t="0" r="0" b="2540"/>
            <wp:docPr id="1101" name="Picture 1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33F15ECC" wp14:editId="4DCE94CC">
            <wp:extent cx="5760000" cy="3960000"/>
            <wp:effectExtent l="0" t="0" r="0" b="2540"/>
            <wp:docPr id="1102" name="Picture 1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092F240A" wp14:editId="70864382">
            <wp:extent cx="5760000" cy="3960000"/>
            <wp:effectExtent l="0" t="0" r="0" b="2540"/>
            <wp:docPr id="1103" name="Picture 1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69D8D50D" wp14:editId="3E723342">
            <wp:extent cx="5760000" cy="3960000"/>
            <wp:effectExtent l="0" t="0" r="0" b="2540"/>
            <wp:docPr id="1104" name="Picture 1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3E253528" wp14:editId="347512A1">
            <wp:extent cx="5760000" cy="3960000"/>
            <wp:effectExtent l="0" t="0" r="0" b="2540"/>
            <wp:docPr id="1105" name="Picture 1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0A586ED4" wp14:editId="7DA0614D">
            <wp:extent cx="5760000" cy="3960000"/>
            <wp:effectExtent l="0" t="0" r="0" b="2540"/>
            <wp:docPr id="1106" name="Picture 1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0CC1C036" wp14:editId="7FF78731">
            <wp:extent cx="5760000" cy="3960000"/>
            <wp:effectExtent l="0" t="0" r="0" b="2540"/>
            <wp:docPr id="1107" name="Picture 1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560A701D" wp14:editId="697BF88D">
            <wp:extent cx="5760000" cy="3960000"/>
            <wp:effectExtent l="0" t="0" r="0" b="2540"/>
            <wp:docPr id="1108" name="Picture 1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53FB2844" wp14:editId="654499E2">
            <wp:extent cx="5760000" cy="3960000"/>
            <wp:effectExtent l="0" t="0" r="0" b="2540"/>
            <wp:docPr id="1109" name="Picture 1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13D0637F" wp14:editId="3C85C44C">
            <wp:extent cx="5760000" cy="3960000"/>
            <wp:effectExtent l="0" t="0" r="0" b="2540"/>
            <wp:docPr id="1110" name="Picture 1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72C8642F" wp14:editId="0CB85158">
            <wp:extent cx="5760000" cy="3960000"/>
            <wp:effectExtent l="0" t="0" r="0" b="2540"/>
            <wp:docPr id="154"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16155099" wp14:editId="4AC1B6D4">
            <wp:extent cx="5760000" cy="3960000"/>
            <wp:effectExtent l="0" t="0" r="0" b="2540"/>
            <wp:docPr id="1111" name="Picture 1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048FB42B" wp14:editId="17FF7E3C">
            <wp:extent cx="5760000" cy="3960000"/>
            <wp:effectExtent l="0" t="0" r="0" b="2540"/>
            <wp:docPr id="1112" name="Picture 1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3F9A8882" wp14:editId="2673AC5C">
            <wp:extent cx="5760000" cy="3960000"/>
            <wp:effectExtent l="0" t="0" r="0" b="2540"/>
            <wp:docPr id="1113" name="Picture 1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3EA803B0" wp14:editId="4EA24E9A">
            <wp:extent cx="5760000" cy="3960000"/>
            <wp:effectExtent l="0" t="0" r="0" b="2540"/>
            <wp:docPr id="126"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43AE57B7" wp14:editId="1267E54B">
            <wp:extent cx="5760000" cy="3960000"/>
            <wp:effectExtent l="0" t="0" r="0" b="2540"/>
            <wp:docPr id="127"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36D4319C" wp14:editId="057FEC77">
            <wp:extent cx="5760000" cy="3960000"/>
            <wp:effectExtent l="0" t="0" r="0" b="2540"/>
            <wp:docPr id="128"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179F4CF3" wp14:editId="5557D733">
            <wp:extent cx="5760000" cy="3960000"/>
            <wp:effectExtent l="0" t="0" r="0" b="2540"/>
            <wp:docPr id="129"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25E79FF6" wp14:editId="41F07171">
            <wp:extent cx="5760000" cy="3960000"/>
            <wp:effectExtent l="0" t="0" r="0" b="2540"/>
            <wp:docPr id="130"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403CC40F" wp14:editId="763A3C47">
            <wp:extent cx="5760000" cy="3960000"/>
            <wp:effectExtent l="0" t="0" r="0" b="2540"/>
            <wp:docPr id="131"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33275EEA" wp14:editId="0870F8E0">
            <wp:extent cx="5760000" cy="3960000"/>
            <wp:effectExtent l="0" t="0" r="0" b="2540"/>
            <wp:docPr id="132"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71084FE3" wp14:editId="66ED9F3D">
            <wp:extent cx="5760000" cy="3960000"/>
            <wp:effectExtent l="0" t="0" r="0" b="2540"/>
            <wp:docPr id="133"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4502D707" wp14:editId="190008A7">
            <wp:extent cx="5760000" cy="3960000"/>
            <wp:effectExtent l="0" t="0" r="0" b="2540"/>
            <wp:docPr id="134"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3158B1BB" wp14:editId="32A71C37">
            <wp:extent cx="5760000" cy="3960000"/>
            <wp:effectExtent l="0" t="0" r="0" b="2540"/>
            <wp:docPr id="135"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4FF2362F" wp14:editId="1A157880">
            <wp:extent cx="5760000" cy="3960000"/>
            <wp:effectExtent l="0" t="0" r="0" b="2540"/>
            <wp:docPr id="136"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44BC8EA8" wp14:editId="10B999CD">
            <wp:extent cx="5760000" cy="3960000"/>
            <wp:effectExtent l="0" t="0" r="0" b="2540"/>
            <wp:docPr id="137"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3B4E0DFD" wp14:editId="3C7B6572">
            <wp:extent cx="5760000" cy="3960000"/>
            <wp:effectExtent l="0" t="0" r="0" b="2540"/>
            <wp:docPr id="138"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64EFABA4" wp14:editId="59989BA0">
            <wp:extent cx="5760000" cy="3960000"/>
            <wp:effectExtent l="0" t="0" r="0" b="2540"/>
            <wp:docPr id="139"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4E973C4A" wp14:editId="1AF0C3B1">
            <wp:extent cx="5760000" cy="3960000"/>
            <wp:effectExtent l="0" t="0" r="0" b="2540"/>
            <wp:docPr id="140"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21902ADB" wp14:editId="32C8C6F6">
            <wp:extent cx="5760000" cy="3960000"/>
            <wp:effectExtent l="0" t="0" r="0" b="2540"/>
            <wp:docPr id="141"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5B859612" wp14:editId="2EDB0E0D">
            <wp:extent cx="5760000" cy="3960000"/>
            <wp:effectExtent l="0" t="0" r="0" b="2540"/>
            <wp:docPr id="142"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24B6D693" wp14:editId="155294AE">
            <wp:extent cx="5760000" cy="3960000"/>
            <wp:effectExtent l="0" t="0" r="0" b="2540"/>
            <wp:docPr id="143"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1C1E916F" wp14:editId="5BBE07F8">
            <wp:extent cx="5760000" cy="3960000"/>
            <wp:effectExtent l="0" t="0" r="0" b="2540"/>
            <wp:docPr id="144"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24449B39" wp14:editId="7703A349">
            <wp:extent cx="5760000" cy="3960000"/>
            <wp:effectExtent l="0" t="0" r="0" b="2540"/>
            <wp:docPr id="145"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619C0F98" wp14:editId="3B0F1F99">
            <wp:extent cx="5760000" cy="3960000"/>
            <wp:effectExtent l="0" t="0" r="0" b="2540"/>
            <wp:docPr id="146"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lastRenderedPageBreak/>
        <w:drawing>
          <wp:inline distT="0" distB="0" distL="0" distR="0" wp14:anchorId="4E3C0134" wp14:editId="6F0712D0">
            <wp:extent cx="5760000" cy="3960000"/>
            <wp:effectExtent l="0" t="0" r="0" b="2540"/>
            <wp:docPr id="147"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r w:rsidRPr="0087660D">
        <w:rPr>
          <w:noProof/>
          <w:lang w:val="hr-HR" w:eastAsia="hr-HR"/>
        </w:rPr>
        <w:drawing>
          <wp:inline distT="0" distB="0" distL="0" distR="0" wp14:anchorId="7D69971E" wp14:editId="56D746EB">
            <wp:extent cx="5760000" cy="3960000"/>
            <wp:effectExtent l="0" t="0" r="0" b="2540"/>
            <wp:docPr id="148"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760000" cy="3960000"/>
                    </a:xfrm>
                    <a:prstGeom prst="rect">
                      <a:avLst/>
                    </a:prstGeom>
                    <a:noFill/>
                    <a:ln>
                      <a:noFill/>
                    </a:ln>
                  </pic:spPr>
                </pic:pic>
              </a:graphicData>
            </a:graphic>
          </wp:inline>
        </w:drawing>
      </w:r>
      <w:bookmarkEnd w:id="315"/>
    </w:p>
    <w:bookmarkStart w:id="317" w:name="GUID9699D91CF3A14F818F856C4A2F44FAB6"/>
    <w:p w14:paraId="5BDA0770" w14:textId="77777777" w:rsidR="00FB1300" w:rsidRPr="009F3ED8" w:rsidRDefault="00FB1300" w:rsidP="00FB1300">
      <w:pPr>
        <w:pStyle w:val="EPKitTCFrame"/>
      </w:pPr>
      <w:r w:rsidRPr="009F3ED8">
        <w:lastRenderedPageBreak/>
        <w:fldChar w:fldCharType="begin"/>
      </w:r>
      <w:r w:rsidRPr="009F3ED8">
        <w:rPr>
          <w:vanish w:val="0"/>
        </w:rPr>
        <w:instrText xml:space="preserve"> TC "</w:instrText>
      </w:r>
      <w:bookmarkStart w:id="318" w:name="_Toc511664469"/>
      <w:r w:rsidRPr="009F3ED8">
        <w:rPr>
          <w:vanish w:val="0"/>
        </w:rPr>
        <w:instrText>Part IV:</w:instrText>
      </w:r>
      <w:r w:rsidRPr="009F3ED8">
        <w:rPr>
          <w:vanish w:val="0"/>
        </w:rPr>
        <w:tab/>
        <w:instrText>Statistical Annex  – COUNTRY FICHES</w:instrText>
      </w:r>
      <w:bookmarkEnd w:id="318"/>
      <w:r w:rsidRPr="009F3ED8">
        <w:rPr>
          <w:vanish w:val="0"/>
        </w:rPr>
        <w:instrText xml:space="preserve">" \f \l 1 </w:instrText>
      </w:r>
      <w:r w:rsidRPr="009F3ED8">
        <w:fldChar w:fldCharType="end"/>
      </w:r>
    </w:p>
    <w:p w14:paraId="565C4401" w14:textId="77777777" w:rsidR="00FB1300" w:rsidRDefault="00FB1300" w:rsidP="00FB1300"/>
    <w:bookmarkEnd w:id="317"/>
    <w:p w14:paraId="2CA9CA62" w14:textId="77777777" w:rsidR="00FB1300" w:rsidRDefault="00FB1300" w:rsidP="00FB1300">
      <w:pPr>
        <w:sectPr w:rsidR="00FB1300" w:rsidSect="00FB1300">
          <w:headerReference w:type="even" r:id="rId516"/>
          <w:headerReference w:type="default" r:id="rId517"/>
          <w:footerReference w:type="even" r:id="rId518"/>
          <w:footerReference w:type="default" r:id="rId519"/>
          <w:headerReference w:type="first" r:id="rId520"/>
          <w:footerReference w:type="first" r:id="rId521"/>
          <w:endnotePr>
            <w:numFmt w:val="decimal"/>
          </w:endnotePr>
          <w:type w:val="oddPage"/>
          <w:pgSz w:w="11907" w:h="16839"/>
          <w:pgMar w:top="2693" w:right="1701" w:bottom="1417" w:left="1701" w:header="709" w:footer="1191" w:gutter="0"/>
          <w:cols w:space="708"/>
          <w:titlePg/>
          <w:docGrid w:linePitch="360"/>
        </w:sectPr>
      </w:pPr>
    </w:p>
    <w:bookmarkStart w:id="319" w:name="GUIDC4D45CF7B78A411FACD325260F94CF1D"/>
    <w:p w14:paraId="08C5DA49"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20" w:name="_Toc511664470"/>
      <w:r w:rsidRPr="009F3ED8">
        <w:rPr>
          <w:vanish w:val="0"/>
        </w:rPr>
        <w:instrText>1.</w:instrText>
      </w:r>
      <w:r w:rsidRPr="009F3ED8">
        <w:rPr>
          <w:vanish w:val="0"/>
        </w:rPr>
        <w:tab/>
        <w:instrText>Belgium</w:instrText>
      </w:r>
      <w:bookmarkEnd w:id="320"/>
      <w:r w:rsidRPr="009F3ED8">
        <w:rPr>
          <w:vanish w:val="0"/>
        </w:rPr>
        <w:instrText xml:space="preserve">" \f \l 2 </w:instrText>
      </w:r>
      <w:r w:rsidRPr="009F3ED8">
        <w:fldChar w:fldCharType="end"/>
      </w:r>
    </w:p>
    <w:p w14:paraId="2953DD57" w14:textId="77777777" w:rsidR="00FB1300" w:rsidRPr="00A435DC" w:rsidRDefault="00FB1300" w:rsidP="00460C69">
      <w:r w:rsidRPr="00A435DC">
        <w:rPr>
          <w:noProof/>
          <w:lang w:val="hr-HR" w:eastAsia="hr-HR"/>
        </w:rPr>
        <w:drawing>
          <wp:inline distT="0" distB="0" distL="0" distR="0" wp14:anchorId="1BC88A4D" wp14:editId="776E7925">
            <wp:extent cx="5757862" cy="7558088"/>
            <wp:effectExtent l="0" t="0" r="0" b="5080"/>
            <wp:docPr id="938" name="Picture 9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760000" cy="7560894"/>
                    </a:xfrm>
                    <a:prstGeom prst="rect">
                      <a:avLst/>
                    </a:prstGeom>
                    <a:noFill/>
                    <a:ln>
                      <a:noFill/>
                    </a:ln>
                  </pic:spPr>
                </pic:pic>
              </a:graphicData>
            </a:graphic>
          </wp:inline>
        </w:drawing>
      </w:r>
      <w:r w:rsidRPr="00A435DC">
        <w:rPr>
          <w:noProof/>
          <w:lang w:val="hr-HR" w:eastAsia="hr-HR"/>
        </w:rPr>
        <w:lastRenderedPageBreak/>
        <w:drawing>
          <wp:inline distT="0" distB="0" distL="0" distR="0" wp14:anchorId="642A8417" wp14:editId="4E1A45BD">
            <wp:extent cx="5760000" cy="7200000"/>
            <wp:effectExtent l="0" t="0" r="0" b="1270"/>
            <wp:docPr id="939" name="Picture 9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p>
    <w:p w14:paraId="115F1CA3" w14:textId="77777777" w:rsidR="00FB1300" w:rsidRPr="00FB1300" w:rsidRDefault="00FB1300" w:rsidP="00460C69">
      <w:pPr>
        <w:sectPr w:rsidR="00FB1300" w:rsidRPr="00FB1300" w:rsidSect="00FB1300">
          <w:headerReference w:type="even" r:id="rId524"/>
          <w:headerReference w:type="default" r:id="rId525"/>
          <w:footerReference w:type="even" r:id="rId526"/>
          <w:footerReference w:type="default" r:id="rId527"/>
          <w:headerReference w:type="first" r:id="rId528"/>
          <w:footerReference w:type="first" r:id="rId529"/>
          <w:endnotePr>
            <w:numFmt w:val="decimal"/>
          </w:endnotePr>
          <w:pgSz w:w="11907" w:h="16839"/>
          <w:pgMar w:top="2693" w:right="1701" w:bottom="1417" w:left="1701" w:header="709" w:footer="1191" w:gutter="0"/>
          <w:cols w:space="708"/>
          <w:titlePg/>
          <w:docGrid w:linePitch="360"/>
        </w:sectPr>
      </w:pPr>
      <w:r w:rsidRPr="00FB1300">
        <w:rPr>
          <w:noProof/>
          <w:lang w:val="hr-HR" w:eastAsia="hr-HR"/>
        </w:rPr>
        <w:lastRenderedPageBreak/>
        <w:drawing>
          <wp:inline distT="0" distB="0" distL="0" distR="0" wp14:anchorId="60F24644" wp14:editId="497E7A0A">
            <wp:extent cx="5760155" cy="8072966"/>
            <wp:effectExtent l="0" t="0" r="0" b="4445"/>
            <wp:docPr id="940" name="Picture 9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760000" cy="8072748"/>
                    </a:xfrm>
                    <a:prstGeom prst="rect">
                      <a:avLst/>
                    </a:prstGeom>
                    <a:noFill/>
                    <a:ln>
                      <a:noFill/>
                    </a:ln>
                  </pic:spPr>
                </pic:pic>
              </a:graphicData>
            </a:graphic>
          </wp:inline>
        </w:drawing>
      </w:r>
      <w:bookmarkEnd w:id="319"/>
    </w:p>
    <w:bookmarkStart w:id="321" w:name="GUID2B87B0628A754DE285128F1481573283"/>
    <w:p w14:paraId="08DA5E61"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22" w:name="_Toc511664471"/>
      <w:r w:rsidRPr="009F3ED8">
        <w:rPr>
          <w:vanish w:val="0"/>
        </w:rPr>
        <w:instrText>2.</w:instrText>
      </w:r>
      <w:r w:rsidRPr="009F3ED8">
        <w:rPr>
          <w:vanish w:val="0"/>
        </w:rPr>
        <w:tab/>
        <w:instrText>Bulgaria</w:instrText>
      </w:r>
      <w:bookmarkEnd w:id="322"/>
      <w:r w:rsidRPr="009F3ED8">
        <w:rPr>
          <w:vanish w:val="0"/>
        </w:rPr>
        <w:instrText xml:space="preserve">" \f \l 2 </w:instrText>
      </w:r>
      <w:r w:rsidRPr="009F3ED8">
        <w:fldChar w:fldCharType="end"/>
      </w:r>
    </w:p>
    <w:p w14:paraId="3C635574" w14:textId="77777777" w:rsidR="00FB1300" w:rsidRPr="00FB1300" w:rsidRDefault="00FB1300" w:rsidP="00460C69">
      <w:pPr>
        <w:sectPr w:rsidR="00FB1300" w:rsidRPr="00FB1300" w:rsidSect="00FB1300">
          <w:headerReference w:type="even" r:id="rId531"/>
          <w:headerReference w:type="default" r:id="rId532"/>
          <w:footerReference w:type="even" r:id="rId533"/>
          <w:footerReference w:type="default" r:id="rId534"/>
          <w:headerReference w:type="first" r:id="rId535"/>
          <w:footerReference w:type="first" r:id="rId536"/>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141CBB96" wp14:editId="2D5516D3">
            <wp:extent cx="5757862" cy="7558088"/>
            <wp:effectExtent l="0" t="0" r="0" b="5080"/>
            <wp:docPr id="941" name="Picture 9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760000" cy="7560894"/>
                    </a:xfrm>
                    <a:prstGeom prst="rect">
                      <a:avLst/>
                    </a:prstGeom>
                    <a:noFill/>
                    <a:ln>
                      <a:noFill/>
                    </a:ln>
                  </pic:spPr>
                </pic:pic>
              </a:graphicData>
            </a:graphic>
          </wp:inline>
        </w:drawing>
      </w:r>
      <w:r w:rsidRPr="00FB1300">
        <w:rPr>
          <w:noProof/>
          <w:lang w:val="hr-HR" w:eastAsia="hr-HR"/>
        </w:rPr>
        <w:lastRenderedPageBreak/>
        <w:drawing>
          <wp:inline distT="0" distB="0" distL="0" distR="0" wp14:anchorId="3459725F" wp14:editId="6685788E">
            <wp:extent cx="5760000" cy="7200000"/>
            <wp:effectExtent l="0" t="0" r="0" b="1270"/>
            <wp:docPr id="942" name="Picture 9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296EDBD2" wp14:editId="1CF3C0E9">
            <wp:extent cx="5760155" cy="8077200"/>
            <wp:effectExtent l="0" t="0" r="0" b="0"/>
            <wp:docPr id="943" name="Picture 9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760000" cy="8076982"/>
                    </a:xfrm>
                    <a:prstGeom prst="rect">
                      <a:avLst/>
                    </a:prstGeom>
                    <a:noFill/>
                    <a:ln>
                      <a:noFill/>
                    </a:ln>
                  </pic:spPr>
                </pic:pic>
              </a:graphicData>
            </a:graphic>
          </wp:inline>
        </w:drawing>
      </w:r>
      <w:bookmarkEnd w:id="321"/>
    </w:p>
    <w:bookmarkStart w:id="323" w:name="GUIDDEA145CEF17F48BDB059E489240A5589"/>
    <w:p w14:paraId="49D20F0B"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24" w:name="_Toc511664472"/>
      <w:r w:rsidRPr="009F3ED8">
        <w:rPr>
          <w:vanish w:val="0"/>
        </w:rPr>
        <w:instrText>3.</w:instrText>
      </w:r>
      <w:r w:rsidRPr="009F3ED8">
        <w:rPr>
          <w:vanish w:val="0"/>
        </w:rPr>
        <w:tab/>
        <w:instrText>The Czech Republic</w:instrText>
      </w:r>
      <w:bookmarkEnd w:id="324"/>
      <w:r w:rsidRPr="009F3ED8">
        <w:rPr>
          <w:vanish w:val="0"/>
        </w:rPr>
        <w:instrText xml:space="preserve">" \f \l 2 </w:instrText>
      </w:r>
      <w:r w:rsidRPr="009F3ED8">
        <w:fldChar w:fldCharType="end"/>
      </w:r>
    </w:p>
    <w:p w14:paraId="1A97F2EA" w14:textId="77777777" w:rsidR="00FB1300" w:rsidRPr="00FB1300" w:rsidRDefault="00FB1300" w:rsidP="00460C69">
      <w:pPr>
        <w:sectPr w:rsidR="00FB1300" w:rsidRPr="00FB1300" w:rsidSect="00FB1300">
          <w:headerReference w:type="even" r:id="rId540"/>
          <w:headerReference w:type="default" r:id="rId541"/>
          <w:footerReference w:type="even" r:id="rId542"/>
          <w:footerReference w:type="default" r:id="rId543"/>
          <w:headerReference w:type="first" r:id="rId544"/>
          <w:footerReference w:type="first" r:id="rId545"/>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4E3C7845" wp14:editId="00DECFCE">
            <wp:extent cx="5757862" cy="7562850"/>
            <wp:effectExtent l="0" t="0" r="0" b="0"/>
            <wp:docPr id="944" name="Picture 9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760000" cy="7565658"/>
                    </a:xfrm>
                    <a:prstGeom prst="rect">
                      <a:avLst/>
                    </a:prstGeom>
                    <a:noFill/>
                    <a:ln>
                      <a:noFill/>
                    </a:ln>
                  </pic:spPr>
                </pic:pic>
              </a:graphicData>
            </a:graphic>
          </wp:inline>
        </w:drawing>
      </w:r>
      <w:r w:rsidRPr="00FB1300">
        <w:rPr>
          <w:noProof/>
          <w:lang w:val="hr-HR" w:eastAsia="hr-HR"/>
        </w:rPr>
        <w:lastRenderedPageBreak/>
        <w:drawing>
          <wp:inline distT="0" distB="0" distL="0" distR="0" wp14:anchorId="7ED6B20D" wp14:editId="0D79A0FA">
            <wp:extent cx="5760000" cy="7200000"/>
            <wp:effectExtent l="0" t="0" r="0" b="1270"/>
            <wp:docPr id="945" name="Picture 9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0E214667" wp14:editId="2D969E02">
            <wp:extent cx="5758150" cy="8064347"/>
            <wp:effectExtent l="0" t="0" r="0" b="0"/>
            <wp:docPr id="946" name="Picture 9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760000" cy="8066938"/>
                    </a:xfrm>
                    <a:prstGeom prst="rect">
                      <a:avLst/>
                    </a:prstGeom>
                    <a:noFill/>
                    <a:ln>
                      <a:noFill/>
                    </a:ln>
                  </pic:spPr>
                </pic:pic>
              </a:graphicData>
            </a:graphic>
          </wp:inline>
        </w:drawing>
      </w:r>
      <w:bookmarkEnd w:id="323"/>
    </w:p>
    <w:bookmarkStart w:id="325" w:name="GUID7C0B600303444A7C8CDEB15CCBAE93A8"/>
    <w:p w14:paraId="524EAD49"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26" w:name="_Toc511664473"/>
      <w:r w:rsidRPr="009F3ED8">
        <w:rPr>
          <w:vanish w:val="0"/>
        </w:rPr>
        <w:instrText>4.</w:instrText>
      </w:r>
      <w:r w:rsidRPr="009F3ED8">
        <w:rPr>
          <w:vanish w:val="0"/>
        </w:rPr>
        <w:tab/>
        <w:instrText>Denmark</w:instrText>
      </w:r>
      <w:bookmarkEnd w:id="326"/>
      <w:r w:rsidRPr="009F3ED8">
        <w:rPr>
          <w:vanish w:val="0"/>
        </w:rPr>
        <w:instrText xml:space="preserve">" \f \l 2 </w:instrText>
      </w:r>
      <w:r w:rsidRPr="009F3ED8">
        <w:fldChar w:fldCharType="end"/>
      </w:r>
    </w:p>
    <w:p w14:paraId="2F5A9ECA" w14:textId="77777777" w:rsidR="00FB1300" w:rsidRPr="00FB1300" w:rsidRDefault="00FB1300" w:rsidP="00460C69">
      <w:pPr>
        <w:sectPr w:rsidR="00FB1300" w:rsidRPr="00FB1300" w:rsidSect="00FB1300">
          <w:headerReference w:type="even" r:id="rId549"/>
          <w:headerReference w:type="default" r:id="rId550"/>
          <w:footerReference w:type="even" r:id="rId551"/>
          <w:footerReference w:type="default" r:id="rId552"/>
          <w:headerReference w:type="first" r:id="rId553"/>
          <w:footerReference w:type="first" r:id="rId554"/>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06387C3C" wp14:editId="4002C48A">
            <wp:extent cx="5757862" cy="7558088"/>
            <wp:effectExtent l="0" t="0" r="0" b="5080"/>
            <wp:docPr id="947" name="Picture 9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760000" cy="7560894"/>
                    </a:xfrm>
                    <a:prstGeom prst="rect">
                      <a:avLst/>
                    </a:prstGeom>
                    <a:noFill/>
                    <a:ln>
                      <a:noFill/>
                    </a:ln>
                  </pic:spPr>
                </pic:pic>
              </a:graphicData>
            </a:graphic>
          </wp:inline>
        </w:drawing>
      </w:r>
      <w:r w:rsidRPr="00FB1300">
        <w:rPr>
          <w:noProof/>
          <w:lang w:val="hr-HR" w:eastAsia="hr-HR"/>
        </w:rPr>
        <w:lastRenderedPageBreak/>
        <w:drawing>
          <wp:inline distT="0" distB="0" distL="0" distR="0" wp14:anchorId="453ACB8F" wp14:editId="7B9FF63A">
            <wp:extent cx="5760000" cy="7200000"/>
            <wp:effectExtent l="0" t="0" r="0" b="1270"/>
            <wp:docPr id="948" name="Picture 9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42B601A3" wp14:editId="5B6999B6">
            <wp:extent cx="5760155" cy="8085666"/>
            <wp:effectExtent l="0" t="0" r="0" b="0"/>
            <wp:docPr id="949" name="Picture 9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760000" cy="8085448"/>
                    </a:xfrm>
                    <a:prstGeom prst="rect">
                      <a:avLst/>
                    </a:prstGeom>
                    <a:noFill/>
                    <a:ln>
                      <a:noFill/>
                    </a:ln>
                  </pic:spPr>
                </pic:pic>
              </a:graphicData>
            </a:graphic>
          </wp:inline>
        </w:drawing>
      </w:r>
      <w:bookmarkEnd w:id="325"/>
    </w:p>
    <w:bookmarkStart w:id="327" w:name="GUIDD4840B2FC7E043988A844574F2362A55"/>
    <w:p w14:paraId="428A79FC"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28" w:name="_Toc511664474"/>
      <w:r w:rsidRPr="009F3ED8">
        <w:rPr>
          <w:vanish w:val="0"/>
        </w:rPr>
        <w:instrText>5.</w:instrText>
      </w:r>
      <w:r w:rsidRPr="009F3ED8">
        <w:rPr>
          <w:vanish w:val="0"/>
        </w:rPr>
        <w:tab/>
        <w:instrText>Germany</w:instrText>
      </w:r>
      <w:bookmarkEnd w:id="328"/>
      <w:r w:rsidRPr="009F3ED8">
        <w:rPr>
          <w:vanish w:val="0"/>
        </w:rPr>
        <w:instrText xml:space="preserve">" \f \l 2 </w:instrText>
      </w:r>
      <w:r w:rsidRPr="009F3ED8">
        <w:fldChar w:fldCharType="end"/>
      </w:r>
    </w:p>
    <w:p w14:paraId="557680C7" w14:textId="77777777" w:rsidR="00FB1300" w:rsidRPr="00FB1300" w:rsidRDefault="00FB1300" w:rsidP="00460C69">
      <w:pPr>
        <w:sectPr w:rsidR="00FB1300" w:rsidRPr="00FB1300" w:rsidSect="00FB1300">
          <w:headerReference w:type="even" r:id="rId558"/>
          <w:headerReference w:type="default" r:id="rId559"/>
          <w:footerReference w:type="even" r:id="rId560"/>
          <w:footerReference w:type="default" r:id="rId561"/>
          <w:headerReference w:type="first" r:id="rId562"/>
          <w:footerReference w:type="first" r:id="rId563"/>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7D3AD09A" wp14:editId="54619CF4">
            <wp:extent cx="5757862" cy="7567613"/>
            <wp:effectExtent l="0" t="0" r="0" b="0"/>
            <wp:docPr id="950" name="Picture 9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760000" cy="7570423"/>
                    </a:xfrm>
                    <a:prstGeom prst="rect">
                      <a:avLst/>
                    </a:prstGeom>
                    <a:noFill/>
                    <a:ln>
                      <a:noFill/>
                    </a:ln>
                  </pic:spPr>
                </pic:pic>
              </a:graphicData>
            </a:graphic>
          </wp:inline>
        </w:drawing>
      </w:r>
      <w:r w:rsidRPr="00FB1300">
        <w:rPr>
          <w:noProof/>
          <w:lang w:val="hr-HR" w:eastAsia="hr-HR"/>
        </w:rPr>
        <w:lastRenderedPageBreak/>
        <w:drawing>
          <wp:inline distT="0" distB="0" distL="0" distR="0" wp14:anchorId="3FCF23F8" wp14:editId="08A3A715">
            <wp:extent cx="5760000" cy="7200000"/>
            <wp:effectExtent l="0" t="0" r="0" b="1270"/>
            <wp:docPr id="951" name="Picture 9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094D76C5" wp14:editId="7BD2287F">
            <wp:extent cx="5760155" cy="8077200"/>
            <wp:effectExtent l="0" t="0" r="0" b="0"/>
            <wp:docPr id="952" name="Picture 9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760000" cy="8076982"/>
                    </a:xfrm>
                    <a:prstGeom prst="rect">
                      <a:avLst/>
                    </a:prstGeom>
                    <a:noFill/>
                    <a:ln>
                      <a:noFill/>
                    </a:ln>
                  </pic:spPr>
                </pic:pic>
              </a:graphicData>
            </a:graphic>
          </wp:inline>
        </w:drawing>
      </w:r>
      <w:bookmarkEnd w:id="327"/>
    </w:p>
    <w:bookmarkStart w:id="329" w:name="GUID9E4C8AD644AD4A3CBD9F8E03F1967342"/>
    <w:p w14:paraId="3E373007"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30" w:name="_Toc511664475"/>
      <w:r w:rsidRPr="009F3ED8">
        <w:rPr>
          <w:vanish w:val="0"/>
        </w:rPr>
        <w:instrText>6.</w:instrText>
      </w:r>
      <w:r w:rsidRPr="009F3ED8">
        <w:rPr>
          <w:vanish w:val="0"/>
        </w:rPr>
        <w:tab/>
        <w:instrText>Estonia</w:instrText>
      </w:r>
      <w:bookmarkEnd w:id="330"/>
      <w:r w:rsidRPr="009F3ED8">
        <w:rPr>
          <w:vanish w:val="0"/>
        </w:rPr>
        <w:instrText xml:space="preserve">" \f \l 2 </w:instrText>
      </w:r>
      <w:r w:rsidRPr="009F3ED8">
        <w:fldChar w:fldCharType="end"/>
      </w:r>
    </w:p>
    <w:p w14:paraId="663A5F4C" w14:textId="77777777" w:rsidR="00FB1300" w:rsidRPr="00FB1300" w:rsidRDefault="00FB1300" w:rsidP="00460C69">
      <w:pPr>
        <w:sectPr w:rsidR="00FB1300" w:rsidRPr="00FB1300" w:rsidSect="00FB1300">
          <w:headerReference w:type="even" r:id="rId567"/>
          <w:headerReference w:type="default" r:id="rId568"/>
          <w:footerReference w:type="even" r:id="rId569"/>
          <w:footerReference w:type="default" r:id="rId570"/>
          <w:headerReference w:type="first" r:id="rId571"/>
          <w:footerReference w:type="first" r:id="rId572"/>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48689489" wp14:editId="6F17241C">
            <wp:extent cx="5757862" cy="7558088"/>
            <wp:effectExtent l="0" t="0" r="0" b="5080"/>
            <wp:docPr id="953" name="Picture 9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760000" cy="7560894"/>
                    </a:xfrm>
                    <a:prstGeom prst="rect">
                      <a:avLst/>
                    </a:prstGeom>
                    <a:noFill/>
                    <a:ln>
                      <a:noFill/>
                    </a:ln>
                  </pic:spPr>
                </pic:pic>
              </a:graphicData>
            </a:graphic>
          </wp:inline>
        </w:drawing>
      </w:r>
      <w:r w:rsidRPr="00FB1300">
        <w:rPr>
          <w:noProof/>
          <w:lang w:val="hr-HR" w:eastAsia="hr-HR"/>
        </w:rPr>
        <w:lastRenderedPageBreak/>
        <w:drawing>
          <wp:inline distT="0" distB="0" distL="0" distR="0" wp14:anchorId="65D125EE" wp14:editId="23A8FAB2">
            <wp:extent cx="5760000" cy="7200000"/>
            <wp:effectExtent l="0" t="0" r="0" b="1270"/>
            <wp:docPr id="954" name="Picture 9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24A65356" wp14:editId="1BD7C776">
            <wp:extent cx="5760155" cy="8077200"/>
            <wp:effectExtent l="0" t="0" r="0" b="0"/>
            <wp:docPr id="955" name="Picture 9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760000" cy="8076982"/>
                    </a:xfrm>
                    <a:prstGeom prst="rect">
                      <a:avLst/>
                    </a:prstGeom>
                    <a:noFill/>
                    <a:ln>
                      <a:noFill/>
                    </a:ln>
                  </pic:spPr>
                </pic:pic>
              </a:graphicData>
            </a:graphic>
          </wp:inline>
        </w:drawing>
      </w:r>
      <w:bookmarkEnd w:id="329"/>
    </w:p>
    <w:bookmarkStart w:id="331" w:name="GUID921CF8D23B8A4F3CA03157A6D2D7C03D"/>
    <w:p w14:paraId="6866CFE2"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32" w:name="_Toc511664476"/>
      <w:r w:rsidRPr="009F3ED8">
        <w:rPr>
          <w:vanish w:val="0"/>
        </w:rPr>
        <w:instrText>7.</w:instrText>
      </w:r>
      <w:r w:rsidRPr="009F3ED8">
        <w:rPr>
          <w:vanish w:val="0"/>
        </w:rPr>
        <w:tab/>
        <w:instrText>Ireland</w:instrText>
      </w:r>
      <w:bookmarkEnd w:id="332"/>
      <w:r w:rsidRPr="009F3ED8">
        <w:rPr>
          <w:vanish w:val="0"/>
        </w:rPr>
        <w:instrText xml:space="preserve">" \f \l 2 </w:instrText>
      </w:r>
      <w:r w:rsidRPr="009F3ED8">
        <w:fldChar w:fldCharType="end"/>
      </w:r>
    </w:p>
    <w:p w14:paraId="4B41F2CF" w14:textId="77777777" w:rsidR="00FB1300" w:rsidRPr="00FB1300" w:rsidRDefault="00FB1300" w:rsidP="00460C69">
      <w:pPr>
        <w:sectPr w:rsidR="00FB1300" w:rsidRPr="00FB1300" w:rsidSect="00FB1300">
          <w:headerReference w:type="even" r:id="rId576"/>
          <w:headerReference w:type="default" r:id="rId577"/>
          <w:footerReference w:type="even" r:id="rId578"/>
          <w:footerReference w:type="default" r:id="rId579"/>
          <w:headerReference w:type="first" r:id="rId580"/>
          <w:footerReference w:type="first" r:id="rId581"/>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400BBCB4" wp14:editId="1D532022">
            <wp:extent cx="5757862" cy="7548563"/>
            <wp:effectExtent l="0" t="0" r="0" b="0"/>
            <wp:docPr id="956" name="Picture 9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760000" cy="7551366"/>
                    </a:xfrm>
                    <a:prstGeom prst="rect">
                      <a:avLst/>
                    </a:prstGeom>
                    <a:noFill/>
                    <a:ln>
                      <a:noFill/>
                    </a:ln>
                  </pic:spPr>
                </pic:pic>
              </a:graphicData>
            </a:graphic>
          </wp:inline>
        </w:drawing>
      </w:r>
      <w:r w:rsidRPr="00FB1300">
        <w:rPr>
          <w:noProof/>
          <w:lang w:val="hr-HR" w:eastAsia="hr-HR"/>
        </w:rPr>
        <w:lastRenderedPageBreak/>
        <w:drawing>
          <wp:inline distT="0" distB="0" distL="0" distR="0" wp14:anchorId="19046A8E" wp14:editId="597897E3">
            <wp:extent cx="5760000" cy="7200000"/>
            <wp:effectExtent l="0" t="0" r="0" b="1270"/>
            <wp:docPr id="957" name="Picture 9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0267B231" wp14:editId="5F2BA34B">
            <wp:extent cx="5760155" cy="8085666"/>
            <wp:effectExtent l="0" t="0" r="0" b="0"/>
            <wp:docPr id="958" name="Picture 9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760000" cy="8085448"/>
                    </a:xfrm>
                    <a:prstGeom prst="rect">
                      <a:avLst/>
                    </a:prstGeom>
                    <a:noFill/>
                    <a:ln>
                      <a:noFill/>
                    </a:ln>
                  </pic:spPr>
                </pic:pic>
              </a:graphicData>
            </a:graphic>
          </wp:inline>
        </w:drawing>
      </w:r>
      <w:bookmarkEnd w:id="331"/>
    </w:p>
    <w:bookmarkStart w:id="333" w:name="GUIDF5654819C7624F6DBACB25DCD5E5D0DD"/>
    <w:p w14:paraId="3C0CC3A5"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34" w:name="_Toc511664477"/>
      <w:r w:rsidRPr="009F3ED8">
        <w:rPr>
          <w:vanish w:val="0"/>
        </w:rPr>
        <w:instrText>8.</w:instrText>
      </w:r>
      <w:r w:rsidRPr="009F3ED8">
        <w:rPr>
          <w:vanish w:val="0"/>
        </w:rPr>
        <w:tab/>
        <w:instrText>Greece</w:instrText>
      </w:r>
      <w:bookmarkEnd w:id="334"/>
      <w:r w:rsidRPr="009F3ED8">
        <w:rPr>
          <w:vanish w:val="0"/>
        </w:rPr>
        <w:instrText xml:space="preserve">" \f \l 2 </w:instrText>
      </w:r>
      <w:r w:rsidRPr="009F3ED8">
        <w:fldChar w:fldCharType="end"/>
      </w:r>
    </w:p>
    <w:p w14:paraId="50BA5F9E" w14:textId="77777777" w:rsidR="00FB1300" w:rsidRPr="00FB1300" w:rsidRDefault="00FB1300" w:rsidP="00460C69">
      <w:pPr>
        <w:sectPr w:rsidR="00FB1300" w:rsidRPr="00FB1300" w:rsidSect="00FB1300">
          <w:headerReference w:type="even" r:id="rId585"/>
          <w:headerReference w:type="default" r:id="rId586"/>
          <w:footerReference w:type="even" r:id="rId587"/>
          <w:footerReference w:type="default" r:id="rId588"/>
          <w:headerReference w:type="first" r:id="rId589"/>
          <w:footerReference w:type="first" r:id="rId590"/>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28245582" wp14:editId="14F11DDE">
            <wp:extent cx="5757862" cy="7567613"/>
            <wp:effectExtent l="0" t="0" r="0" b="0"/>
            <wp:docPr id="959" name="Picture 9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760000" cy="7570423"/>
                    </a:xfrm>
                    <a:prstGeom prst="rect">
                      <a:avLst/>
                    </a:prstGeom>
                    <a:noFill/>
                    <a:ln>
                      <a:noFill/>
                    </a:ln>
                  </pic:spPr>
                </pic:pic>
              </a:graphicData>
            </a:graphic>
          </wp:inline>
        </w:drawing>
      </w:r>
      <w:r w:rsidRPr="00FB1300">
        <w:rPr>
          <w:noProof/>
          <w:lang w:val="hr-HR" w:eastAsia="hr-HR"/>
        </w:rPr>
        <w:lastRenderedPageBreak/>
        <w:drawing>
          <wp:inline distT="0" distB="0" distL="0" distR="0" wp14:anchorId="011385A0" wp14:editId="64F9F289">
            <wp:extent cx="5760000" cy="7200000"/>
            <wp:effectExtent l="0" t="0" r="0" b="1270"/>
            <wp:docPr id="960" name="Picture 9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63DA6070" wp14:editId="4BB298DB">
            <wp:extent cx="5760155" cy="8081433"/>
            <wp:effectExtent l="0" t="0" r="0" b="0"/>
            <wp:docPr id="961" name="Picture 9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5760000" cy="8081215"/>
                    </a:xfrm>
                    <a:prstGeom prst="rect">
                      <a:avLst/>
                    </a:prstGeom>
                    <a:noFill/>
                    <a:ln>
                      <a:noFill/>
                    </a:ln>
                  </pic:spPr>
                </pic:pic>
              </a:graphicData>
            </a:graphic>
          </wp:inline>
        </w:drawing>
      </w:r>
      <w:bookmarkEnd w:id="333"/>
    </w:p>
    <w:bookmarkStart w:id="335" w:name="GUIDB1B318EEB03348299C1A21571CC43389"/>
    <w:p w14:paraId="18F2FF9A"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36" w:name="_Toc511664478"/>
      <w:r w:rsidRPr="009F3ED8">
        <w:rPr>
          <w:vanish w:val="0"/>
        </w:rPr>
        <w:instrText>9.</w:instrText>
      </w:r>
      <w:r w:rsidRPr="009F3ED8">
        <w:rPr>
          <w:vanish w:val="0"/>
        </w:rPr>
        <w:tab/>
        <w:instrText>Spain</w:instrText>
      </w:r>
      <w:bookmarkEnd w:id="336"/>
      <w:r w:rsidRPr="009F3ED8">
        <w:rPr>
          <w:vanish w:val="0"/>
        </w:rPr>
        <w:instrText xml:space="preserve">" \f \l 2 </w:instrText>
      </w:r>
      <w:r w:rsidRPr="009F3ED8">
        <w:fldChar w:fldCharType="end"/>
      </w:r>
    </w:p>
    <w:p w14:paraId="3D446A32" w14:textId="77777777" w:rsidR="00FB1300" w:rsidRPr="00FB1300" w:rsidRDefault="00FB1300" w:rsidP="00460C69">
      <w:pPr>
        <w:sectPr w:rsidR="00FB1300" w:rsidRPr="00FB1300" w:rsidSect="00FB1300">
          <w:headerReference w:type="even" r:id="rId594"/>
          <w:headerReference w:type="default" r:id="rId595"/>
          <w:footerReference w:type="even" r:id="rId596"/>
          <w:footerReference w:type="default" r:id="rId597"/>
          <w:headerReference w:type="first" r:id="rId598"/>
          <w:footerReference w:type="first" r:id="rId599"/>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1D9EE02E" wp14:editId="730AF749">
            <wp:extent cx="5757862" cy="7572375"/>
            <wp:effectExtent l="0" t="0" r="0" b="0"/>
            <wp:docPr id="962" name="Picture 9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5760000" cy="7575187"/>
                    </a:xfrm>
                    <a:prstGeom prst="rect">
                      <a:avLst/>
                    </a:prstGeom>
                    <a:noFill/>
                    <a:ln>
                      <a:noFill/>
                    </a:ln>
                  </pic:spPr>
                </pic:pic>
              </a:graphicData>
            </a:graphic>
          </wp:inline>
        </w:drawing>
      </w:r>
      <w:r w:rsidRPr="00FB1300">
        <w:rPr>
          <w:noProof/>
          <w:lang w:val="hr-HR" w:eastAsia="hr-HR"/>
        </w:rPr>
        <w:lastRenderedPageBreak/>
        <w:drawing>
          <wp:inline distT="0" distB="0" distL="0" distR="0" wp14:anchorId="06BD9CAA" wp14:editId="332FE406">
            <wp:extent cx="5760000" cy="7200000"/>
            <wp:effectExtent l="0" t="0" r="0" b="1270"/>
            <wp:docPr id="963" name="Picture 9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4F4B91D8" wp14:editId="2126F93E">
            <wp:extent cx="5760155" cy="8077200"/>
            <wp:effectExtent l="0" t="0" r="0" b="0"/>
            <wp:docPr id="964" name="Picture 9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760000" cy="8076982"/>
                    </a:xfrm>
                    <a:prstGeom prst="rect">
                      <a:avLst/>
                    </a:prstGeom>
                    <a:noFill/>
                    <a:ln>
                      <a:noFill/>
                    </a:ln>
                  </pic:spPr>
                </pic:pic>
              </a:graphicData>
            </a:graphic>
          </wp:inline>
        </w:drawing>
      </w:r>
      <w:bookmarkEnd w:id="335"/>
    </w:p>
    <w:bookmarkStart w:id="337" w:name="GUID8C23FD9AB8CB4249A52B6C9CF2F7B30A"/>
    <w:p w14:paraId="04AAE34C"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38" w:name="_Toc511664479"/>
      <w:r w:rsidRPr="009F3ED8">
        <w:rPr>
          <w:vanish w:val="0"/>
        </w:rPr>
        <w:instrText>10.</w:instrText>
      </w:r>
      <w:r w:rsidRPr="009F3ED8">
        <w:rPr>
          <w:vanish w:val="0"/>
        </w:rPr>
        <w:tab/>
        <w:instrText>France</w:instrText>
      </w:r>
      <w:bookmarkEnd w:id="338"/>
      <w:r w:rsidRPr="009F3ED8">
        <w:rPr>
          <w:vanish w:val="0"/>
        </w:rPr>
        <w:instrText xml:space="preserve">" \f \l 2 </w:instrText>
      </w:r>
      <w:r w:rsidRPr="009F3ED8">
        <w:fldChar w:fldCharType="end"/>
      </w:r>
    </w:p>
    <w:p w14:paraId="2ADE9A00" w14:textId="77777777" w:rsidR="00FB1300" w:rsidRPr="00FB1300" w:rsidRDefault="00FB1300" w:rsidP="00460C69">
      <w:pPr>
        <w:sectPr w:rsidR="00FB1300" w:rsidRPr="00FB1300" w:rsidSect="00FB1300">
          <w:headerReference w:type="even" r:id="rId603"/>
          <w:headerReference w:type="default" r:id="rId604"/>
          <w:footerReference w:type="even" r:id="rId605"/>
          <w:footerReference w:type="default" r:id="rId606"/>
          <w:headerReference w:type="first" r:id="rId607"/>
          <w:footerReference w:type="first" r:id="rId608"/>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6F3476F8" wp14:editId="4AC4F1D1">
            <wp:extent cx="5757862" cy="7567613"/>
            <wp:effectExtent l="0" t="0" r="0" b="0"/>
            <wp:docPr id="965" name="Picture 9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5760000" cy="7570423"/>
                    </a:xfrm>
                    <a:prstGeom prst="rect">
                      <a:avLst/>
                    </a:prstGeom>
                    <a:noFill/>
                    <a:ln>
                      <a:noFill/>
                    </a:ln>
                  </pic:spPr>
                </pic:pic>
              </a:graphicData>
            </a:graphic>
          </wp:inline>
        </w:drawing>
      </w:r>
      <w:r w:rsidRPr="00FB1300">
        <w:rPr>
          <w:noProof/>
          <w:lang w:val="hr-HR" w:eastAsia="hr-HR"/>
        </w:rPr>
        <w:lastRenderedPageBreak/>
        <w:drawing>
          <wp:inline distT="0" distB="0" distL="0" distR="0" wp14:anchorId="007DC428" wp14:editId="73DAF537">
            <wp:extent cx="5760000" cy="7200000"/>
            <wp:effectExtent l="0" t="0" r="0" b="1270"/>
            <wp:docPr id="966" name="Picture 9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31FE3226" wp14:editId="7FD6A1DC">
            <wp:extent cx="5760155" cy="8081433"/>
            <wp:effectExtent l="0" t="0" r="0" b="0"/>
            <wp:docPr id="967" name="Picture 9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5760000" cy="8081215"/>
                    </a:xfrm>
                    <a:prstGeom prst="rect">
                      <a:avLst/>
                    </a:prstGeom>
                    <a:noFill/>
                    <a:ln>
                      <a:noFill/>
                    </a:ln>
                  </pic:spPr>
                </pic:pic>
              </a:graphicData>
            </a:graphic>
          </wp:inline>
        </w:drawing>
      </w:r>
      <w:bookmarkEnd w:id="337"/>
    </w:p>
    <w:bookmarkStart w:id="339" w:name="GUID9BD7FAFE71924AF1A9E5499502BA90DA"/>
    <w:p w14:paraId="38C6BF1A"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40" w:name="_Toc511664480"/>
      <w:r w:rsidRPr="009F3ED8">
        <w:rPr>
          <w:vanish w:val="0"/>
        </w:rPr>
        <w:instrText>11.</w:instrText>
      </w:r>
      <w:r w:rsidRPr="009F3ED8">
        <w:rPr>
          <w:vanish w:val="0"/>
        </w:rPr>
        <w:tab/>
        <w:instrText>Croatia</w:instrText>
      </w:r>
      <w:bookmarkEnd w:id="340"/>
      <w:r w:rsidRPr="009F3ED8">
        <w:rPr>
          <w:vanish w:val="0"/>
        </w:rPr>
        <w:instrText xml:space="preserve">" \f \l 2 </w:instrText>
      </w:r>
      <w:r w:rsidRPr="009F3ED8">
        <w:fldChar w:fldCharType="end"/>
      </w:r>
    </w:p>
    <w:p w14:paraId="3B9E1EC3" w14:textId="77777777" w:rsidR="00FB1300" w:rsidRPr="00FB1300" w:rsidRDefault="00FB1300" w:rsidP="00460C69">
      <w:pPr>
        <w:sectPr w:rsidR="00FB1300" w:rsidRPr="00FB1300" w:rsidSect="00FB1300">
          <w:headerReference w:type="even" r:id="rId612"/>
          <w:headerReference w:type="default" r:id="rId613"/>
          <w:footerReference w:type="even" r:id="rId614"/>
          <w:footerReference w:type="default" r:id="rId615"/>
          <w:headerReference w:type="first" r:id="rId616"/>
          <w:footerReference w:type="first" r:id="rId617"/>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680C6EC1" wp14:editId="4001C971">
            <wp:extent cx="5757862" cy="7558088"/>
            <wp:effectExtent l="0" t="0" r="0" b="5080"/>
            <wp:docPr id="968" name="Picture 9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760000" cy="7560894"/>
                    </a:xfrm>
                    <a:prstGeom prst="rect">
                      <a:avLst/>
                    </a:prstGeom>
                    <a:noFill/>
                    <a:ln>
                      <a:noFill/>
                    </a:ln>
                  </pic:spPr>
                </pic:pic>
              </a:graphicData>
            </a:graphic>
          </wp:inline>
        </w:drawing>
      </w:r>
      <w:r w:rsidRPr="00FB1300">
        <w:rPr>
          <w:noProof/>
          <w:lang w:val="hr-HR" w:eastAsia="hr-HR"/>
        </w:rPr>
        <w:lastRenderedPageBreak/>
        <w:drawing>
          <wp:inline distT="0" distB="0" distL="0" distR="0" wp14:anchorId="1F99BA09" wp14:editId="6782B7C5">
            <wp:extent cx="5760000" cy="7200000"/>
            <wp:effectExtent l="0" t="0" r="0" b="1270"/>
            <wp:docPr id="969" name="Picture 9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1CD0EBDE" wp14:editId="15F55B53">
            <wp:extent cx="5760155" cy="8081433"/>
            <wp:effectExtent l="0" t="0" r="0" b="0"/>
            <wp:docPr id="970" name="Picture 9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760000" cy="8081215"/>
                    </a:xfrm>
                    <a:prstGeom prst="rect">
                      <a:avLst/>
                    </a:prstGeom>
                    <a:noFill/>
                    <a:ln>
                      <a:noFill/>
                    </a:ln>
                  </pic:spPr>
                </pic:pic>
              </a:graphicData>
            </a:graphic>
          </wp:inline>
        </w:drawing>
      </w:r>
      <w:bookmarkEnd w:id="339"/>
    </w:p>
    <w:bookmarkStart w:id="341" w:name="GUID16886E9639A241CCB6C88E93704FBB10"/>
    <w:p w14:paraId="3C0F0245"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42" w:name="_Toc511664481"/>
      <w:r w:rsidRPr="009F3ED8">
        <w:rPr>
          <w:vanish w:val="0"/>
        </w:rPr>
        <w:instrText>12.</w:instrText>
      </w:r>
      <w:r w:rsidRPr="009F3ED8">
        <w:rPr>
          <w:vanish w:val="0"/>
        </w:rPr>
        <w:tab/>
        <w:instrText>Italy</w:instrText>
      </w:r>
      <w:bookmarkEnd w:id="342"/>
      <w:r w:rsidRPr="009F3ED8">
        <w:rPr>
          <w:vanish w:val="0"/>
        </w:rPr>
        <w:instrText xml:space="preserve">" \f \l 2 </w:instrText>
      </w:r>
      <w:r w:rsidRPr="009F3ED8">
        <w:fldChar w:fldCharType="end"/>
      </w:r>
    </w:p>
    <w:p w14:paraId="26D6EC55" w14:textId="77777777" w:rsidR="00FB1300" w:rsidRPr="00FB1300" w:rsidRDefault="00FB1300" w:rsidP="00460C69">
      <w:pPr>
        <w:sectPr w:rsidR="00FB1300" w:rsidRPr="00FB1300" w:rsidSect="00FB1300">
          <w:headerReference w:type="even" r:id="rId621"/>
          <w:headerReference w:type="default" r:id="rId622"/>
          <w:footerReference w:type="even" r:id="rId623"/>
          <w:footerReference w:type="default" r:id="rId624"/>
          <w:headerReference w:type="first" r:id="rId625"/>
          <w:footerReference w:type="first" r:id="rId626"/>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00BD310F" wp14:editId="750FBEE0">
            <wp:extent cx="5757862" cy="7558088"/>
            <wp:effectExtent l="0" t="0" r="0" b="5080"/>
            <wp:docPr id="971" name="Picture 9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5760000" cy="7560894"/>
                    </a:xfrm>
                    <a:prstGeom prst="rect">
                      <a:avLst/>
                    </a:prstGeom>
                    <a:noFill/>
                    <a:ln>
                      <a:noFill/>
                    </a:ln>
                  </pic:spPr>
                </pic:pic>
              </a:graphicData>
            </a:graphic>
          </wp:inline>
        </w:drawing>
      </w:r>
      <w:r w:rsidRPr="00FB1300">
        <w:rPr>
          <w:noProof/>
          <w:lang w:val="hr-HR" w:eastAsia="hr-HR"/>
        </w:rPr>
        <w:lastRenderedPageBreak/>
        <w:drawing>
          <wp:inline distT="0" distB="0" distL="0" distR="0" wp14:anchorId="781A7A94" wp14:editId="2ADD7807">
            <wp:extent cx="5760000" cy="7200000"/>
            <wp:effectExtent l="0" t="0" r="0" b="1270"/>
            <wp:docPr id="972" name="Picture 9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0D526C8D" wp14:editId="2E1B260E">
            <wp:extent cx="5760155" cy="8072966"/>
            <wp:effectExtent l="0" t="0" r="0" b="4445"/>
            <wp:docPr id="973" name="Picture 9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5760000" cy="8072748"/>
                    </a:xfrm>
                    <a:prstGeom prst="rect">
                      <a:avLst/>
                    </a:prstGeom>
                    <a:noFill/>
                    <a:ln>
                      <a:noFill/>
                    </a:ln>
                  </pic:spPr>
                </pic:pic>
              </a:graphicData>
            </a:graphic>
          </wp:inline>
        </w:drawing>
      </w:r>
      <w:bookmarkEnd w:id="341"/>
    </w:p>
    <w:bookmarkStart w:id="343" w:name="GUID4AA82740830E483AB49AEEAE564F1F32"/>
    <w:p w14:paraId="1E353580"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44" w:name="_Toc511664482"/>
      <w:r w:rsidRPr="009F3ED8">
        <w:rPr>
          <w:vanish w:val="0"/>
        </w:rPr>
        <w:instrText>13.</w:instrText>
      </w:r>
      <w:r w:rsidRPr="009F3ED8">
        <w:rPr>
          <w:vanish w:val="0"/>
        </w:rPr>
        <w:tab/>
        <w:instrText>Cyprus</w:instrText>
      </w:r>
      <w:bookmarkEnd w:id="344"/>
      <w:r w:rsidRPr="009F3ED8">
        <w:rPr>
          <w:vanish w:val="0"/>
        </w:rPr>
        <w:instrText xml:space="preserve">" \f \l 2 </w:instrText>
      </w:r>
      <w:r w:rsidRPr="009F3ED8">
        <w:fldChar w:fldCharType="end"/>
      </w:r>
    </w:p>
    <w:p w14:paraId="7A5220F3" w14:textId="77777777" w:rsidR="00FB1300" w:rsidRPr="00FB1300" w:rsidRDefault="00FB1300" w:rsidP="00460C69">
      <w:pPr>
        <w:sectPr w:rsidR="00FB1300" w:rsidRPr="00FB1300" w:rsidSect="00FB1300">
          <w:headerReference w:type="even" r:id="rId630"/>
          <w:headerReference w:type="default" r:id="rId631"/>
          <w:footerReference w:type="even" r:id="rId632"/>
          <w:footerReference w:type="default" r:id="rId633"/>
          <w:headerReference w:type="first" r:id="rId634"/>
          <w:footerReference w:type="first" r:id="rId635"/>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628FAFD7" wp14:editId="3D59B342">
            <wp:extent cx="5760412" cy="7556500"/>
            <wp:effectExtent l="0" t="0" r="0" b="6350"/>
            <wp:docPr id="974" name="Picture 9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5760000" cy="7555960"/>
                    </a:xfrm>
                    <a:prstGeom prst="rect">
                      <a:avLst/>
                    </a:prstGeom>
                    <a:noFill/>
                    <a:ln>
                      <a:noFill/>
                    </a:ln>
                  </pic:spPr>
                </pic:pic>
              </a:graphicData>
            </a:graphic>
          </wp:inline>
        </w:drawing>
      </w:r>
      <w:r w:rsidRPr="00FB1300">
        <w:rPr>
          <w:noProof/>
          <w:lang w:val="hr-HR" w:eastAsia="hr-HR"/>
        </w:rPr>
        <w:lastRenderedPageBreak/>
        <w:drawing>
          <wp:inline distT="0" distB="0" distL="0" distR="0" wp14:anchorId="353EB0E3" wp14:editId="4114BA00">
            <wp:extent cx="5760000" cy="7200000"/>
            <wp:effectExtent l="0" t="0" r="0" b="1270"/>
            <wp:docPr id="975" name="Picture 9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53305B0E" wp14:editId="012205C0">
            <wp:extent cx="5760155" cy="8072966"/>
            <wp:effectExtent l="0" t="0" r="0" b="4445"/>
            <wp:docPr id="976" name="Picture 9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5760000" cy="8072748"/>
                    </a:xfrm>
                    <a:prstGeom prst="rect">
                      <a:avLst/>
                    </a:prstGeom>
                    <a:noFill/>
                    <a:ln>
                      <a:noFill/>
                    </a:ln>
                  </pic:spPr>
                </pic:pic>
              </a:graphicData>
            </a:graphic>
          </wp:inline>
        </w:drawing>
      </w:r>
      <w:bookmarkEnd w:id="343"/>
    </w:p>
    <w:bookmarkStart w:id="345" w:name="GUIDDB0ABD12B9B64339B41EDE4B83B628F4"/>
    <w:p w14:paraId="3BC705FC"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46" w:name="_Toc511664483"/>
      <w:r w:rsidRPr="009F3ED8">
        <w:rPr>
          <w:vanish w:val="0"/>
        </w:rPr>
        <w:instrText>14.</w:instrText>
      </w:r>
      <w:r w:rsidRPr="009F3ED8">
        <w:rPr>
          <w:vanish w:val="0"/>
        </w:rPr>
        <w:tab/>
        <w:instrText>Latvia</w:instrText>
      </w:r>
      <w:bookmarkEnd w:id="346"/>
      <w:r w:rsidRPr="009F3ED8">
        <w:rPr>
          <w:vanish w:val="0"/>
        </w:rPr>
        <w:instrText xml:space="preserve">" \f \l 2 </w:instrText>
      </w:r>
      <w:r w:rsidRPr="009F3ED8">
        <w:fldChar w:fldCharType="end"/>
      </w:r>
    </w:p>
    <w:p w14:paraId="5D3D6A30" w14:textId="77777777" w:rsidR="00FB1300" w:rsidRPr="00FB1300" w:rsidRDefault="00FB1300" w:rsidP="00460C69">
      <w:pPr>
        <w:sectPr w:rsidR="00FB1300" w:rsidRPr="00FB1300" w:rsidSect="00FB1300">
          <w:headerReference w:type="even" r:id="rId639"/>
          <w:headerReference w:type="default" r:id="rId640"/>
          <w:footerReference w:type="even" r:id="rId641"/>
          <w:footerReference w:type="default" r:id="rId642"/>
          <w:headerReference w:type="first" r:id="rId643"/>
          <w:footerReference w:type="first" r:id="rId644"/>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11434C2D" wp14:editId="5DCE2161">
            <wp:extent cx="5760412" cy="7556500"/>
            <wp:effectExtent l="0" t="0" r="0" b="6350"/>
            <wp:docPr id="977" name="Picture 9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5760000" cy="7555960"/>
                    </a:xfrm>
                    <a:prstGeom prst="rect">
                      <a:avLst/>
                    </a:prstGeom>
                    <a:noFill/>
                    <a:ln>
                      <a:noFill/>
                    </a:ln>
                  </pic:spPr>
                </pic:pic>
              </a:graphicData>
            </a:graphic>
          </wp:inline>
        </w:drawing>
      </w:r>
      <w:r w:rsidRPr="00FB1300">
        <w:rPr>
          <w:noProof/>
          <w:lang w:val="hr-HR" w:eastAsia="hr-HR"/>
        </w:rPr>
        <w:lastRenderedPageBreak/>
        <w:drawing>
          <wp:inline distT="0" distB="0" distL="0" distR="0" wp14:anchorId="47E37312" wp14:editId="7BC26030">
            <wp:extent cx="5760000" cy="7200000"/>
            <wp:effectExtent l="0" t="0" r="0" b="1270"/>
            <wp:docPr id="978" name="Picture 9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6AF10BCB" wp14:editId="3C5E5C6A">
            <wp:extent cx="5760155" cy="8072966"/>
            <wp:effectExtent l="0" t="0" r="0" b="4445"/>
            <wp:docPr id="979" name="Picture 9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5760000" cy="8072748"/>
                    </a:xfrm>
                    <a:prstGeom prst="rect">
                      <a:avLst/>
                    </a:prstGeom>
                    <a:noFill/>
                    <a:ln>
                      <a:noFill/>
                    </a:ln>
                  </pic:spPr>
                </pic:pic>
              </a:graphicData>
            </a:graphic>
          </wp:inline>
        </w:drawing>
      </w:r>
      <w:bookmarkEnd w:id="345"/>
    </w:p>
    <w:bookmarkStart w:id="347" w:name="GUID702BD2621AC4435B8DF88526FDD7E288"/>
    <w:p w14:paraId="181FA4E2"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48" w:name="_Toc511664484"/>
      <w:r w:rsidRPr="009F3ED8">
        <w:rPr>
          <w:vanish w:val="0"/>
        </w:rPr>
        <w:instrText>15.</w:instrText>
      </w:r>
      <w:r w:rsidRPr="009F3ED8">
        <w:rPr>
          <w:vanish w:val="0"/>
        </w:rPr>
        <w:tab/>
        <w:instrText>Lithuania</w:instrText>
      </w:r>
      <w:bookmarkEnd w:id="348"/>
      <w:r w:rsidRPr="009F3ED8">
        <w:rPr>
          <w:vanish w:val="0"/>
        </w:rPr>
        <w:instrText xml:space="preserve">" \f \l 2 </w:instrText>
      </w:r>
      <w:r w:rsidRPr="009F3ED8">
        <w:fldChar w:fldCharType="end"/>
      </w:r>
    </w:p>
    <w:p w14:paraId="110525BB" w14:textId="77777777" w:rsidR="00FB1300" w:rsidRPr="00FB1300" w:rsidRDefault="00FB1300" w:rsidP="00460C69">
      <w:pPr>
        <w:sectPr w:rsidR="00FB1300" w:rsidRPr="00FB1300" w:rsidSect="00FB1300">
          <w:headerReference w:type="even" r:id="rId648"/>
          <w:headerReference w:type="default" r:id="rId649"/>
          <w:footerReference w:type="even" r:id="rId650"/>
          <w:footerReference w:type="default" r:id="rId651"/>
          <w:headerReference w:type="first" r:id="rId652"/>
          <w:footerReference w:type="first" r:id="rId653"/>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0B0C171E" wp14:editId="69DF8DBF">
            <wp:extent cx="5760412" cy="7556500"/>
            <wp:effectExtent l="0" t="0" r="0" b="6350"/>
            <wp:docPr id="980" name="Picture 9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5760000" cy="7555960"/>
                    </a:xfrm>
                    <a:prstGeom prst="rect">
                      <a:avLst/>
                    </a:prstGeom>
                    <a:noFill/>
                    <a:ln>
                      <a:noFill/>
                    </a:ln>
                  </pic:spPr>
                </pic:pic>
              </a:graphicData>
            </a:graphic>
          </wp:inline>
        </w:drawing>
      </w:r>
      <w:r w:rsidRPr="00FB1300">
        <w:rPr>
          <w:noProof/>
          <w:lang w:val="hr-HR" w:eastAsia="hr-HR"/>
        </w:rPr>
        <w:lastRenderedPageBreak/>
        <w:drawing>
          <wp:inline distT="0" distB="0" distL="0" distR="0" wp14:anchorId="404DCCE7" wp14:editId="03BA7EB5">
            <wp:extent cx="5760000" cy="7200000"/>
            <wp:effectExtent l="0" t="0" r="0" b="1270"/>
            <wp:docPr id="981" name="Picture 9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249B8F7E" wp14:editId="7EDC8EEA">
            <wp:extent cx="5760155" cy="8072966"/>
            <wp:effectExtent l="0" t="0" r="0" b="4445"/>
            <wp:docPr id="982" name="Picture 9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760000" cy="8072748"/>
                    </a:xfrm>
                    <a:prstGeom prst="rect">
                      <a:avLst/>
                    </a:prstGeom>
                    <a:noFill/>
                    <a:ln>
                      <a:noFill/>
                    </a:ln>
                  </pic:spPr>
                </pic:pic>
              </a:graphicData>
            </a:graphic>
          </wp:inline>
        </w:drawing>
      </w:r>
      <w:bookmarkEnd w:id="347"/>
    </w:p>
    <w:bookmarkStart w:id="349" w:name="GUID52B1D28EF47640AF99D3DA789B6BF436"/>
    <w:p w14:paraId="0D85302F"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50" w:name="_Toc511664485"/>
      <w:r w:rsidRPr="009F3ED8">
        <w:rPr>
          <w:vanish w:val="0"/>
        </w:rPr>
        <w:instrText>16.</w:instrText>
      </w:r>
      <w:r w:rsidRPr="009F3ED8">
        <w:rPr>
          <w:vanish w:val="0"/>
        </w:rPr>
        <w:tab/>
        <w:instrText>Luxembourg</w:instrText>
      </w:r>
      <w:bookmarkEnd w:id="350"/>
      <w:r w:rsidRPr="009F3ED8">
        <w:rPr>
          <w:vanish w:val="0"/>
        </w:rPr>
        <w:instrText xml:space="preserve">" \f \l 2 </w:instrText>
      </w:r>
      <w:r w:rsidRPr="009F3ED8">
        <w:fldChar w:fldCharType="end"/>
      </w:r>
    </w:p>
    <w:p w14:paraId="499625DC" w14:textId="77777777" w:rsidR="00FB1300" w:rsidRPr="00FB1300" w:rsidRDefault="00FB1300" w:rsidP="00460C69">
      <w:pPr>
        <w:sectPr w:rsidR="00FB1300" w:rsidRPr="00FB1300" w:rsidSect="00FB1300">
          <w:headerReference w:type="even" r:id="rId657"/>
          <w:headerReference w:type="default" r:id="rId658"/>
          <w:footerReference w:type="even" r:id="rId659"/>
          <w:footerReference w:type="default" r:id="rId660"/>
          <w:headerReference w:type="first" r:id="rId661"/>
          <w:footerReference w:type="first" r:id="rId662"/>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6E63A569" wp14:editId="7FCD9777">
            <wp:extent cx="5760412" cy="7560733"/>
            <wp:effectExtent l="0" t="0" r="0" b="2540"/>
            <wp:docPr id="983" name="Picture 9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5760000" cy="7560193"/>
                    </a:xfrm>
                    <a:prstGeom prst="rect">
                      <a:avLst/>
                    </a:prstGeom>
                    <a:noFill/>
                    <a:ln>
                      <a:noFill/>
                    </a:ln>
                  </pic:spPr>
                </pic:pic>
              </a:graphicData>
            </a:graphic>
          </wp:inline>
        </w:drawing>
      </w:r>
      <w:r w:rsidRPr="00FB1300">
        <w:rPr>
          <w:noProof/>
          <w:lang w:val="hr-HR" w:eastAsia="hr-HR"/>
        </w:rPr>
        <w:lastRenderedPageBreak/>
        <w:drawing>
          <wp:inline distT="0" distB="0" distL="0" distR="0" wp14:anchorId="0D38A6D8" wp14:editId="516574A0">
            <wp:extent cx="5760000" cy="7200000"/>
            <wp:effectExtent l="0" t="0" r="0" b="1270"/>
            <wp:docPr id="984" name="Picture 9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3C37F4E4" wp14:editId="49BAB5B4">
            <wp:extent cx="5760155" cy="8077200"/>
            <wp:effectExtent l="0" t="0" r="0" b="0"/>
            <wp:docPr id="985" name="Picture 9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5760000" cy="8076982"/>
                    </a:xfrm>
                    <a:prstGeom prst="rect">
                      <a:avLst/>
                    </a:prstGeom>
                    <a:noFill/>
                    <a:ln>
                      <a:noFill/>
                    </a:ln>
                  </pic:spPr>
                </pic:pic>
              </a:graphicData>
            </a:graphic>
          </wp:inline>
        </w:drawing>
      </w:r>
      <w:bookmarkEnd w:id="349"/>
    </w:p>
    <w:bookmarkStart w:id="351" w:name="GUIDCCD57A9C883342E98B70D64254B1A070"/>
    <w:p w14:paraId="203737E6"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52" w:name="_Toc511664486"/>
      <w:r w:rsidRPr="009F3ED8">
        <w:rPr>
          <w:vanish w:val="0"/>
        </w:rPr>
        <w:instrText>17.</w:instrText>
      </w:r>
      <w:r w:rsidRPr="009F3ED8">
        <w:rPr>
          <w:vanish w:val="0"/>
        </w:rPr>
        <w:tab/>
        <w:instrText>Hungary</w:instrText>
      </w:r>
      <w:bookmarkEnd w:id="352"/>
      <w:r w:rsidRPr="009F3ED8">
        <w:rPr>
          <w:vanish w:val="0"/>
        </w:rPr>
        <w:instrText xml:space="preserve">" \f \l 2 </w:instrText>
      </w:r>
      <w:r w:rsidRPr="009F3ED8">
        <w:fldChar w:fldCharType="end"/>
      </w:r>
    </w:p>
    <w:p w14:paraId="01683745" w14:textId="77777777" w:rsidR="00FB1300" w:rsidRPr="00FB1300" w:rsidRDefault="00FB1300" w:rsidP="00460C69">
      <w:pPr>
        <w:sectPr w:rsidR="00FB1300" w:rsidRPr="00FB1300" w:rsidSect="00FB1300">
          <w:headerReference w:type="even" r:id="rId666"/>
          <w:headerReference w:type="default" r:id="rId667"/>
          <w:footerReference w:type="even" r:id="rId668"/>
          <w:footerReference w:type="default" r:id="rId669"/>
          <w:headerReference w:type="first" r:id="rId670"/>
          <w:footerReference w:type="first" r:id="rId671"/>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1AD9A34B" wp14:editId="2A5A331D">
            <wp:extent cx="5760412" cy="7560733"/>
            <wp:effectExtent l="0" t="0" r="0" b="2540"/>
            <wp:docPr id="986" name="Picture 9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5760000" cy="7560193"/>
                    </a:xfrm>
                    <a:prstGeom prst="rect">
                      <a:avLst/>
                    </a:prstGeom>
                    <a:noFill/>
                    <a:ln>
                      <a:noFill/>
                    </a:ln>
                  </pic:spPr>
                </pic:pic>
              </a:graphicData>
            </a:graphic>
          </wp:inline>
        </w:drawing>
      </w:r>
      <w:r w:rsidRPr="00FB1300">
        <w:rPr>
          <w:noProof/>
          <w:lang w:val="hr-HR" w:eastAsia="hr-HR"/>
        </w:rPr>
        <w:lastRenderedPageBreak/>
        <w:drawing>
          <wp:inline distT="0" distB="0" distL="0" distR="0" wp14:anchorId="6167A238" wp14:editId="5FC73182">
            <wp:extent cx="5760000" cy="7200000"/>
            <wp:effectExtent l="0" t="0" r="0" b="1270"/>
            <wp:docPr id="987" name="Picture 9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77C32908" wp14:editId="150A0BD3">
            <wp:extent cx="5760155" cy="8077200"/>
            <wp:effectExtent l="0" t="0" r="0" b="0"/>
            <wp:docPr id="988" name="Picture 9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760000" cy="8076982"/>
                    </a:xfrm>
                    <a:prstGeom prst="rect">
                      <a:avLst/>
                    </a:prstGeom>
                    <a:noFill/>
                    <a:ln>
                      <a:noFill/>
                    </a:ln>
                  </pic:spPr>
                </pic:pic>
              </a:graphicData>
            </a:graphic>
          </wp:inline>
        </w:drawing>
      </w:r>
      <w:bookmarkEnd w:id="351"/>
    </w:p>
    <w:bookmarkStart w:id="353" w:name="GUID7E8F0B08EC4B41CBB2B0D5B5CDDE03EE"/>
    <w:p w14:paraId="161CF4D6"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54" w:name="_Toc511664487"/>
      <w:r w:rsidRPr="009F3ED8">
        <w:rPr>
          <w:vanish w:val="0"/>
        </w:rPr>
        <w:instrText>18.</w:instrText>
      </w:r>
      <w:r w:rsidRPr="009F3ED8">
        <w:rPr>
          <w:vanish w:val="0"/>
        </w:rPr>
        <w:tab/>
        <w:instrText>Malta</w:instrText>
      </w:r>
      <w:bookmarkEnd w:id="354"/>
      <w:r w:rsidRPr="009F3ED8">
        <w:rPr>
          <w:vanish w:val="0"/>
        </w:rPr>
        <w:instrText xml:space="preserve">" \f \l 2 </w:instrText>
      </w:r>
      <w:r w:rsidRPr="009F3ED8">
        <w:fldChar w:fldCharType="end"/>
      </w:r>
    </w:p>
    <w:p w14:paraId="6FE97402" w14:textId="77777777" w:rsidR="00FB1300" w:rsidRPr="00FB1300" w:rsidRDefault="00FB1300" w:rsidP="00460C69">
      <w:pPr>
        <w:sectPr w:rsidR="00FB1300" w:rsidRPr="00FB1300" w:rsidSect="00FB1300">
          <w:headerReference w:type="even" r:id="rId675"/>
          <w:headerReference w:type="default" r:id="rId676"/>
          <w:footerReference w:type="even" r:id="rId677"/>
          <w:footerReference w:type="default" r:id="rId678"/>
          <w:headerReference w:type="first" r:id="rId679"/>
          <w:footerReference w:type="first" r:id="rId680"/>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3D745121" wp14:editId="325930A9">
            <wp:extent cx="5760412" cy="7556500"/>
            <wp:effectExtent l="0" t="0" r="0" b="6350"/>
            <wp:docPr id="989" name="Picture 9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5760000" cy="7555960"/>
                    </a:xfrm>
                    <a:prstGeom prst="rect">
                      <a:avLst/>
                    </a:prstGeom>
                    <a:noFill/>
                    <a:ln>
                      <a:noFill/>
                    </a:ln>
                  </pic:spPr>
                </pic:pic>
              </a:graphicData>
            </a:graphic>
          </wp:inline>
        </w:drawing>
      </w:r>
      <w:r w:rsidRPr="00FB1300">
        <w:rPr>
          <w:noProof/>
          <w:lang w:val="hr-HR" w:eastAsia="hr-HR"/>
        </w:rPr>
        <w:lastRenderedPageBreak/>
        <w:drawing>
          <wp:inline distT="0" distB="0" distL="0" distR="0" wp14:anchorId="22AC9CC9" wp14:editId="5307993E">
            <wp:extent cx="5760000" cy="7200000"/>
            <wp:effectExtent l="0" t="0" r="0" b="1270"/>
            <wp:docPr id="990" name="Picture 9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658ED1A3" wp14:editId="330D4C8E">
            <wp:extent cx="5760155" cy="8072966"/>
            <wp:effectExtent l="0" t="0" r="0" b="4445"/>
            <wp:docPr id="991" name="Picture 9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5760000" cy="8072748"/>
                    </a:xfrm>
                    <a:prstGeom prst="rect">
                      <a:avLst/>
                    </a:prstGeom>
                    <a:noFill/>
                    <a:ln>
                      <a:noFill/>
                    </a:ln>
                  </pic:spPr>
                </pic:pic>
              </a:graphicData>
            </a:graphic>
          </wp:inline>
        </w:drawing>
      </w:r>
      <w:bookmarkEnd w:id="353"/>
    </w:p>
    <w:bookmarkStart w:id="355" w:name="GUID8DD2B4F67695456A85636BD208C94702"/>
    <w:p w14:paraId="6A1453E4"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56" w:name="_Toc511664488"/>
      <w:r w:rsidRPr="009F3ED8">
        <w:rPr>
          <w:vanish w:val="0"/>
        </w:rPr>
        <w:instrText>19.</w:instrText>
      </w:r>
      <w:r w:rsidRPr="009F3ED8">
        <w:rPr>
          <w:vanish w:val="0"/>
        </w:rPr>
        <w:tab/>
        <w:instrText>The Netherlands</w:instrText>
      </w:r>
      <w:bookmarkEnd w:id="356"/>
      <w:r w:rsidRPr="009F3ED8">
        <w:rPr>
          <w:vanish w:val="0"/>
        </w:rPr>
        <w:instrText xml:space="preserve">" \f \l 2 </w:instrText>
      </w:r>
      <w:r w:rsidRPr="009F3ED8">
        <w:fldChar w:fldCharType="end"/>
      </w:r>
    </w:p>
    <w:p w14:paraId="28E34E49" w14:textId="77777777" w:rsidR="00FB1300" w:rsidRPr="00FB1300" w:rsidRDefault="00FB1300" w:rsidP="00460C69">
      <w:pPr>
        <w:sectPr w:rsidR="00FB1300" w:rsidRPr="00FB1300" w:rsidSect="00FB1300">
          <w:headerReference w:type="even" r:id="rId684"/>
          <w:headerReference w:type="default" r:id="rId685"/>
          <w:footerReference w:type="even" r:id="rId686"/>
          <w:footerReference w:type="default" r:id="rId687"/>
          <w:headerReference w:type="first" r:id="rId688"/>
          <w:footerReference w:type="first" r:id="rId689"/>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203EC478" wp14:editId="2304041D">
            <wp:extent cx="5760412" cy="7556500"/>
            <wp:effectExtent l="0" t="0" r="0" b="6350"/>
            <wp:docPr id="992" name="Picture 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5760000" cy="7555960"/>
                    </a:xfrm>
                    <a:prstGeom prst="rect">
                      <a:avLst/>
                    </a:prstGeom>
                    <a:noFill/>
                    <a:ln>
                      <a:noFill/>
                    </a:ln>
                  </pic:spPr>
                </pic:pic>
              </a:graphicData>
            </a:graphic>
          </wp:inline>
        </w:drawing>
      </w:r>
      <w:r w:rsidRPr="00FB1300">
        <w:rPr>
          <w:noProof/>
          <w:lang w:val="hr-HR" w:eastAsia="hr-HR"/>
        </w:rPr>
        <w:lastRenderedPageBreak/>
        <w:drawing>
          <wp:inline distT="0" distB="0" distL="0" distR="0" wp14:anchorId="6C1EA22D" wp14:editId="6E4089C9">
            <wp:extent cx="5760000" cy="7200000"/>
            <wp:effectExtent l="0" t="0" r="0" b="1270"/>
            <wp:docPr id="993" name="Picture 9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3CF2E486" wp14:editId="4D35AFF0">
            <wp:extent cx="5760155" cy="8081433"/>
            <wp:effectExtent l="0" t="0" r="0" b="0"/>
            <wp:docPr id="994" name="Picture 9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5760000" cy="8081215"/>
                    </a:xfrm>
                    <a:prstGeom prst="rect">
                      <a:avLst/>
                    </a:prstGeom>
                    <a:noFill/>
                    <a:ln>
                      <a:noFill/>
                    </a:ln>
                  </pic:spPr>
                </pic:pic>
              </a:graphicData>
            </a:graphic>
          </wp:inline>
        </w:drawing>
      </w:r>
      <w:bookmarkEnd w:id="355"/>
    </w:p>
    <w:bookmarkStart w:id="357" w:name="GUID934B8EF0761C406DBC9FFBA4F03C86F8"/>
    <w:p w14:paraId="333F150C"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58" w:name="_Toc511664489"/>
      <w:r w:rsidRPr="009F3ED8">
        <w:rPr>
          <w:vanish w:val="0"/>
        </w:rPr>
        <w:instrText>20.</w:instrText>
      </w:r>
      <w:r w:rsidRPr="009F3ED8">
        <w:rPr>
          <w:vanish w:val="0"/>
        </w:rPr>
        <w:tab/>
        <w:instrText>Austria</w:instrText>
      </w:r>
      <w:bookmarkEnd w:id="358"/>
      <w:r w:rsidRPr="009F3ED8">
        <w:rPr>
          <w:vanish w:val="0"/>
        </w:rPr>
        <w:instrText xml:space="preserve">" \f \l 2 </w:instrText>
      </w:r>
      <w:r w:rsidRPr="009F3ED8">
        <w:fldChar w:fldCharType="end"/>
      </w:r>
    </w:p>
    <w:p w14:paraId="16172EA0" w14:textId="77777777" w:rsidR="00FB1300" w:rsidRPr="00FB1300" w:rsidRDefault="00FB1300" w:rsidP="00460C69">
      <w:pPr>
        <w:sectPr w:rsidR="00FB1300" w:rsidRPr="00FB1300" w:rsidSect="00FB1300">
          <w:headerReference w:type="even" r:id="rId693"/>
          <w:headerReference w:type="default" r:id="rId694"/>
          <w:footerReference w:type="even" r:id="rId695"/>
          <w:footerReference w:type="default" r:id="rId696"/>
          <w:headerReference w:type="first" r:id="rId697"/>
          <w:footerReference w:type="first" r:id="rId698"/>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1FAB5A10" wp14:editId="0BAAE36B">
            <wp:extent cx="5751363" cy="7548664"/>
            <wp:effectExtent l="0" t="0" r="1905" b="0"/>
            <wp:docPr id="995" name="Picture 9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5760000" cy="7560000"/>
                    </a:xfrm>
                    <a:prstGeom prst="rect">
                      <a:avLst/>
                    </a:prstGeom>
                    <a:noFill/>
                    <a:ln>
                      <a:noFill/>
                    </a:ln>
                  </pic:spPr>
                </pic:pic>
              </a:graphicData>
            </a:graphic>
          </wp:inline>
        </w:drawing>
      </w:r>
      <w:r w:rsidRPr="00FB1300">
        <w:rPr>
          <w:noProof/>
          <w:lang w:val="hr-HR" w:eastAsia="hr-HR"/>
        </w:rPr>
        <w:lastRenderedPageBreak/>
        <w:drawing>
          <wp:inline distT="0" distB="0" distL="0" distR="0" wp14:anchorId="35E33DEA" wp14:editId="69CAFCC4">
            <wp:extent cx="5760000" cy="7200000"/>
            <wp:effectExtent l="0" t="0" r="0" b="1270"/>
            <wp:docPr id="996" name="Picture 9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2B4FE556" wp14:editId="331DF0EE">
            <wp:extent cx="5758775" cy="8073958"/>
            <wp:effectExtent l="0" t="0" r="0" b="3810"/>
            <wp:docPr id="997" name="Picture 9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5760000" cy="8075676"/>
                    </a:xfrm>
                    <a:prstGeom prst="rect">
                      <a:avLst/>
                    </a:prstGeom>
                    <a:noFill/>
                    <a:ln>
                      <a:noFill/>
                    </a:ln>
                  </pic:spPr>
                </pic:pic>
              </a:graphicData>
            </a:graphic>
          </wp:inline>
        </w:drawing>
      </w:r>
      <w:bookmarkEnd w:id="357"/>
    </w:p>
    <w:bookmarkStart w:id="359" w:name="GUIDCFEBDD65E1194A0A943286661C8A15A5"/>
    <w:p w14:paraId="12646B9F"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60" w:name="_Toc511664490"/>
      <w:r w:rsidRPr="009F3ED8">
        <w:rPr>
          <w:vanish w:val="0"/>
        </w:rPr>
        <w:instrText>21.</w:instrText>
      </w:r>
      <w:r w:rsidRPr="009F3ED8">
        <w:rPr>
          <w:vanish w:val="0"/>
        </w:rPr>
        <w:tab/>
        <w:instrText>Poland</w:instrText>
      </w:r>
      <w:bookmarkEnd w:id="360"/>
      <w:r w:rsidRPr="009F3ED8">
        <w:rPr>
          <w:vanish w:val="0"/>
        </w:rPr>
        <w:instrText xml:space="preserve">" \f \l 2 </w:instrText>
      </w:r>
      <w:r w:rsidRPr="009F3ED8">
        <w:fldChar w:fldCharType="end"/>
      </w:r>
    </w:p>
    <w:p w14:paraId="31816EC8" w14:textId="77777777" w:rsidR="00FB1300" w:rsidRPr="00FB1300" w:rsidRDefault="00FB1300" w:rsidP="00460C69">
      <w:pPr>
        <w:sectPr w:rsidR="00FB1300" w:rsidRPr="00FB1300" w:rsidSect="00FB1300">
          <w:headerReference w:type="even" r:id="rId702"/>
          <w:headerReference w:type="default" r:id="rId703"/>
          <w:footerReference w:type="even" r:id="rId704"/>
          <w:footerReference w:type="default" r:id="rId705"/>
          <w:headerReference w:type="first" r:id="rId706"/>
          <w:footerReference w:type="first" r:id="rId707"/>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1EB0A864" wp14:editId="7A38B434">
            <wp:extent cx="5760412" cy="7552266"/>
            <wp:effectExtent l="0" t="0" r="0" b="0"/>
            <wp:docPr id="998" name="Picture 9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5760000" cy="7551726"/>
                    </a:xfrm>
                    <a:prstGeom prst="rect">
                      <a:avLst/>
                    </a:prstGeom>
                    <a:noFill/>
                    <a:ln>
                      <a:noFill/>
                    </a:ln>
                  </pic:spPr>
                </pic:pic>
              </a:graphicData>
            </a:graphic>
          </wp:inline>
        </w:drawing>
      </w:r>
      <w:r w:rsidRPr="00FB1300">
        <w:rPr>
          <w:noProof/>
          <w:lang w:val="hr-HR" w:eastAsia="hr-HR"/>
        </w:rPr>
        <w:lastRenderedPageBreak/>
        <w:drawing>
          <wp:inline distT="0" distB="0" distL="0" distR="0" wp14:anchorId="6C6631B7" wp14:editId="278E1904">
            <wp:extent cx="5760000" cy="7200000"/>
            <wp:effectExtent l="0" t="0" r="0" b="1270"/>
            <wp:docPr id="999" name="Picture 9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116278B6" wp14:editId="09BD91D2">
            <wp:extent cx="5760155" cy="8077200"/>
            <wp:effectExtent l="0" t="0" r="0" b="0"/>
            <wp:docPr id="1000" name="Picture 10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5760000" cy="8076982"/>
                    </a:xfrm>
                    <a:prstGeom prst="rect">
                      <a:avLst/>
                    </a:prstGeom>
                    <a:noFill/>
                    <a:ln>
                      <a:noFill/>
                    </a:ln>
                  </pic:spPr>
                </pic:pic>
              </a:graphicData>
            </a:graphic>
          </wp:inline>
        </w:drawing>
      </w:r>
      <w:bookmarkEnd w:id="359"/>
    </w:p>
    <w:bookmarkStart w:id="361" w:name="GUID1616AC956D5C4AD591846C5D3C147CF2"/>
    <w:p w14:paraId="4D83B517"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62" w:name="_Toc511664491"/>
      <w:r w:rsidRPr="009F3ED8">
        <w:rPr>
          <w:vanish w:val="0"/>
        </w:rPr>
        <w:instrText>22.</w:instrText>
      </w:r>
      <w:r w:rsidRPr="009F3ED8">
        <w:rPr>
          <w:vanish w:val="0"/>
        </w:rPr>
        <w:tab/>
        <w:instrText>Portugal</w:instrText>
      </w:r>
      <w:bookmarkEnd w:id="362"/>
      <w:r w:rsidRPr="009F3ED8">
        <w:rPr>
          <w:vanish w:val="0"/>
        </w:rPr>
        <w:instrText xml:space="preserve">" \f \l 2 </w:instrText>
      </w:r>
      <w:r w:rsidRPr="009F3ED8">
        <w:fldChar w:fldCharType="end"/>
      </w:r>
    </w:p>
    <w:p w14:paraId="50C7034E" w14:textId="77777777" w:rsidR="00FB1300" w:rsidRPr="00FB1300" w:rsidRDefault="00FB1300" w:rsidP="00460C69">
      <w:pPr>
        <w:sectPr w:rsidR="00FB1300" w:rsidRPr="00FB1300" w:rsidSect="00FB1300">
          <w:headerReference w:type="even" r:id="rId711"/>
          <w:headerReference w:type="default" r:id="rId712"/>
          <w:footerReference w:type="even" r:id="rId713"/>
          <w:footerReference w:type="default" r:id="rId714"/>
          <w:headerReference w:type="first" r:id="rId715"/>
          <w:footerReference w:type="first" r:id="rId716"/>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488FE581" wp14:editId="536452E4">
            <wp:extent cx="5760412" cy="7560733"/>
            <wp:effectExtent l="0" t="0" r="0" b="2540"/>
            <wp:docPr id="1001" name="Picture 1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5760000" cy="7560193"/>
                    </a:xfrm>
                    <a:prstGeom prst="rect">
                      <a:avLst/>
                    </a:prstGeom>
                    <a:noFill/>
                    <a:ln>
                      <a:noFill/>
                    </a:ln>
                  </pic:spPr>
                </pic:pic>
              </a:graphicData>
            </a:graphic>
          </wp:inline>
        </w:drawing>
      </w:r>
      <w:r w:rsidRPr="00FB1300">
        <w:rPr>
          <w:noProof/>
          <w:lang w:val="hr-HR" w:eastAsia="hr-HR"/>
        </w:rPr>
        <w:lastRenderedPageBreak/>
        <w:drawing>
          <wp:inline distT="0" distB="0" distL="0" distR="0" wp14:anchorId="4ACCC42D" wp14:editId="2C8ED9E6">
            <wp:extent cx="5760000" cy="7200000"/>
            <wp:effectExtent l="0" t="0" r="0" b="1270"/>
            <wp:docPr id="1002" name="Picture 1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7F4A2770" wp14:editId="5AD8008D">
            <wp:extent cx="5761214" cy="8068733"/>
            <wp:effectExtent l="0" t="0" r="0" b="8890"/>
            <wp:docPr id="1003" name="Picture 1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5761355" cy="8068931"/>
                    </a:xfrm>
                    <a:prstGeom prst="rect">
                      <a:avLst/>
                    </a:prstGeom>
                    <a:noFill/>
                    <a:ln>
                      <a:noFill/>
                    </a:ln>
                  </pic:spPr>
                </pic:pic>
              </a:graphicData>
            </a:graphic>
          </wp:inline>
        </w:drawing>
      </w:r>
      <w:bookmarkEnd w:id="361"/>
    </w:p>
    <w:bookmarkStart w:id="363" w:name="GUIDACCBBFE17DDB4E6E8929456A6E488BA4"/>
    <w:p w14:paraId="7DD699E7"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64" w:name="_Toc511664492"/>
      <w:r w:rsidRPr="009F3ED8">
        <w:rPr>
          <w:vanish w:val="0"/>
        </w:rPr>
        <w:instrText>23.</w:instrText>
      </w:r>
      <w:r w:rsidRPr="009F3ED8">
        <w:rPr>
          <w:vanish w:val="0"/>
        </w:rPr>
        <w:tab/>
        <w:instrText>Romania</w:instrText>
      </w:r>
      <w:bookmarkEnd w:id="364"/>
      <w:r w:rsidRPr="009F3ED8">
        <w:rPr>
          <w:vanish w:val="0"/>
        </w:rPr>
        <w:instrText xml:space="preserve">" \f \l 2 </w:instrText>
      </w:r>
      <w:r w:rsidRPr="009F3ED8">
        <w:fldChar w:fldCharType="end"/>
      </w:r>
    </w:p>
    <w:p w14:paraId="2CDB3991" w14:textId="77777777" w:rsidR="00FB1300" w:rsidRPr="00FB1300" w:rsidRDefault="00FB1300" w:rsidP="00460C69">
      <w:pPr>
        <w:sectPr w:rsidR="00FB1300" w:rsidRPr="00FB1300" w:rsidSect="00FB1300">
          <w:headerReference w:type="even" r:id="rId720"/>
          <w:headerReference w:type="default" r:id="rId721"/>
          <w:footerReference w:type="even" r:id="rId722"/>
          <w:footerReference w:type="default" r:id="rId723"/>
          <w:headerReference w:type="first" r:id="rId724"/>
          <w:footerReference w:type="first" r:id="rId725"/>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2B9A0DA5" wp14:editId="500A4669">
            <wp:extent cx="5760412" cy="7556500"/>
            <wp:effectExtent l="0" t="0" r="0" b="6350"/>
            <wp:docPr id="1004" name="Picture 10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5760000" cy="7555960"/>
                    </a:xfrm>
                    <a:prstGeom prst="rect">
                      <a:avLst/>
                    </a:prstGeom>
                    <a:noFill/>
                    <a:ln>
                      <a:noFill/>
                    </a:ln>
                  </pic:spPr>
                </pic:pic>
              </a:graphicData>
            </a:graphic>
          </wp:inline>
        </w:drawing>
      </w:r>
      <w:r w:rsidRPr="00FB1300">
        <w:rPr>
          <w:noProof/>
          <w:lang w:val="hr-HR" w:eastAsia="hr-HR"/>
        </w:rPr>
        <w:lastRenderedPageBreak/>
        <w:drawing>
          <wp:inline distT="0" distB="0" distL="0" distR="0" wp14:anchorId="353C1152" wp14:editId="5C715533">
            <wp:extent cx="5760000" cy="7200000"/>
            <wp:effectExtent l="0" t="0" r="0" b="1270"/>
            <wp:docPr id="1005" name="Picture 10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02DE5A46" wp14:editId="2739F39E">
            <wp:extent cx="5761214" cy="8072966"/>
            <wp:effectExtent l="0" t="0" r="0" b="4445"/>
            <wp:docPr id="1006" name="Picture 10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5761355" cy="8073164"/>
                    </a:xfrm>
                    <a:prstGeom prst="rect">
                      <a:avLst/>
                    </a:prstGeom>
                    <a:noFill/>
                    <a:ln>
                      <a:noFill/>
                    </a:ln>
                  </pic:spPr>
                </pic:pic>
              </a:graphicData>
            </a:graphic>
          </wp:inline>
        </w:drawing>
      </w:r>
      <w:bookmarkEnd w:id="363"/>
    </w:p>
    <w:bookmarkStart w:id="365" w:name="GUIDF2FB3BBBC90E4AB8BA0D1171A162FC74"/>
    <w:p w14:paraId="713C32E2"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66" w:name="_Toc511664493"/>
      <w:r w:rsidRPr="009F3ED8">
        <w:rPr>
          <w:vanish w:val="0"/>
        </w:rPr>
        <w:instrText>24.</w:instrText>
      </w:r>
      <w:r w:rsidRPr="009F3ED8">
        <w:rPr>
          <w:vanish w:val="0"/>
        </w:rPr>
        <w:tab/>
        <w:instrText>Slovenia</w:instrText>
      </w:r>
      <w:bookmarkEnd w:id="366"/>
      <w:r w:rsidRPr="009F3ED8">
        <w:rPr>
          <w:vanish w:val="0"/>
        </w:rPr>
        <w:instrText xml:space="preserve">" \f \l 2 </w:instrText>
      </w:r>
      <w:r w:rsidRPr="009F3ED8">
        <w:fldChar w:fldCharType="end"/>
      </w:r>
    </w:p>
    <w:p w14:paraId="2D7905AF" w14:textId="77777777" w:rsidR="00FB1300" w:rsidRPr="00FB1300" w:rsidRDefault="00FB1300" w:rsidP="00460C69">
      <w:pPr>
        <w:sectPr w:rsidR="00FB1300" w:rsidRPr="00FB1300" w:rsidSect="00FB1300">
          <w:headerReference w:type="even" r:id="rId729"/>
          <w:headerReference w:type="default" r:id="rId730"/>
          <w:footerReference w:type="even" r:id="rId731"/>
          <w:footerReference w:type="default" r:id="rId732"/>
          <w:headerReference w:type="first" r:id="rId733"/>
          <w:footerReference w:type="first" r:id="rId734"/>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7543B31D" wp14:editId="413B51A7">
            <wp:extent cx="5760412" cy="7548033"/>
            <wp:effectExtent l="0" t="0" r="0" b="0"/>
            <wp:docPr id="1007" name="Picture 10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5760000" cy="7547494"/>
                    </a:xfrm>
                    <a:prstGeom prst="rect">
                      <a:avLst/>
                    </a:prstGeom>
                    <a:noFill/>
                    <a:ln>
                      <a:noFill/>
                    </a:ln>
                  </pic:spPr>
                </pic:pic>
              </a:graphicData>
            </a:graphic>
          </wp:inline>
        </w:drawing>
      </w:r>
      <w:r w:rsidRPr="00FB1300">
        <w:rPr>
          <w:noProof/>
          <w:lang w:val="hr-HR" w:eastAsia="hr-HR"/>
        </w:rPr>
        <w:lastRenderedPageBreak/>
        <w:drawing>
          <wp:inline distT="0" distB="0" distL="0" distR="0" wp14:anchorId="1BB83FB9" wp14:editId="06715DB3">
            <wp:extent cx="5760000" cy="7200000"/>
            <wp:effectExtent l="0" t="0" r="0" b="1270"/>
            <wp:docPr id="1008" name="Picture 10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46244610" wp14:editId="78A0A9D4">
            <wp:extent cx="5760155" cy="8081433"/>
            <wp:effectExtent l="0" t="0" r="0" b="0"/>
            <wp:docPr id="1009" name="Picture 10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5760000" cy="8081215"/>
                    </a:xfrm>
                    <a:prstGeom prst="rect">
                      <a:avLst/>
                    </a:prstGeom>
                    <a:noFill/>
                    <a:ln>
                      <a:noFill/>
                    </a:ln>
                  </pic:spPr>
                </pic:pic>
              </a:graphicData>
            </a:graphic>
          </wp:inline>
        </w:drawing>
      </w:r>
      <w:bookmarkEnd w:id="365"/>
    </w:p>
    <w:bookmarkStart w:id="367" w:name="GUIDEF34A248E346403DADD63CA106787A64"/>
    <w:p w14:paraId="16DBCE89"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68" w:name="_Toc511664494"/>
      <w:r w:rsidRPr="009F3ED8">
        <w:rPr>
          <w:vanish w:val="0"/>
        </w:rPr>
        <w:instrText>25.</w:instrText>
      </w:r>
      <w:r w:rsidRPr="009F3ED8">
        <w:rPr>
          <w:vanish w:val="0"/>
        </w:rPr>
        <w:tab/>
        <w:instrText>Slovakia</w:instrText>
      </w:r>
      <w:bookmarkEnd w:id="368"/>
      <w:r w:rsidRPr="009F3ED8">
        <w:rPr>
          <w:vanish w:val="0"/>
        </w:rPr>
        <w:instrText xml:space="preserve">" \f \l 2 </w:instrText>
      </w:r>
      <w:r w:rsidRPr="009F3ED8">
        <w:fldChar w:fldCharType="end"/>
      </w:r>
    </w:p>
    <w:p w14:paraId="098F2DF2" w14:textId="77777777" w:rsidR="00FB1300" w:rsidRPr="00FB1300" w:rsidRDefault="00FB1300" w:rsidP="00460C69">
      <w:pPr>
        <w:sectPr w:rsidR="00FB1300" w:rsidRPr="00FB1300" w:rsidSect="00FB1300">
          <w:headerReference w:type="even" r:id="rId738"/>
          <w:headerReference w:type="default" r:id="rId739"/>
          <w:footerReference w:type="even" r:id="rId740"/>
          <w:footerReference w:type="default" r:id="rId741"/>
          <w:headerReference w:type="first" r:id="rId742"/>
          <w:footerReference w:type="first" r:id="rId743"/>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46A017EF" wp14:editId="06C317A6">
            <wp:extent cx="5760412" cy="7552266"/>
            <wp:effectExtent l="0" t="0" r="0" b="0"/>
            <wp:docPr id="1010" name="Picture 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5760000" cy="7551726"/>
                    </a:xfrm>
                    <a:prstGeom prst="rect">
                      <a:avLst/>
                    </a:prstGeom>
                    <a:noFill/>
                    <a:ln>
                      <a:noFill/>
                    </a:ln>
                  </pic:spPr>
                </pic:pic>
              </a:graphicData>
            </a:graphic>
          </wp:inline>
        </w:drawing>
      </w:r>
      <w:r w:rsidRPr="00FB1300">
        <w:rPr>
          <w:noProof/>
          <w:lang w:val="hr-HR" w:eastAsia="hr-HR"/>
        </w:rPr>
        <w:lastRenderedPageBreak/>
        <w:drawing>
          <wp:inline distT="0" distB="0" distL="0" distR="0" wp14:anchorId="056EFD65" wp14:editId="0DFBC71D">
            <wp:extent cx="5760000" cy="7200000"/>
            <wp:effectExtent l="0" t="0" r="0" b="1270"/>
            <wp:docPr id="1011" name="Picture 10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0F125896" wp14:editId="4DDD3D0C">
            <wp:extent cx="5760155" cy="8068733"/>
            <wp:effectExtent l="0" t="0" r="0" b="8890"/>
            <wp:docPr id="1012" name="Picture 10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5760000" cy="8068515"/>
                    </a:xfrm>
                    <a:prstGeom prst="rect">
                      <a:avLst/>
                    </a:prstGeom>
                    <a:noFill/>
                    <a:ln>
                      <a:noFill/>
                    </a:ln>
                  </pic:spPr>
                </pic:pic>
              </a:graphicData>
            </a:graphic>
          </wp:inline>
        </w:drawing>
      </w:r>
      <w:bookmarkEnd w:id="367"/>
    </w:p>
    <w:bookmarkStart w:id="369" w:name="GUIDB42D648A262F4D3E803F55F6D8A2B8E5"/>
    <w:p w14:paraId="54E25E07"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70" w:name="_Toc511664495"/>
      <w:r w:rsidRPr="009F3ED8">
        <w:rPr>
          <w:vanish w:val="0"/>
        </w:rPr>
        <w:instrText>26.</w:instrText>
      </w:r>
      <w:r w:rsidRPr="009F3ED8">
        <w:rPr>
          <w:vanish w:val="0"/>
        </w:rPr>
        <w:tab/>
        <w:instrText>Finland</w:instrText>
      </w:r>
      <w:bookmarkEnd w:id="370"/>
      <w:r w:rsidRPr="009F3ED8">
        <w:rPr>
          <w:vanish w:val="0"/>
        </w:rPr>
        <w:instrText xml:space="preserve">" \f \l 2 </w:instrText>
      </w:r>
      <w:r w:rsidRPr="009F3ED8">
        <w:fldChar w:fldCharType="end"/>
      </w:r>
    </w:p>
    <w:p w14:paraId="0B3E0677" w14:textId="77777777" w:rsidR="00FB1300" w:rsidRPr="00FB1300" w:rsidRDefault="00FB1300" w:rsidP="00460C69">
      <w:pPr>
        <w:sectPr w:rsidR="00FB1300" w:rsidRPr="00FB1300" w:rsidSect="00FB1300">
          <w:headerReference w:type="even" r:id="rId747"/>
          <w:headerReference w:type="default" r:id="rId748"/>
          <w:footerReference w:type="even" r:id="rId749"/>
          <w:footerReference w:type="default" r:id="rId750"/>
          <w:headerReference w:type="first" r:id="rId751"/>
          <w:footerReference w:type="first" r:id="rId752"/>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3B7BC4EF" wp14:editId="163EDAEB">
            <wp:extent cx="5760412" cy="7548033"/>
            <wp:effectExtent l="0" t="0" r="0" b="0"/>
            <wp:docPr id="1013" name="Picture 10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5760000" cy="7547494"/>
                    </a:xfrm>
                    <a:prstGeom prst="rect">
                      <a:avLst/>
                    </a:prstGeom>
                    <a:noFill/>
                    <a:ln>
                      <a:noFill/>
                    </a:ln>
                  </pic:spPr>
                </pic:pic>
              </a:graphicData>
            </a:graphic>
          </wp:inline>
        </w:drawing>
      </w:r>
      <w:r w:rsidRPr="00FB1300">
        <w:rPr>
          <w:noProof/>
          <w:lang w:val="hr-HR" w:eastAsia="hr-HR"/>
        </w:rPr>
        <w:lastRenderedPageBreak/>
        <w:drawing>
          <wp:inline distT="0" distB="0" distL="0" distR="0" wp14:anchorId="046137E6" wp14:editId="20AA33D2">
            <wp:extent cx="5760000" cy="7200000"/>
            <wp:effectExtent l="0" t="0" r="0" b="1270"/>
            <wp:docPr id="1014" name="Picture 1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3C92BAC8" wp14:editId="64146D09">
            <wp:extent cx="5760155" cy="8085666"/>
            <wp:effectExtent l="0" t="0" r="0" b="0"/>
            <wp:docPr id="1015" name="Picture 10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5760000" cy="8085448"/>
                    </a:xfrm>
                    <a:prstGeom prst="rect">
                      <a:avLst/>
                    </a:prstGeom>
                    <a:noFill/>
                    <a:ln>
                      <a:noFill/>
                    </a:ln>
                  </pic:spPr>
                </pic:pic>
              </a:graphicData>
            </a:graphic>
          </wp:inline>
        </w:drawing>
      </w:r>
      <w:bookmarkEnd w:id="369"/>
    </w:p>
    <w:bookmarkStart w:id="371" w:name="GUID7E1D66741537482D9EF2EB5AD0FD6739"/>
    <w:p w14:paraId="658AC77D"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72" w:name="_Toc511664496"/>
      <w:r w:rsidRPr="009F3ED8">
        <w:rPr>
          <w:vanish w:val="0"/>
        </w:rPr>
        <w:instrText>27.</w:instrText>
      </w:r>
      <w:r w:rsidRPr="009F3ED8">
        <w:rPr>
          <w:vanish w:val="0"/>
        </w:rPr>
        <w:tab/>
        <w:instrText>Sweden</w:instrText>
      </w:r>
      <w:bookmarkEnd w:id="372"/>
      <w:r w:rsidRPr="009F3ED8">
        <w:rPr>
          <w:vanish w:val="0"/>
        </w:rPr>
        <w:instrText xml:space="preserve">" \f \l 2 </w:instrText>
      </w:r>
      <w:r w:rsidRPr="009F3ED8">
        <w:fldChar w:fldCharType="end"/>
      </w:r>
    </w:p>
    <w:p w14:paraId="1813F276" w14:textId="77777777" w:rsidR="00FB1300" w:rsidRPr="00FB1300" w:rsidRDefault="00FB1300" w:rsidP="00460C69">
      <w:pPr>
        <w:sectPr w:rsidR="00FB1300" w:rsidRPr="00FB1300" w:rsidSect="00FB1300">
          <w:headerReference w:type="even" r:id="rId756"/>
          <w:headerReference w:type="default" r:id="rId757"/>
          <w:footerReference w:type="even" r:id="rId758"/>
          <w:footerReference w:type="default" r:id="rId759"/>
          <w:headerReference w:type="first" r:id="rId760"/>
          <w:footerReference w:type="first" r:id="rId761"/>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7EA7DF10" wp14:editId="09255F21">
            <wp:extent cx="5760412" cy="7552266"/>
            <wp:effectExtent l="0" t="0" r="0" b="0"/>
            <wp:docPr id="1016" name="Picture 10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5760000" cy="7551726"/>
                    </a:xfrm>
                    <a:prstGeom prst="rect">
                      <a:avLst/>
                    </a:prstGeom>
                    <a:noFill/>
                    <a:ln>
                      <a:noFill/>
                    </a:ln>
                  </pic:spPr>
                </pic:pic>
              </a:graphicData>
            </a:graphic>
          </wp:inline>
        </w:drawing>
      </w:r>
      <w:r w:rsidRPr="00FB1300">
        <w:rPr>
          <w:noProof/>
          <w:lang w:val="hr-HR" w:eastAsia="hr-HR"/>
        </w:rPr>
        <w:lastRenderedPageBreak/>
        <w:drawing>
          <wp:inline distT="0" distB="0" distL="0" distR="0" wp14:anchorId="79BF2145" wp14:editId="346C3B52">
            <wp:extent cx="5760000" cy="7200000"/>
            <wp:effectExtent l="0" t="0" r="0" b="1270"/>
            <wp:docPr id="1017" name="Picture 10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372C77F4" wp14:editId="4002AA33">
            <wp:extent cx="5760155" cy="8089900"/>
            <wp:effectExtent l="0" t="0" r="0" b="6350"/>
            <wp:docPr id="1018" name="Picture 10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5760000" cy="8089682"/>
                    </a:xfrm>
                    <a:prstGeom prst="rect">
                      <a:avLst/>
                    </a:prstGeom>
                    <a:noFill/>
                    <a:ln>
                      <a:noFill/>
                    </a:ln>
                  </pic:spPr>
                </pic:pic>
              </a:graphicData>
            </a:graphic>
          </wp:inline>
        </w:drawing>
      </w:r>
      <w:bookmarkEnd w:id="371"/>
    </w:p>
    <w:bookmarkStart w:id="373" w:name="GUIDD0F622B58C074CE180C3B5CF2796FED0"/>
    <w:p w14:paraId="5049497F"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74" w:name="_Toc511664497"/>
      <w:r w:rsidRPr="009F3ED8">
        <w:rPr>
          <w:vanish w:val="0"/>
        </w:rPr>
        <w:instrText>28.</w:instrText>
      </w:r>
      <w:r w:rsidRPr="009F3ED8">
        <w:rPr>
          <w:vanish w:val="0"/>
        </w:rPr>
        <w:tab/>
        <w:instrText>United Kingdom</w:instrText>
      </w:r>
      <w:bookmarkEnd w:id="374"/>
      <w:r w:rsidRPr="009F3ED8">
        <w:rPr>
          <w:vanish w:val="0"/>
        </w:rPr>
        <w:instrText xml:space="preserve">" \f \l 2 </w:instrText>
      </w:r>
      <w:r w:rsidRPr="009F3ED8">
        <w:fldChar w:fldCharType="end"/>
      </w:r>
    </w:p>
    <w:p w14:paraId="2695628F" w14:textId="77777777" w:rsidR="00FB1300" w:rsidRPr="00FB1300" w:rsidRDefault="00FB1300" w:rsidP="00460C69">
      <w:pPr>
        <w:sectPr w:rsidR="00FB1300" w:rsidRPr="00FB1300" w:rsidSect="00FB1300">
          <w:headerReference w:type="even" r:id="rId765"/>
          <w:headerReference w:type="default" r:id="rId766"/>
          <w:footerReference w:type="even" r:id="rId767"/>
          <w:footerReference w:type="default" r:id="rId768"/>
          <w:headerReference w:type="first" r:id="rId769"/>
          <w:footerReference w:type="first" r:id="rId770"/>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41484935" wp14:editId="0D2D5890">
            <wp:extent cx="5760412" cy="7560733"/>
            <wp:effectExtent l="0" t="0" r="0" b="2540"/>
            <wp:docPr id="1019" name="Picture 10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5760000" cy="7560193"/>
                    </a:xfrm>
                    <a:prstGeom prst="rect">
                      <a:avLst/>
                    </a:prstGeom>
                    <a:noFill/>
                    <a:ln>
                      <a:noFill/>
                    </a:ln>
                  </pic:spPr>
                </pic:pic>
              </a:graphicData>
            </a:graphic>
          </wp:inline>
        </w:drawing>
      </w:r>
      <w:r w:rsidRPr="00FB1300">
        <w:rPr>
          <w:noProof/>
          <w:lang w:val="hr-HR" w:eastAsia="hr-HR"/>
        </w:rPr>
        <w:lastRenderedPageBreak/>
        <w:drawing>
          <wp:inline distT="0" distB="0" distL="0" distR="0" wp14:anchorId="1FAB4BC7" wp14:editId="0986E55E">
            <wp:extent cx="5760000" cy="7200000"/>
            <wp:effectExtent l="0" t="0" r="0" b="1270"/>
            <wp:docPr id="1020" name="Picture 1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1719F2FC" wp14:editId="598B6AFD">
            <wp:extent cx="5760155" cy="8068733"/>
            <wp:effectExtent l="0" t="0" r="0" b="8890"/>
            <wp:docPr id="1021" name="Picture 10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5760000" cy="8068515"/>
                    </a:xfrm>
                    <a:prstGeom prst="rect">
                      <a:avLst/>
                    </a:prstGeom>
                    <a:noFill/>
                    <a:ln>
                      <a:noFill/>
                    </a:ln>
                  </pic:spPr>
                </pic:pic>
              </a:graphicData>
            </a:graphic>
          </wp:inline>
        </w:drawing>
      </w:r>
      <w:bookmarkEnd w:id="373"/>
    </w:p>
    <w:bookmarkStart w:id="375" w:name="GUID815D17CC86F440088767720AF4335E76"/>
    <w:p w14:paraId="4BF2BE1F"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76" w:name="_Toc511664498"/>
      <w:r w:rsidRPr="009F3ED8">
        <w:rPr>
          <w:vanish w:val="0"/>
        </w:rPr>
        <w:instrText>29.</w:instrText>
      </w:r>
      <w:r w:rsidRPr="009F3ED8">
        <w:rPr>
          <w:vanish w:val="0"/>
        </w:rPr>
        <w:tab/>
        <w:instrText>Norway</w:instrText>
      </w:r>
      <w:bookmarkEnd w:id="376"/>
      <w:r w:rsidRPr="009F3ED8">
        <w:rPr>
          <w:vanish w:val="0"/>
        </w:rPr>
        <w:instrText xml:space="preserve">" \f \l 2 </w:instrText>
      </w:r>
      <w:r w:rsidRPr="009F3ED8">
        <w:fldChar w:fldCharType="end"/>
      </w:r>
    </w:p>
    <w:p w14:paraId="3A74919D" w14:textId="77777777" w:rsidR="00FB1300" w:rsidRPr="00FB1300" w:rsidRDefault="00FB1300" w:rsidP="00460C69">
      <w:pPr>
        <w:sectPr w:rsidR="00FB1300" w:rsidRPr="00FB1300" w:rsidSect="00FB1300">
          <w:headerReference w:type="even" r:id="rId774"/>
          <w:headerReference w:type="default" r:id="rId775"/>
          <w:footerReference w:type="even" r:id="rId776"/>
          <w:footerReference w:type="default" r:id="rId777"/>
          <w:headerReference w:type="first" r:id="rId778"/>
          <w:footerReference w:type="first" r:id="rId779"/>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549443A6" wp14:editId="56F42C0B">
            <wp:extent cx="5760412" cy="7556500"/>
            <wp:effectExtent l="0" t="0" r="0" b="6350"/>
            <wp:docPr id="1022" name="Picture 1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5760000" cy="7555960"/>
                    </a:xfrm>
                    <a:prstGeom prst="rect">
                      <a:avLst/>
                    </a:prstGeom>
                    <a:noFill/>
                    <a:ln>
                      <a:noFill/>
                    </a:ln>
                  </pic:spPr>
                </pic:pic>
              </a:graphicData>
            </a:graphic>
          </wp:inline>
        </w:drawing>
      </w:r>
      <w:r w:rsidRPr="00FB1300">
        <w:rPr>
          <w:noProof/>
          <w:lang w:val="hr-HR" w:eastAsia="hr-HR"/>
        </w:rPr>
        <w:lastRenderedPageBreak/>
        <w:drawing>
          <wp:inline distT="0" distB="0" distL="0" distR="0" wp14:anchorId="704A7BAF" wp14:editId="7477D2AB">
            <wp:extent cx="5760000" cy="7200000"/>
            <wp:effectExtent l="0" t="0" r="0" b="1270"/>
            <wp:docPr id="1023" name="Picture 10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33D9F21E" wp14:editId="4B2A3673">
            <wp:extent cx="5760155" cy="8077200"/>
            <wp:effectExtent l="0" t="0" r="0" b="0"/>
            <wp:docPr id="1024" name="Picture 10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5760000" cy="8076982"/>
                    </a:xfrm>
                    <a:prstGeom prst="rect">
                      <a:avLst/>
                    </a:prstGeom>
                    <a:noFill/>
                    <a:ln>
                      <a:noFill/>
                    </a:ln>
                  </pic:spPr>
                </pic:pic>
              </a:graphicData>
            </a:graphic>
          </wp:inline>
        </w:drawing>
      </w:r>
      <w:bookmarkEnd w:id="375"/>
    </w:p>
    <w:bookmarkStart w:id="377" w:name="GUIDA9238FA63BD54044A759DF6FCB8C14CA"/>
    <w:p w14:paraId="25031286"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78" w:name="_Toc511664499"/>
      <w:r w:rsidRPr="009F3ED8">
        <w:rPr>
          <w:vanish w:val="0"/>
        </w:rPr>
        <w:instrText>30.</w:instrText>
      </w:r>
      <w:r w:rsidRPr="009F3ED8">
        <w:rPr>
          <w:vanish w:val="0"/>
        </w:rPr>
        <w:tab/>
        <w:instrText>Euro Area</w:instrText>
      </w:r>
      <w:bookmarkEnd w:id="378"/>
      <w:r w:rsidRPr="009F3ED8">
        <w:rPr>
          <w:vanish w:val="0"/>
        </w:rPr>
        <w:instrText xml:space="preserve">" \f \l 2 </w:instrText>
      </w:r>
      <w:r w:rsidRPr="009F3ED8">
        <w:fldChar w:fldCharType="end"/>
      </w:r>
    </w:p>
    <w:p w14:paraId="01EA5408" w14:textId="77777777" w:rsidR="00FB1300" w:rsidRPr="00FB1300" w:rsidRDefault="00FB1300" w:rsidP="00460C69">
      <w:pPr>
        <w:sectPr w:rsidR="00FB1300" w:rsidRPr="00FB1300" w:rsidSect="00FB1300">
          <w:headerReference w:type="even" r:id="rId783"/>
          <w:headerReference w:type="default" r:id="rId784"/>
          <w:footerReference w:type="even" r:id="rId785"/>
          <w:footerReference w:type="default" r:id="rId786"/>
          <w:headerReference w:type="first" r:id="rId787"/>
          <w:footerReference w:type="first" r:id="rId788"/>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2D77B38B" wp14:editId="642FA633">
            <wp:extent cx="5760412" cy="7556500"/>
            <wp:effectExtent l="0" t="0" r="0" b="6350"/>
            <wp:docPr id="1025" name="Picture 1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5760000" cy="7555960"/>
                    </a:xfrm>
                    <a:prstGeom prst="rect">
                      <a:avLst/>
                    </a:prstGeom>
                    <a:noFill/>
                    <a:ln>
                      <a:noFill/>
                    </a:ln>
                  </pic:spPr>
                </pic:pic>
              </a:graphicData>
            </a:graphic>
          </wp:inline>
        </w:drawing>
      </w:r>
      <w:r w:rsidRPr="00FB1300">
        <w:rPr>
          <w:noProof/>
          <w:lang w:val="hr-HR" w:eastAsia="hr-HR"/>
        </w:rPr>
        <w:lastRenderedPageBreak/>
        <w:drawing>
          <wp:inline distT="0" distB="0" distL="0" distR="0" wp14:anchorId="1307D00A" wp14:editId="2DC4DD7C">
            <wp:extent cx="5760000" cy="7200000"/>
            <wp:effectExtent l="0" t="0" r="0" b="1270"/>
            <wp:docPr id="1026" name="Picture 10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7471AD51" wp14:editId="4813035F">
            <wp:extent cx="5760155" cy="8072966"/>
            <wp:effectExtent l="0" t="0" r="0" b="4445"/>
            <wp:docPr id="1027" name="Picture 10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5760000" cy="8072748"/>
                    </a:xfrm>
                    <a:prstGeom prst="rect">
                      <a:avLst/>
                    </a:prstGeom>
                    <a:noFill/>
                    <a:ln>
                      <a:noFill/>
                    </a:ln>
                  </pic:spPr>
                </pic:pic>
              </a:graphicData>
            </a:graphic>
          </wp:inline>
        </w:drawing>
      </w:r>
      <w:bookmarkEnd w:id="377"/>
    </w:p>
    <w:bookmarkStart w:id="379" w:name="GUID1D92281D19614CB09A4E8E4AAF9DC301"/>
    <w:p w14:paraId="15A676F9"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80" w:name="_Toc511664500"/>
      <w:r w:rsidRPr="009F3ED8">
        <w:rPr>
          <w:vanish w:val="0"/>
        </w:rPr>
        <w:instrText>31.</w:instrText>
      </w:r>
      <w:r w:rsidRPr="009F3ED8">
        <w:rPr>
          <w:vanish w:val="0"/>
        </w:rPr>
        <w:tab/>
        <w:instrText>European Union 27</w:instrText>
      </w:r>
      <w:bookmarkEnd w:id="380"/>
      <w:r w:rsidRPr="009F3ED8">
        <w:rPr>
          <w:vanish w:val="0"/>
        </w:rPr>
        <w:instrText xml:space="preserve">" \f \l 2 </w:instrText>
      </w:r>
      <w:r w:rsidRPr="009F3ED8">
        <w:fldChar w:fldCharType="end"/>
      </w:r>
    </w:p>
    <w:p w14:paraId="2E2EED8D" w14:textId="77777777" w:rsidR="00FB1300" w:rsidRPr="00FB1300" w:rsidRDefault="00FB1300" w:rsidP="00460C69">
      <w:pPr>
        <w:sectPr w:rsidR="00FB1300" w:rsidRPr="00FB1300" w:rsidSect="00FB1300">
          <w:headerReference w:type="even" r:id="rId792"/>
          <w:headerReference w:type="default" r:id="rId793"/>
          <w:footerReference w:type="even" r:id="rId794"/>
          <w:footerReference w:type="default" r:id="rId795"/>
          <w:headerReference w:type="first" r:id="rId796"/>
          <w:footerReference w:type="first" r:id="rId797"/>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1C753299" wp14:editId="5722DE50">
            <wp:extent cx="5760412" cy="7560733"/>
            <wp:effectExtent l="0" t="0" r="0" b="2540"/>
            <wp:docPr id="1028" name="Picture 10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5760000" cy="7560193"/>
                    </a:xfrm>
                    <a:prstGeom prst="rect">
                      <a:avLst/>
                    </a:prstGeom>
                    <a:noFill/>
                    <a:ln>
                      <a:noFill/>
                    </a:ln>
                  </pic:spPr>
                </pic:pic>
              </a:graphicData>
            </a:graphic>
          </wp:inline>
        </w:drawing>
      </w:r>
      <w:r w:rsidRPr="00FB1300">
        <w:rPr>
          <w:noProof/>
          <w:lang w:val="hr-HR" w:eastAsia="hr-HR"/>
        </w:rPr>
        <w:lastRenderedPageBreak/>
        <w:drawing>
          <wp:inline distT="0" distB="0" distL="0" distR="0" wp14:anchorId="6FB78EE2" wp14:editId="6FF15C8D">
            <wp:extent cx="5760000" cy="7200000"/>
            <wp:effectExtent l="0" t="0" r="0" b="1270"/>
            <wp:docPr id="1029" name="Picture 10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19786F28" wp14:editId="3C4D1498">
            <wp:extent cx="5760155" cy="8081433"/>
            <wp:effectExtent l="0" t="0" r="0" b="0"/>
            <wp:docPr id="1030" name="Picture 10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5760000" cy="8081215"/>
                    </a:xfrm>
                    <a:prstGeom prst="rect">
                      <a:avLst/>
                    </a:prstGeom>
                    <a:noFill/>
                    <a:ln>
                      <a:noFill/>
                    </a:ln>
                  </pic:spPr>
                </pic:pic>
              </a:graphicData>
            </a:graphic>
          </wp:inline>
        </w:drawing>
      </w:r>
      <w:bookmarkEnd w:id="379"/>
    </w:p>
    <w:bookmarkStart w:id="381" w:name="GUID839CD71DE1684481AF23B470DA3A3956"/>
    <w:p w14:paraId="595C0274"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82" w:name="_Toc511664501"/>
      <w:r w:rsidRPr="009F3ED8">
        <w:rPr>
          <w:vanish w:val="0"/>
        </w:rPr>
        <w:instrText>32.</w:instrText>
      </w:r>
      <w:r w:rsidRPr="009F3ED8">
        <w:rPr>
          <w:vanish w:val="0"/>
        </w:rPr>
        <w:tab/>
        <w:instrText>European Union*</w:instrText>
      </w:r>
      <w:bookmarkEnd w:id="382"/>
      <w:r w:rsidRPr="009F3ED8">
        <w:rPr>
          <w:vanish w:val="0"/>
        </w:rPr>
        <w:instrText xml:space="preserve">" \f \l 2 </w:instrText>
      </w:r>
      <w:r w:rsidRPr="009F3ED8">
        <w:fldChar w:fldCharType="end"/>
      </w:r>
    </w:p>
    <w:p w14:paraId="39D6F9E0" w14:textId="77777777" w:rsidR="00FB1300" w:rsidRPr="00FB1300" w:rsidRDefault="00FB1300" w:rsidP="00460C69">
      <w:pPr>
        <w:sectPr w:rsidR="00FB1300" w:rsidRPr="00FB1300" w:rsidSect="00FB1300">
          <w:headerReference w:type="even" r:id="rId801"/>
          <w:headerReference w:type="default" r:id="rId802"/>
          <w:footerReference w:type="even" r:id="rId803"/>
          <w:footerReference w:type="default" r:id="rId804"/>
          <w:headerReference w:type="first" r:id="rId805"/>
          <w:footerReference w:type="first" r:id="rId806"/>
          <w:endnotePr>
            <w:numFmt w:val="decimal"/>
          </w:endnotePr>
          <w:pgSz w:w="11907" w:h="16839"/>
          <w:pgMar w:top="2693" w:right="1701" w:bottom="1417" w:left="1701" w:header="709" w:footer="1191" w:gutter="0"/>
          <w:cols w:space="708"/>
          <w:titlePg/>
          <w:docGrid w:linePitch="360"/>
        </w:sectPr>
      </w:pPr>
      <w:r w:rsidRPr="00FB1300">
        <w:rPr>
          <w:noProof/>
          <w:lang w:val="hr-HR" w:eastAsia="hr-HR"/>
        </w:rPr>
        <w:drawing>
          <wp:inline distT="0" distB="0" distL="0" distR="0" wp14:anchorId="741BD47F" wp14:editId="6AB3FEB3">
            <wp:extent cx="5760412" cy="7556500"/>
            <wp:effectExtent l="0" t="0" r="0" b="6350"/>
            <wp:docPr id="1031" name="Picture 1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5760000" cy="7555960"/>
                    </a:xfrm>
                    <a:prstGeom prst="rect">
                      <a:avLst/>
                    </a:prstGeom>
                    <a:noFill/>
                    <a:ln>
                      <a:noFill/>
                    </a:ln>
                  </pic:spPr>
                </pic:pic>
              </a:graphicData>
            </a:graphic>
          </wp:inline>
        </w:drawing>
      </w:r>
      <w:r w:rsidRPr="00FB1300">
        <w:rPr>
          <w:noProof/>
          <w:lang w:val="hr-HR" w:eastAsia="hr-HR"/>
        </w:rPr>
        <w:lastRenderedPageBreak/>
        <w:drawing>
          <wp:inline distT="0" distB="0" distL="0" distR="0" wp14:anchorId="163F0EE4" wp14:editId="0C2B0FF5">
            <wp:extent cx="5760000" cy="7200000"/>
            <wp:effectExtent l="0" t="0" r="0" b="1270"/>
            <wp:docPr id="1032" name="Picture 10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5760000" cy="7200000"/>
                    </a:xfrm>
                    <a:prstGeom prst="rect">
                      <a:avLst/>
                    </a:prstGeom>
                    <a:noFill/>
                    <a:ln>
                      <a:noFill/>
                    </a:ln>
                  </pic:spPr>
                </pic:pic>
              </a:graphicData>
            </a:graphic>
          </wp:inline>
        </w:drawing>
      </w:r>
      <w:r w:rsidRPr="00FB1300">
        <w:rPr>
          <w:noProof/>
          <w:lang w:val="hr-HR" w:eastAsia="hr-HR"/>
        </w:rPr>
        <w:lastRenderedPageBreak/>
        <w:drawing>
          <wp:inline distT="0" distB="0" distL="0" distR="0" wp14:anchorId="6B0FD649" wp14:editId="599C95C5">
            <wp:extent cx="5760155" cy="8085666"/>
            <wp:effectExtent l="0" t="0" r="0" b="0"/>
            <wp:docPr id="1033" name="Picture 1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5760000" cy="8085448"/>
                    </a:xfrm>
                    <a:prstGeom prst="rect">
                      <a:avLst/>
                    </a:prstGeom>
                    <a:noFill/>
                    <a:ln>
                      <a:noFill/>
                    </a:ln>
                  </pic:spPr>
                </pic:pic>
              </a:graphicData>
            </a:graphic>
          </wp:inline>
        </w:drawing>
      </w:r>
      <w:bookmarkEnd w:id="381"/>
    </w:p>
    <w:bookmarkStart w:id="383" w:name="GUID0338E91CC47343EF94AB1DA3C4CDC1C1"/>
    <w:p w14:paraId="073CE922" w14:textId="77777777" w:rsidR="00FB1300" w:rsidRPr="009F3ED8" w:rsidRDefault="00FB1300" w:rsidP="00FB1300">
      <w:pPr>
        <w:pStyle w:val="EPKitTCFrame"/>
      </w:pPr>
      <w:r w:rsidRPr="009F3ED8">
        <w:lastRenderedPageBreak/>
        <w:fldChar w:fldCharType="begin"/>
      </w:r>
      <w:r w:rsidRPr="009F3ED8">
        <w:rPr>
          <w:vanish w:val="0"/>
        </w:rPr>
        <w:instrText xml:space="preserve"> TC "</w:instrText>
      </w:r>
      <w:bookmarkStart w:id="384" w:name="_Toc511664502"/>
      <w:r w:rsidRPr="009F3ED8">
        <w:rPr>
          <w:vanish w:val="0"/>
        </w:rPr>
        <w:instrText>Part V:</w:instrText>
      </w:r>
      <w:r w:rsidRPr="009F3ED8">
        <w:rPr>
          <w:vanish w:val="0"/>
        </w:rPr>
        <w:tab/>
        <w:instrText>Resources</w:instrText>
      </w:r>
      <w:bookmarkEnd w:id="384"/>
      <w:r w:rsidRPr="009F3ED8">
        <w:rPr>
          <w:vanish w:val="0"/>
        </w:rPr>
        <w:instrText xml:space="preserve">" \f \l 1 </w:instrText>
      </w:r>
      <w:r w:rsidRPr="009F3ED8">
        <w:fldChar w:fldCharType="end"/>
      </w:r>
    </w:p>
    <w:p w14:paraId="46C88043" w14:textId="77777777" w:rsidR="00FB1300" w:rsidRDefault="00FB1300" w:rsidP="00FB1300"/>
    <w:bookmarkEnd w:id="383"/>
    <w:p w14:paraId="14ED6C0D" w14:textId="77777777" w:rsidR="00FB1300" w:rsidRDefault="00FB1300" w:rsidP="00FB1300">
      <w:pPr>
        <w:sectPr w:rsidR="00FB1300" w:rsidSect="00FB1300">
          <w:headerReference w:type="even" r:id="rId810"/>
          <w:headerReference w:type="default" r:id="rId811"/>
          <w:footerReference w:type="even" r:id="rId812"/>
          <w:footerReference w:type="default" r:id="rId813"/>
          <w:headerReference w:type="first" r:id="rId814"/>
          <w:footerReference w:type="first" r:id="rId815"/>
          <w:endnotePr>
            <w:numFmt w:val="decimal"/>
          </w:endnotePr>
          <w:type w:val="oddPage"/>
          <w:pgSz w:w="11907" w:h="16839"/>
          <w:pgMar w:top="2693" w:right="1701" w:bottom="1417" w:left="1701" w:header="709" w:footer="1191" w:gutter="0"/>
          <w:cols w:space="708"/>
          <w:titlePg/>
          <w:docGrid w:linePitch="360"/>
        </w:sectPr>
      </w:pPr>
    </w:p>
    <w:bookmarkStart w:id="385" w:name="GUID37409A5E6FE44FAFA4FD42E3DDC2D318"/>
    <w:p w14:paraId="7356DCCD"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86" w:name="_Toc511664503"/>
      <w:r w:rsidRPr="009F3ED8">
        <w:rPr>
          <w:vanish w:val="0"/>
        </w:rPr>
        <w:instrText>1.</w:instrText>
      </w:r>
      <w:r w:rsidRPr="009F3ED8">
        <w:rPr>
          <w:vanish w:val="0"/>
        </w:rPr>
        <w:tab/>
        <w:instrText>Abbreviations and symbols used</w:instrText>
      </w:r>
      <w:bookmarkEnd w:id="386"/>
      <w:r w:rsidRPr="009F3ED8">
        <w:rPr>
          <w:vanish w:val="0"/>
        </w:rPr>
        <w:instrText xml:space="preserve">" \f \l 2 </w:instrText>
      </w:r>
      <w:r w:rsidRPr="009F3ED8">
        <w:fldChar w:fldCharType="end"/>
      </w:r>
    </w:p>
    <w:p w14:paraId="66619982" w14:textId="77777777" w:rsidR="00FB1300" w:rsidRPr="00B14DE0" w:rsidRDefault="00FB1300" w:rsidP="00460C69">
      <w:pPr>
        <w:pStyle w:val="Heading"/>
      </w:pPr>
      <w:r w:rsidRPr="00B14DE0">
        <w:t>Member States, other countries and country aggregates</w:t>
      </w:r>
    </w:p>
    <w:p w14:paraId="494B05F0" w14:textId="77777777" w:rsidR="00FB1300" w:rsidRPr="00B14DE0" w:rsidRDefault="00FB1300" w:rsidP="00460C69">
      <w:r w:rsidRPr="00B14DE0">
        <w:t xml:space="preserve">BE </w:t>
      </w:r>
      <w:r w:rsidRPr="00B14DE0">
        <w:tab/>
      </w:r>
      <w:r w:rsidRPr="00B14DE0">
        <w:tab/>
      </w:r>
      <w:r w:rsidRPr="00B14DE0">
        <w:tab/>
      </w:r>
      <w:smartTag w:uri="urn:schemas-microsoft-com:office:smarttags" w:element="place">
        <w:smartTag w:uri="urn:schemas-microsoft-com:office:smarttags" w:element="country-region">
          <w:r w:rsidRPr="00B14DE0">
            <w:t>Belgium</w:t>
          </w:r>
        </w:smartTag>
      </w:smartTag>
    </w:p>
    <w:p w14:paraId="5E2FAFBD" w14:textId="77777777" w:rsidR="00FB1300" w:rsidRPr="00B14DE0" w:rsidRDefault="00FB1300" w:rsidP="00460C69">
      <w:r w:rsidRPr="00B14DE0">
        <w:t xml:space="preserve">BG </w:t>
      </w:r>
      <w:r w:rsidRPr="00B14DE0">
        <w:tab/>
      </w:r>
      <w:r w:rsidRPr="00B14DE0">
        <w:tab/>
      </w:r>
      <w:r w:rsidRPr="00B14DE0">
        <w:tab/>
      </w:r>
      <w:smartTag w:uri="urn:schemas-microsoft-com:office:smarttags" w:element="place">
        <w:smartTag w:uri="urn:schemas-microsoft-com:office:smarttags" w:element="country-region">
          <w:r w:rsidRPr="00B14DE0">
            <w:t>Bulgaria</w:t>
          </w:r>
        </w:smartTag>
      </w:smartTag>
    </w:p>
    <w:p w14:paraId="6675C08C" w14:textId="77777777" w:rsidR="00FB1300" w:rsidRPr="00B14DE0" w:rsidRDefault="00FB1300" w:rsidP="00460C69">
      <w:r w:rsidRPr="00B14DE0">
        <w:t xml:space="preserve">CZ </w:t>
      </w:r>
      <w:r w:rsidRPr="00B14DE0">
        <w:tab/>
      </w:r>
      <w:r w:rsidRPr="00B14DE0">
        <w:tab/>
      </w:r>
      <w:r w:rsidRPr="00B14DE0">
        <w:tab/>
        <w:t>Czech Republic</w:t>
      </w:r>
    </w:p>
    <w:p w14:paraId="4E68A15C" w14:textId="77777777" w:rsidR="00FB1300" w:rsidRPr="00B14DE0" w:rsidRDefault="00FB1300" w:rsidP="00460C69">
      <w:r w:rsidRPr="00B14DE0">
        <w:t xml:space="preserve">DK </w:t>
      </w:r>
      <w:r w:rsidRPr="00B14DE0">
        <w:tab/>
      </w:r>
      <w:r w:rsidRPr="00B14DE0">
        <w:tab/>
      </w:r>
      <w:r w:rsidRPr="00B14DE0">
        <w:tab/>
      </w:r>
      <w:smartTag w:uri="urn:schemas-microsoft-com:office:smarttags" w:element="place">
        <w:smartTag w:uri="urn:schemas-microsoft-com:office:smarttags" w:element="country-region">
          <w:r w:rsidRPr="00B14DE0">
            <w:t>Denmark</w:t>
          </w:r>
        </w:smartTag>
      </w:smartTag>
    </w:p>
    <w:p w14:paraId="1F0332D8" w14:textId="77777777" w:rsidR="00FB1300" w:rsidRPr="00B14DE0" w:rsidRDefault="00FB1300" w:rsidP="00460C69">
      <w:r w:rsidRPr="00B14DE0">
        <w:t xml:space="preserve">DE </w:t>
      </w:r>
      <w:r w:rsidRPr="00B14DE0">
        <w:tab/>
      </w:r>
      <w:r w:rsidRPr="00B14DE0">
        <w:tab/>
      </w:r>
      <w:r w:rsidRPr="00B14DE0">
        <w:tab/>
      </w:r>
      <w:smartTag w:uri="urn:schemas-microsoft-com:office:smarttags" w:element="place">
        <w:smartTag w:uri="urn:schemas-microsoft-com:office:smarttags" w:element="country-region">
          <w:r w:rsidRPr="00B14DE0">
            <w:t>Germany</w:t>
          </w:r>
        </w:smartTag>
      </w:smartTag>
    </w:p>
    <w:p w14:paraId="58C25BF0" w14:textId="77777777" w:rsidR="00FB1300" w:rsidRPr="00B14DE0" w:rsidRDefault="00FB1300" w:rsidP="00460C69">
      <w:r w:rsidRPr="00B14DE0">
        <w:t>EE</w:t>
      </w:r>
      <w:r w:rsidRPr="00B14DE0">
        <w:tab/>
      </w:r>
      <w:r w:rsidRPr="00B14DE0">
        <w:tab/>
      </w:r>
      <w:r w:rsidRPr="00B14DE0">
        <w:tab/>
      </w:r>
      <w:smartTag w:uri="urn:schemas-microsoft-com:office:smarttags" w:element="place">
        <w:smartTag w:uri="urn:schemas-microsoft-com:office:smarttags" w:element="country-region">
          <w:r w:rsidRPr="00B14DE0">
            <w:t>Estonia</w:t>
          </w:r>
        </w:smartTag>
      </w:smartTag>
    </w:p>
    <w:p w14:paraId="334DED5D" w14:textId="77777777" w:rsidR="00FB1300" w:rsidRPr="00B14DE0" w:rsidRDefault="00FB1300" w:rsidP="00460C69">
      <w:r w:rsidRPr="00B14DE0">
        <w:t xml:space="preserve">EI </w:t>
      </w:r>
      <w:r w:rsidRPr="00B14DE0">
        <w:tab/>
      </w:r>
      <w:r w:rsidRPr="00B14DE0">
        <w:tab/>
      </w:r>
      <w:r w:rsidRPr="00B14DE0">
        <w:tab/>
      </w:r>
      <w:smartTag w:uri="urn:schemas-microsoft-com:office:smarttags" w:element="place">
        <w:smartTag w:uri="urn:schemas-microsoft-com:office:smarttags" w:element="country-region">
          <w:r w:rsidRPr="00B14DE0">
            <w:t>Ireland</w:t>
          </w:r>
        </w:smartTag>
      </w:smartTag>
    </w:p>
    <w:p w14:paraId="4F97E732" w14:textId="77777777" w:rsidR="00FB1300" w:rsidRPr="00B14DE0" w:rsidRDefault="00FB1300" w:rsidP="00460C69">
      <w:r w:rsidRPr="00B14DE0">
        <w:t xml:space="preserve">EL </w:t>
      </w:r>
      <w:r w:rsidRPr="00B14DE0">
        <w:tab/>
      </w:r>
      <w:r w:rsidRPr="00B14DE0">
        <w:tab/>
      </w:r>
      <w:r w:rsidRPr="00B14DE0">
        <w:tab/>
      </w:r>
      <w:smartTag w:uri="urn:schemas-microsoft-com:office:smarttags" w:element="place">
        <w:smartTag w:uri="urn:schemas-microsoft-com:office:smarttags" w:element="country-region">
          <w:r w:rsidRPr="00B14DE0">
            <w:t>Greece</w:t>
          </w:r>
        </w:smartTag>
      </w:smartTag>
    </w:p>
    <w:p w14:paraId="118D3DE9" w14:textId="77777777" w:rsidR="00FB1300" w:rsidRPr="00B14DE0" w:rsidRDefault="00FB1300" w:rsidP="00460C69">
      <w:r w:rsidRPr="00B14DE0">
        <w:t xml:space="preserve">ES </w:t>
      </w:r>
      <w:r w:rsidRPr="00B14DE0">
        <w:tab/>
      </w:r>
      <w:r w:rsidRPr="00B14DE0">
        <w:tab/>
      </w:r>
      <w:r w:rsidRPr="00B14DE0">
        <w:tab/>
      </w:r>
      <w:smartTag w:uri="urn:schemas-microsoft-com:office:smarttags" w:element="place">
        <w:smartTag w:uri="urn:schemas-microsoft-com:office:smarttags" w:element="country-region">
          <w:r w:rsidRPr="00B14DE0">
            <w:t>Spain</w:t>
          </w:r>
        </w:smartTag>
      </w:smartTag>
    </w:p>
    <w:p w14:paraId="728CD7D4" w14:textId="77777777" w:rsidR="00FB1300" w:rsidRPr="00B14DE0" w:rsidRDefault="00FB1300" w:rsidP="00460C69">
      <w:r w:rsidRPr="00B14DE0">
        <w:t xml:space="preserve">FR </w:t>
      </w:r>
      <w:r w:rsidRPr="00B14DE0">
        <w:tab/>
      </w:r>
      <w:r w:rsidRPr="00B14DE0">
        <w:tab/>
      </w:r>
      <w:r w:rsidRPr="00B14DE0">
        <w:tab/>
      </w:r>
      <w:smartTag w:uri="urn:schemas-microsoft-com:office:smarttags" w:element="place">
        <w:smartTag w:uri="urn:schemas-microsoft-com:office:smarttags" w:element="country-region">
          <w:r w:rsidRPr="00B14DE0">
            <w:t>France</w:t>
          </w:r>
        </w:smartTag>
      </w:smartTag>
    </w:p>
    <w:p w14:paraId="2040C519" w14:textId="77777777" w:rsidR="00FB1300" w:rsidRPr="00B14DE0" w:rsidRDefault="00FB1300" w:rsidP="00460C69">
      <w:r w:rsidRPr="00B14DE0">
        <w:t>HR</w:t>
      </w:r>
      <w:r w:rsidRPr="00B14DE0">
        <w:tab/>
      </w:r>
      <w:r w:rsidRPr="00B14DE0">
        <w:tab/>
      </w:r>
      <w:r w:rsidRPr="00B14DE0">
        <w:tab/>
        <w:t>Croatia</w:t>
      </w:r>
    </w:p>
    <w:p w14:paraId="6FD604E7" w14:textId="77777777" w:rsidR="00FB1300" w:rsidRPr="00B14DE0" w:rsidRDefault="00FB1300" w:rsidP="00460C69">
      <w:r w:rsidRPr="00B14DE0">
        <w:t xml:space="preserve">IT </w:t>
      </w:r>
      <w:r w:rsidRPr="00B14DE0">
        <w:tab/>
      </w:r>
      <w:r w:rsidRPr="00B14DE0">
        <w:tab/>
      </w:r>
      <w:r w:rsidRPr="00B14DE0">
        <w:tab/>
        <w:t>Italy</w:t>
      </w:r>
    </w:p>
    <w:p w14:paraId="0087144C" w14:textId="77777777" w:rsidR="00FB1300" w:rsidRPr="00B14DE0" w:rsidRDefault="00FB1300" w:rsidP="00460C69">
      <w:r w:rsidRPr="00B14DE0">
        <w:t xml:space="preserve">CY </w:t>
      </w:r>
      <w:r w:rsidRPr="00B14DE0">
        <w:tab/>
      </w:r>
      <w:r w:rsidRPr="00B14DE0">
        <w:tab/>
      </w:r>
      <w:r w:rsidRPr="00B14DE0">
        <w:tab/>
      </w:r>
      <w:smartTag w:uri="urn:schemas-microsoft-com:office:smarttags" w:element="place">
        <w:smartTag w:uri="urn:schemas-microsoft-com:office:smarttags" w:element="country-region">
          <w:r w:rsidRPr="00B14DE0">
            <w:t>Cyprus</w:t>
          </w:r>
        </w:smartTag>
      </w:smartTag>
    </w:p>
    <w:p w14:paraId="59225D2F" w14:textId="77777777" w:rsidR="00FB1300" w:rsidRPr="00B14DE0" w:rsidRDefault="00FB1300" w:rsidP="00460C69">
      <w:smartTag w:uri="urn:schemas-microsoft-com:office:smarttags" w:element="City">
        <w:r w:rsidRPr="00B14DE0">
          <w:t>LV</w:t>
        </w:r>
      </w:smartTag>
      <w:r w:rsidRPr="00B14DE0">
        <w:t xml:space="preserve"> </w:t>
      </w:r>
      <w:r w:rsidRPr="00B14DE0">
        <w:tab/>
      </w:r>
      <w:r w:rsidRPr="00B14DE0">
        <w:tab/>
      </w:r>
      <w:r w:rsidRPr="00B14DE0">
        <w:tab/>
      </w:r>
      <w:smartTag w:uri="urn:schemas-microsoft-com:office:smarttags" w:element="place">
        <w:smartTag w:uri="urn:schemas-microsoft-com:office:smarttags" w:element="country-region">
          <w:r w:rsidRPr="00B14DE0">
            <w:t>Latvia</w:t>
          </w:r>
        </w:smartTag>
      </w:smartTag>
    </w:p>
    <w:p w14:paraId="165DA90C" w14:textId="77777777" w:rsidR="00FB1300" w:rsidRPr="00B14DE0" w:rsidRDefault="00FB1300" w:rsidP="00460C69">
      <w:r w:rsidRPr="00B14DE0">
        <w:t xml:space="preserve">LT </w:t>
      </w:r>
      <w:r w:rsidRPr="00B14DE0">
        <w:tab/>
      </w:r>
      <w:r w:rsidRPr="00B14DE0">
        <w:tab/>
      </w:r>
      <w:r w:rsidRPr="00B14DE0">
        <w:tab/>
      </w:r>
      <w:smartTag w:uri="urn:schemas-microsoft-com:office:smarttags" w:element="place">
        <w:smartTag w:uri="urn:schemas-microsoft-com:office:smarttags" w:element="country-region">
          <w:r w:rsidRPr="00B14DE0">
            <w:t>Lithuania</w:t>
          </w:r>
        </w:smartTag>
      </w:smartTag>
    </w:p>
    <w:p w14:paraId="222AEF8D" w14:textId="77777777" w:rsidR="00FB1300" w:rsidRPr="00B14DE0" w:rsidRDefault="00FB1300" w:rsidP="00460C69">
      <w:r w:rsidRPr="00B14DE0">
        <w:t xml:space="preserve">LU </w:t>
      </w:r>
      <w:r w:rsidRPr="00B14DE0">
        <w:tab/>
      </w:r>
      <w:r w:rsidRPr="00B14DE0">
        <w:tab/>
      </w:r>
      <w:r w:rsidRPr="00B14DE0">
        <w:tab/>
      </w:r>
      <w:smartTag w:uri="urn:schemas-microsoft-com:office:smarttags" w:element="place">
        <w:smartTag w:uri="urn:schemas-microsoft-com:office:smarttags" w:element="country-region">
          <w:r w:rsidRPr="00B14DE0">
            <w:t>Luxembourg</w:t>
          </w:r>
        </w:smartTag>
      </w:smartTag>
    </w:p>
    <w:p w14:paraId="6434C4EB" w14:textId="77777777" w:rsidR="00FB1300" w:rsidRPr="00B14DE0" w:rsidRDefault="00FB1300" w:rsidP="00460C69">
      <w:r w:rsidRPr="00B14DE0">
        <w:t xml:space="preserve">HU </w:t>
      </w:r>
      <w:r w:rsidRPr="00B14DE0">
        <w:tab/>
      </w:r>
      <w:r w:rsidRPr="00B14DE0">
        <w:tab/>
      </w:r>
      <w:r w:rsidRPr="00B14DE0">
        <w:tab/>
      </w:r>
      <w:smartTag w:uri="urn:schemas-microsoft-com:office:smarttags" w:element="place">
        <w:smartTag w:uri="urn:schemas-microsoft-com:office:smarttags" w:element="country-region">
          <w:r w:rsidRPr="00B14DE0">
            <w:t>Hungary</w:t>
          </w:r>
        </w:smartTag>
      </w:smartTag>
    </w:p>
    <w:p w14:paraId="57735D43" w14:textId="77777777" w:rsidR="00FB1300" w:rsidRPr="00B14DE0" w:rsidRDefault="00FB1300" w:rsidP="00460C69">
      <w:r w:rsidRPr="00B14DE0">
        <w:t xml:space="preserve">MT </w:t>
      </w:r>
      <w:r w:rsidRPr="00B14DE0">
        <w:tab/>
      </w:r>
      <w:r w:rsidRPr="00B14DE0">
        <w:tab/>
      </w:r>
      <w:r w:rsidRPr="00B14DE0">
        <w:tab/>
      </w:r>
      <w:smartTag w:uri="urn:schemas-microsoft-com:office:smarttags" w:element="place">
        <w:smartTag w:uri="urn:schemas-microsoft-com:office:smarttags" w:element="country-region">
          <w:r w:rsidRPr="00B14DE0">
            <w:t>Malta</w:t>
          </w:r>
        </w:smartTag>
      </w:smartTag>
    </w:p>
    <w:p w14:paraId="7FCDB0C6" w14:textId="77777777" w:rsidR="00FB1300" w:rsidRPr="00B14DE0" w:rsidRDefault="00FB1300" w:rsidP="00460C69">
      <w:r w:rsidRPr="00B14DE0">
        <w:t xml:space="preserve">NL </w:t>
      </w:r>
      <w:r w:rsidRPr="00B14DE0">
        <w:tab/>
      </w:r>
      <w:r w:rsidRPr="00B14DE0">
        <w:tab/>
      </w:r>
      <w:r w:rsidRPr="00B14DE0">
        <w:tab/>
        <w:t>Netherlands</w:t>
      </w:r>
    </w:p>
    <w:p w14:paraId="1103892E" w14:textId="77777777" w:rsidR="00FB1300" w:rsidRPr="00B14DE0" w:rsidRDefault="00FB1300" w:rsidP="00460C69">
      <w:r w:rsidRPr="00B14DE0">
        <w:t xml:space="preserve">AT </w:t>
      </w:r>
      <w:r w:rsidRPr="00B14DE0">
        <w:tab/>
      </w:r>
      <w:r w:rsidRPr="00B14DE0">
        <w:tab/>
      </w:r>
      <w:r w:rsidRPr="00B14DE0">
        <w:tab/>
        <w:t>Austria</w:t>
      </w:r>
    </w:p>
    <w:p w14:paraId="4FB256E4" w14:textId="77777777" w:rsidR="00FB1300" w:rsidRPr="00B14DE0" w:rsidRDefault="00FB1300" w:rsidP="00460C69">
      <w:r w:rsidRPr="00B14DE0">
        <w:t xml:space="preserve">PL </w:t>
      </w:r>
      <w:r w:rsidRPr="00B14DE0">
        <w:tab/>
      </w:r>
      <w:r w:rsidRPr="00B14DE0">
        <w:tab/>
      </w:r>
      <w:r w:rsidRPr="00B14DE0">
        <w:tab/>
        <w:t>Poland</w:t>
      </w:r>
    </w:p>
    <w:p w14:paraId="07BC56FA" w14:textId="77777777" w:rsidR="00FB1300" w:rsidRPr="00B14DE0" w:rsidRDefault="00FB1300" w:rsidP="00460C69">
      <w:r w:rsidRPr="00B14DE0">
        <w:t xml:space="preserve">PT </w:t>
      </w:r>
      <w:r w:rsidRPr="00B14DE0">
        <w:tab/>
      </w:r>
      <w:r w:rsidRPr="00B14DE0">
        <w:tab/>
      </w:r>
      <w:r w:rsidRPr="00B14DE0">
        <w:tab/>
        <w:t>Portugal</w:t>
      </w:r>
    </w:p>
    <w:p w14:paraId="5F6168BE" w14:textId="77777777" w:rsidR="00FB1300" w:rsidRPr="00B14DE0" w:rsidRDefault="00FB1300" w:rsidP="00460C69">
      <w:r w:rsidRPr="00B14DE0">
        <w:t xml:space="preserve">RO </w:t>
      </w:r>
      <w:r w:rsidRPr="00B14DE0">
        <w:tab/>
      </w:r>
      <w:r w:rsidRPr="00B14DE0">
        <w:tab/>
      </w:r>
      <w:r w:rsidRPr="00B14DE0">
        <w:tab/>
        <w:t>Romania</w:t>
      </w:r>
    </w:p>
    <w:p w14:paraId="36FC3C82" w14:textId="77777777" w:rsidR="00FB1300" w:rsidRPr="00B14DE0" w:rsidRDefault="00FB1300" w:rsidP="00460C69">
      <w:r w:rsidRPr="00B14DE0">
        <w:t xml:space="preserve">SI </w:t>
      </w:r>
      <w:r w:rsidRPr="00B14DE0">
        <w:tab/>
      </w:r>
      <w:r w:rsidRPr="00B14DE0">
        <w:tab/>
      </w:r>
      <w:r w:rsidRPr="00B14DE0">
        <w:tab/>
        <w:t>Slovenia</w:t>
      </w:r>
    </w:p>
    <w:p w14:paraId="05AA07E5" w14:textId="77777777" w:rsidR="00FB1300" w:rsidRPr="00B14DE0" w:rsidRDefault="00FB1300" w:rsidP="00460C69">
      <w:r w:rsidRPr="00B14DE0">
        <w:t xml:space="preserve">SK </w:t>
      </w:r>
      <w:r w:rsidRPr="00B14DE0">
        <w:tab/>
      </w:r>
      <w:r w:rsidRPr="00B14DE0">
        <w:tab/>
      </w:r>
      <w:r w:rsidRPr="00B14DE0">
        <w:tab/>
        <w:t>Slovak Republic</w:t>
      </w:r>
    </w:p>
    <w:p w14:paraId="66FD864D" w14:textId="77777777" w:rsidR="00FB1300" w:rsidRPr="00B14DE0" w:rsidRDefault="00FB1300" w:rsidP="00460C69">
      <w:r w:rsidRPr="00B14DE0">
        <w:lastRenderedPageBreak/>
        <w:t xml:space="preserve">FI </w:t>
      </w:r>
      <w:r w:rsidRPr="00B14DE0">
        <w:tab/>
      </w:r>
      <w:r w:rsidRPr="00B14DE0">
        <w:tab/>
      </w:r>
      <w:r w:rsidRPr="00B14DE0">
        <w:tab/>
        <w:t>Finland</w:t>
      </w:r>
    </w:p>
    <w:p w14:paraId="271614F6" w14:textId="77777777" w:rsidR="00FB1300" w:rsidRPr="00B14DE0" w:rsidRDefault="00FB1300" w:rsidP="00460C69">
      <w:r w:rsidRPr="00B14DE0">
        <w:t xml:space="preserve">SE </w:t>
      </w:r>
      <w:r w:rsidRPr="00B14DE0">
        <w:tab/>
      </w:r>
      <w:r w:rsidRPr="00B14DE0">
        <w:tab/>
      </w:r>
      <w:r w:rsidRPr="00B14DE0">
        <w:tab/>
        <w:t>Sweden</w:t>
      </w:r>
    </w:p>
    <w:p w14:paraId="152EE4CE" w14:textId="77777777" w:rsidR="00FB1300" w:rsidRPr="00B14DE0" w:rsidRDefault="00FB1300" w:rsidP="00460C69">
      <w:r w:rsidRPr="00B14DE0">
        <w:t xml:space="preserve">UK </w:t>
      </w:r>
      <w:r w:rsidRPr="00B14DE0">
        <w:tab/>
      </w:r>
      <w:r w:rsidRPr="00B14DE0">
        <w:tab/>
      </w:r>
      <w:r w:rsidRPr="00B14DE0">
        <w:tab/>
        <w:t>United Kingdom</w:t>
      </w:r>
    </w:p>
    <w:p w14:paraId="430C7898" w14:textId="77777777" w:rsidR="00FB1300" w:rsidRPr="00B14DE0" w:rsidRDefault="00FB1300" w:rsidP="00460C69">
      <w:r w:rsidRPr="00B14DE0">
        <w:t>NO</w:t>
      </w:r>
      <w:r w:rsidRPr="00B14DE0">
        <w:tab/>
      </w:r>
      <w:r w:rsidRPr="00B14DE0">
        <w:tab/>
      </w:r>
      <w:r w:rsidRPr="00B14DE0">
        <w:tab/>
        <w:t>Norway</w:t>
      </w:r>
    </w:p>
    <w:p w14:paraId="507B3D2E" w14:textId="77777777" w:rsidR="00FB1300" w:rsidRPr="00B14DE0" w:rsidRDefault="00FB1300" w:rsidP="00460C69">
      <w:r w:rsidRPr="00B14DE0">
        <w:t xml:space="preserve">EA </w:t>
      </w:r>
      <w:r w:rsidRPr="00B14DE0">
        <w:tab/>
      </w:r>
      <w:r w:rsidRPr="00B14DE0">
        <w:tab/>
      </w:r>
      <w:r w:rsidRPr="00B14DE0">
        <w:tab/>
        <w:t>Euro area</w:t>
      </w:r>
    </w:p>
    <w:p w14:paraId="22E6DF03" w14:textId="77777777" w:rsidR="00FB1300" w:rsidRPr="00B14DE0" w:rsidRDefault="00FB1300" w:rsidP="00460C69">
      <w:r w:rsidRPr="00B14DE0">
        <w:t xml:space="preserve">EU27 </w:t>
      </w:r>
      <w:r w:rsidRPr="00B14DE0">
        <w:tab/>
      </w:r>
      <w:r w:rsidRPr="00B14DE0">
        <w:tab/>
      </w:r>
      <w:r w:rsidRPr="00B14DE0">
        <w:tab/>
        <w:t>European Union, All EU Member States except the UK</w:t>
      </w:r>
    </w:p>
    <w:p w14:paraId="0E062CA4" w14:textId="77777777" w:rsidR="00FB1300" w:rsidRPr="00B14DE0" w:rsidRDefault="00FB1300" w:rsidP="00460C69">
      <w:r w:rsidRPr="00B14DE0">
        <w:t xml:space="preserve">EU* </w:t>
      </w:r>
      <w:r w:rsidRPr="00B14DE0">
        <w:tab/>
      </w:r>
      <w:r w:rsidRPr="00B14DE0">
        <w:tab/>
      </w:r>
      <w:r w:rsidRPr="00B14DE0">
        <w:tab/>
        <w:t>European Union, 28 Member States</w:t>
      </w:r>
    </w:p>
    <w:p w14:paraId="1DEB4C0C" w14:textId="77777777" w:rsidR="00FB1300" w:rsidRPr="00B14DE0" w:rsidRDefault="00FB1300" w:rsidP="00460C69">
      <w:r w:rsidRPr="00B14DE0">
        <w:t xml:space="preserve">EU15 </w:t>
      </w:r>
      <w:r w:rsidRPr="00B14DE0">
        <w:tab/>
      </w:r>
      <w:r w:rsidRPr="00B14DE0">
        <w:tab/>
      </w:r>
      <w:r w:rsidRPr="00B14DE0">
        <w:tab/>
        <w:t>European Union, 15 Member States before 1 May 2004</w:t>
      </w:r>
    </w:p>
    <w:p w14:paraId="66D1323D" w14:textId="77777777" w:rsidR="00FB1300" w:rsidRPr="00B14DE0" w:rsidRDefault="00FB1300" w:rsidP="00460C69">
      <w:r w:rsidRPr="00B14DE0">
        <w:t xml:space="preserve">NMS </w:t>
      </w:r>
      <w:r w:rsidRPr="00B14DE0">
        <w:tab/>
      </w:r>
      <w:r w:rsidRPr="00B14DE0">
        <w:tab/>
      </w:r>
      <w:r w:rsidRPr="00B14DE0">
        <w:tab/>
        <w:t xml:space="preserve">European Union, 13 Member States that joined the EU on and after 1 May </w:t>
      </w:r>
    </w:p>
    <w:p w14:paraId="02812BC0" w14:textId="77777777" w:rsidR="00FB1300" w:rsidRPr="00B14DE0" w:rsidRDefault="00FB1300" w:rsidP="00460C69">
      <w:r w:rsidRPr="00B14DE0">
        <w:t xml:space="preserve">  </w:t>
      </w:r>
      <w:r w:rsidRPr="00B14DE0">
        <w:tab/>
      </w:r>
      <w:r w:rsidRPr="00B14DE0">
        <w:tab/>
      </w:r>
      <w:r w:rsidRPr="00B14DE0">
        <w:tab/>
        <w:t>2004 (BG, CZ, EE, HR, CY, LV, LT, HU, MT, PL, RO, SI, SK)</w:t>
      </w:r>
    </w:p>
    <w:p w14:paraId="30781335" w14:textId="77777777" w:rsidR="00FB1300" w:rsidRPr="00B14DE0" w:rsidRDefault="00FB1300" w:rsidP="00460C69">
      <w:pPr>
        <w:pStyle w:val="Heading"/>
      </w:pPr>
      <w:r w:rsidRPr="00B14DE0">
        <w:t>Other abbreviations</w:t>
      </w:r>
    </w:p>
    <w:p w14:paraId="0985A36A" w14:textId="77777777" w:rsidR="00FB1300" w:rsidRPr="00B14DE0" w:rsidRDefault="00FB1300" w:rsidP="00460C69">
      <w:r w:rsidRPr="00B14DE0">
        <w:t>2009 AR</w:t>
      </w:r>
      <w:r w:rsidRPr="00B14DE0">
        <w:tab/>
      </w:r>
      <w:r w:rsidRPr="00B14DE0">
        <w:tab/>
        <w:t>2009 Ageing Report</w:t>
      </w:r>
    </w:p>
    <w:p w14:paraId="66DAC4BD" w14:textId="77777777" w:rsidR="00FB1300" w:rsidRPr="00B14DE0" w:rsidRDefault="00FB1300" w:rsidP="00460C69">
      <w:r w:rsidRPr="00B14DE0">
        <w:t>2012 AR</w:t>
      </w:r>
      <w:r w:rsidRPr="00B14DE0">
        <w:tab/>
      </w:r>
      <w:r w:rsidRPr="00B14DE0">
        <w:tab/>
        <w:t>2012 Ageing Report</w:t>
      </w:r>
    </w:p>
    <w:p w14:paraId="71BA7F71" w14:textId="77777777" w:rsidR="00FB1300" w:rsidRPr="00B14DE0" w:rsidRDefault="00FB1300" w:rsidP="00460C69">
      <w:r w:rsidRPr="00B14DE0">
        <w:t>2015 AR</w:t>
      </w:r>
      <w:r w:rsidRPr="00B14DE0">
        <w:tab/>
      </w:r>
      <w:r w:rsidRPr="00B14DE0">
        <w:tab/>
        <w:t>2015 Ageing Report</w:t>
      </w:r>
    </w:p>
    <w:p w14:paraId="1AB80AC3" w14:textId="77777777" w:rsidR="00FB1300" w:rsidRPr="00B14DE0" w:rsidRDefault="00FB1300" w:rsidP="00460C69">
      <w:r w:rsidRPr="00B14DE0">
        <w:t>ADL</w:t>
      </w:r>
      <w:r w:rsidRPr="00B14DE0">
        <w:tab/>
      </w:r>
      <w:r w:rsidRPr="00B14DE0">
        <w:tab/>
      </w:r>
      <w:r w:rsidRPr="00B14DE0">
        <w:tab/>
        <w:t>Activity of daily living</w:t>
      </w:r>
    </w:p>
    <w:p w14:paraId="2181A64B" w14:textId="77777777" w:rsidR="00FB1300" w:rsidRPr="00B14DE0" w:rsidRDefault="00FB1300" w:rsidP="00460C69">
      <w:r w:rsidRPr="00B14DE0">
        <w:t xml:space="preserve">AGIRC </w:t>
      </w:r>
      <w:r w:rsidRPr="00B14DE0">
        <w:tab/>
      </w:r>
      <w:r w:rsidRPr="00B14DE0">
        <w:tab/>
      </w:r>
      <w:r w:rsidRPr="00B14DE0">
        <w:tab/>
        <w:t>Association générale des institutions de retraite des cadres</w:t>
      </w:r>
    </w:p>
    <w:p w14:paraId="05D561B8" w14:textId="77777777" w:rsidR="00FB1300" w:rsidRPr="00B14DE0" w:rsidRDefault="00FB1300" w:rsidP="00460C69">
      <w:r w:rsidRPr="00B14DE0">
        <w:t xml:space="preserve">AMECO </w:t>
      </w:r>
      <w:r w:rsidRPr="00B14DE0">
        <w:tab/>
      </w:r>
      <w:r w:rsidRPr="00B14DE0">
        <w:tab/>
        <w:t>Macro-economic database of the European Commission</w:t>
      </w:r>
    </w:p>
    <w:p w14:paraId="6612747B" w14:textId="77777777" w:rsidR="00FB1300" w:rsidRPr="00B14DE0" w:rsidRDefault="00FB1300" w:rsidP="00460C69">
      <w:r w:rsidRPr="00B14DE0">
        <w:t xml:space="preserve">ARRCO </w:t>
      </w:r>
      <w:r w:rsidRPr="00B14DE0">
        <w:tab/>
      </w:r>
      <w:r w:rsidRPr="00B14DE0">
        <w:tab/>
        <w:t>Association pour le régime de retraite complémentaire des salariés</w:t>
      </w:r>
    </w:p>
    <w:p w14:paraId="6D0B8C11" w14:textId="77777777" w:rsidR="00FB1300" w:rsidRPr="00B14DE0" w:rsidRDefault="00FB1300" w:rsidP="00460C69">
      <w:r w:rsidRPr="00B14DE0">
        <w:t>AWG</w:t>
      </w:r>
      <w:r w:rsidRPr="00B14DE0">
        <w:tab/>
      </w:r>
      <w:r w:rsidRPr="00B14DE0">
        <w:tab/>
      </w:r>
      <w:r w:rsidRPr="00B14DE0">
        <w:tab/>
        <w:t>Ageing Working Group</w:t>
      </w:r>
    </w:p>
    <w:p w14:paraId="6F094BE7" w14:textId="77777777" w:rsidR="00FB1300" w:rsidRPr="00B14DE0" w:rsidRDefault="00FB1300" w:rsidP="00460C69">
      <w:r w:rsidRPr="00B14DE0">
        <w:t xml:space="preserve">CNAVTS </w:t>
      </w:r>
      <w:r w:rsidRPr="00B14DE0">
        <w:tab/>
      </w:r>
      <w:r w:rsidRPr="00B14DE0">
        <w:tab/>
        <w:t>Caisse nationale de l'assurance vieillesse des travailleurs salaries</w:t>
      </w:r>
    </w:p>
    <w:p w14:paraId="52B1D421" w14:textId="77777777" w:rsidR="00FB1300" w:rsidRPr="00B14DE0" w:rsidRDefault="00FB1300" w:rsidP="00460C69">
      <w:r w:rsidRPr="00B14DE0">
        <w:t xml:space="preserve">COFOG </w:t>
      </w:r>
      <w:r w:rsidRPr="00B14DE0">
        <w:tab/>
      </w:r>
      <w:r w:rsidRPr="00B14DE0">
        <w:tab/>
        <w:t>Classification of the functions of government</w:t>
      </w:r>
    </w:p>
    <w:p w14:paraId="0B23CF88" w14:textId="77777777" w:rsidR="00FB1300" w:rsidRPr="00B14DE0" w:rsidRDefault="00FB1300" w:rsidP="00460C69">
      <w:r w:rsidRPr="00B14DE0">
        <w:t>COM</w:t>
      </w:r>
      <w:r w:rsidRPr="00B14DE0">
        <w:tab/>
      </w:r>
      <w:r w:rsidRPr="00B14DE0">
        <w:tab/>
      </w:r>
      <w:r w:rsidRPr="00B14DE0">
        <w:tab/>
        <w:t>Commission</w:t>
      </w:r>
    </w:p>
    <w:p w14:paraId="77DD4A34" w14:textId="77777777" w:rsidR="00FB1300" w:rsidRPr="00B14DE0" w:rsidRDefault="00FB1300" w:rsidP="00460C69">
      <w:r w:rsidRPr="00B14DE0">
        <w:t>CPI</w:t>
      </w:r>
      <w:r w:rsidRPr="00B14DE0">
        <w:tab/>
      </w:r>
      <w:r w:rsidRPr="00B14DE0">
        <w:tab/>
      </w:r>
      <w:r w:rsidRPr="00B14DE0">
        <w:tab/>
        <w:t>Consumer price index</w:t>
      </w:r>
    </w:p>
    <w:p w14:paraId="7F7496C3" w14:textId="77777777" w:rsidR="00FB1300" w:rsidRPr="00B14DE0" w:rsidRDefault="00FB1300" w:rsidP="00460C69">
      <w:r w:rsidRPr="00B14DE0">
        <w:t>CSM</w:t>
      </w:r>
      <w:r w:rsidRPr="00B14DE0">
        <w:tab/>
      </w:r>
      <w:r w:rsidRPr="00B14DE0">
        <w:tab/>
      </w:r>
      <w:r w:rsidRPr="00B14DE0">
        <w:tab/>
        <w:t>Cohort Simulation Model/Method</w:t>
      </w:r>
    </w:p>
    <w:p w14:paraId="36C8AA01" w14:textId="77777777" w:rsidR="00FB1300" w:rsidRPr="00B14DE0" w:rsidRDefault="00FB1300" w:rsidP="00460C69">
      <w:r w:rsidRPr="00B14DE0">
        <w:t>DB</w:t>
      </w:r>
      <w:r w:rsidRPr="00B14DE0">
        <w:tab/>
      </w:r>
      <w:r w:rsidRPr="00B14DE0">
        <w:tab/>
      </w:r>
      <w:r w:rsidRPr="00B14DE0">
        <w:tab/>
        <w:t>Defined benefits</w:t>
      </w:r>
    </w:p>
    <w:p w14:paraId="4B2EC93F" w14:textId="77777777" w:rsidR="00FB1300" w:rsidRPr="00B14DE0" w:rsidRDefault="00FB1300" w:rsidP="00460C69">
      <w:r w:rsidRPr="00B14DE0">
        <w:t>DC</w:t>
      </w:r>
      <w:r w:rsidRPr="00B14DE0">
        <w:tab/>
      </w:r>
      <w:r w:rsidRPr="00B14DE0">
        <w:tab/>
      </w:r>
      <w:r w:rsidRPr="00B14DE0">
        <w:tab/>
        <w:t>Defined contributions</w:t>
      </w:r>
    </w:p>
    <w:p w14:paraId="5CEB4A68" w14:textId="77777777" w:rsidR="00FB1300" w:rsidRPr="00B14DE0" w:rsidRDefault="00FB1300" w:rsidP="00460C69">
      <w:r w:rsidRPr="00B14DE0">
        <w:t xml:space="preserve">DG ECFIN </w:t>
      </w:r>
      <w:r w:rsidRPr="00B14DE0">
        <w:tab/>
      </w:r>
      <w:r w:rsidRPr="00B14DE0">
        <w:tab/>
        <w:t>Directorate-General Economic and Financial Affairs</w:t>
      </w:r>
    </w:p>
    <w:p w14:paraId="49924D6D" w14:textId="77777777" w:rsidR="00FB1300" w:rsidRPr="00B14DE0" w:rsidRDefault="00FB1300" w:rsidP="00460C69">
      <w:r w:rsidRPr="00B14DE0">
        <w:lastRenderedPageBreak/>
        <w:t>EC</w:t>
      </w:r>
      <w:r w:rsidRPr="00B14DE0">
        <w:tab/>
      </w:r>
      <w:r w:rsidRPr="00B14DE0">
        <w:tab/>
      </w:r>
      <w:r w:rsidRPr="00B14DE0">
        <w:tab/>
        <w:t>European Commission</w:t>
      </w:r>
    </w:p>
    <w:p w14:paraId="0CB119AE" w14:textId="77777777" w:rsidR="00FB1300" w:rsidRPr="00B14DE0" w:rsidRDefault="00FB1300" w:rsidP="00460C69">
      <w:r w:rsidRPr="00B14DE0">
        <w:t xml:space="preserve">ECB </w:t>
      </w:r>
      <w:r w:rsidRPr="00B14DE0">
        <w:tab/>
      </w:r>
      <w:r w:rsidRPr="00B14DE0">
        <w:tab/>
      </w:r>
      <w:r w:rsidRPr="00B14DE0">
        <w:tab/>
        <w:t>European Central Bank</w:t>
      </w:r>
    </w:p>
    <w:p w14:paraId="0132DBD7" w14:textId="77777777" w:rsidR="00FB1300" w:rsidRPr="00B14DE0" w:rsidRDefault="00FB1300" w:rsidP="00460C69">
      <w:r w:rsidRPr="00B14DE0">
        <w:t xml:space="preserve">ECOFIN </w:t>
      </w:r>
      <w:r w:rsidRPr="00B14DE0">
        <w:tab/>
      </w:r>
      <w:r w:rsidRPr="00B14DE0">
        <w:tab/>
        <w:t>Economic and Financial Council</w:t>
      </w:r>
    </w:p>
    <w:p w14:paraId="1728805A" w14:textId="77777777" w:rsidR="00FB1300" w:rsidRPr="00B14DE0" w:rsidRDefault="00FB1300" w:rsidP="00460C69">
      <w:r w:rsidRPr="00B14DE0">
        <w:t xml:space="preserve">EPC </w:t>
      </w:r>
      <w:r w:rsidRPr="00B14DE0">
        <w:tab/>
      </w:r>
      <w:r w:rsidRPr="00B14DE0">
        <w:tab/>
      </w:r>
      <w:r w:rsidRPr="00B14DE0">
        <w:tab/>
        <w:t>Economic Policy Committee</w:t>
      </w:r>
    </w:p>
    <w:p w14:paraId="07D0CDD9" w14:textId="77777777" w:rsidR="00FB1300" w:rsidRPr="00B14DE0" w:rsidRDefault="00FB1300" w:rsidP="00460C69">
      <w:r w:rsidRPr="00B14DE0">
        <w:t xml:space="preserve">ESA (95) </w:t>
      </w:r>
      <w:r w:rsidRPr="00B14DE0">
        <w:tab/>
      </w:r>
      <w:r w:rsidRPr="00B14DE0">
        <w:tab/>
        <w:t>Old European System of National and Regional Accounts</w:t>
      </w:r>
    </w:p>
    <w:p w14:paraId="7075B1F1" w14:textId="77777777" w:rsidR="00FB1300" w:rsidRPr="00B14DE0" w:rsidRDefault="00FB1300" w:rsidP="00460C69">
      <w:r w:rsidRPr="00B14DE0">
        <w:t>ESA (2010)</w:t>
      </w:r>
      <w:r w:rsidRPr="00B14DE0">
        <w:tab/>
      </w:r>
      <w:r w:rsidRPr="00B14DE0">
        <w:tab/>
        <w:t>New European System of National and Regional Accounts</w:t>
      </w:r>
    </w:p>
    <w:p w14:paraId="6E386445" w14:textId="77777777" w:rsidR="00FB1300" w:rsidRPr="00B14DE0" w:rsidRDefault="00FB1300" w:rsidP="00460C69">
      <w:r w:rsidRPr="00B14DE0">
        <w:t xml:space="preserve">ESSPROS </w:t>
      </w:r>
      <w:r w:rsidRPr="00B14DE0">
        <w:tab/>
      </w:r>
      <w:r w:rsidRPr="00B14DE0">
        <w:tab/>
        <w:t>European System of Integrated Social Protection Statistics</w:t>
      </w:r>
    </w:p>
    <w:p w14:paraId="046B9B17" w14:textId="77777777" w:rsidR="00FB1300" w:rsidRPr="00B14DE0" w:rsidRDefault="00FB1300" w:rsidP="00460C69">
      <w:r w:rsidRPr="00B14DE0">
        <w:t xml:space="preserve">EU KLEMS </w:t>
      </w:r>
      <w:r w:rsidRPr="00B14DE0">
        <w:tab/>
      </w:r>
      <w:r w:rsidRPr="00B14DE0">
        <w:tab/>
        <w:t>European database on capital, labour, energy, material and services</w:t>
      </w:r>
    </w:p>
    <w:p w14:paraId="2F2963C0" w14:textId="77777777" w:rsidR="00FB1300" w:rsidRPr="00B14DE0" w:rsidRDefault="00FB1300" w:rsidP="00460C69">
      <w:r w:rsidRPr="00B14DE0">
        <w:t xml:space="preserve">EUR </w:t>
      </w:r>
      <w:r w:rsidRPr="00B14DE0">
        <w:tab/>
      </w:r>
      <w:r w:rsidRPr="00B14DE0">
        <w:tab/>
      </w:r>
      <w:r w:rsidRPr="00B14DE0">
        <w:tab/>
        <w:t>Euro</w:t>
      </w:r>
    </w:p>
    <w:p w14:paraId="61E47E89" w14:textId="77777777" w:rsidR="00FB1300" w:rsidRPr="00B14DE0" w:rsidRDefault="00FB1300" w:rsidP="00460C69">
      <w:r w:rsidRPr="00B14DE0">
        <w:t>EUROPOP2008</w:t>
      </w:r>
      <w:r w:rsidRPr="00B14DE0">
        <w:tab/>
      </w:r>
      <w:r w:rsidRPr="00B14DE0">
        <w:tab/>
        <w:t>Eurostat demographic projections 2007-2060</w:t>
      </w:r>
    </w:p>
    <w:p w14:paraId="15D73A0B" w14:textId="77777777" w:rsidR="00FB1300" w:rsidRPr="00B14DE0" w:rsidRDefault="00FB1300" w:rsidP="00460C69">
      <w:r w:rsidRPr="00B14DE0">
        <w:t>EUROPOP2010</w:t>
      </w:r>
      <w:r w:rsidRPr="00B14DE0">
        <w:tab/>
      </w:r>
      <w:r w:rsidRPr="00B14DE0">
        <w:tab/>
        <w:t>Eurostat demographic projections 2010-2060</w:t>
      </w:r>
    </w:p>
    <w:p w14:paraId="7CDA7D87" w14:textId="77777777" w:rsidR="00FB1300" w:rsidRPr="00B14DE0" w:rsidRDefault="00FB1300" w:rsidP="00460C69">
      <w:r w:rsidRPr="00B14DE0">
        <w:t>EUROPOP2013</w:t>
      </w:r>
      <w:r w:rsidRPr="00B14DE0">
        <w:tab/>
      </w:r>
      <w:r w:rsidRPr="00B14DE0">
        <w:tab/>
        <w:t>Eurostat demographic projections 2013-2060</w:t>
      </w:r>
    </w:p>
    <w:p w14:paraId="650E9376" w14:textId="77777777" w:rsidR="00FB1300" w:rsidRPr="00B14DE0" w:rsidRDefault="00FB1300" w:rsidP="00460C69">
      <w:r w:rsidRPr="00B14DE0">
        <w:t>EU-SILC</w:t>
      </w:r>
      <w:r w:rsidRPr="00B14DE0">
        <w:tab/>
      </w:r>
      <w:r w:rsidRPr="00B14DE0">
        <w:tab/>
        <w:t>European Union Statistics on Income and Living Conditions</w:t>
      </w:r>
    </w:p>
    <w:p w14:paraId="7B3BF399" w14:textId="77777777" w:rsidR="00FB1300" w:rsidRPr="00B14DE0" w:rsidRDefault="00FB1300" w:rsidP="00460C69">
      <w:r w:rsidRPr="00B14DE0">
        <w:t>FELICIE</w:t>
      </w:r>
      <w:r w:rsidRPr="00B14DE0">
        <w:tab/>
      </w:r>
      <w:r w:rsidRPr="00B14DE0">
        <w:tab/>
        <w:t>Future of Elderly Living Conditions in Europe</w:t>
      </w:r>
    </w:p>
    <w:p w14:paraId="45FD3DB3" w14:textId="77777777" w:rsidR="00FB1300" w:rsidRPr="00B14DE0" w:rsidRDefault="00FB1300" w:rsidP="00460C69">
      <w:r w:rsidRPr="00B14DE0">
        <w:t xml:space="preserve">GDP </w:t>
      </w:r>
      <w:r w:rsidRPr="00B14DE0">
        <w:tab/>
      </w:r>
      <w:r w:rsidRPr="00B14DE0">
        <w:tab/>
      </w:r>
      <w:r w:rsidRPr="00B14DE0">
        <w:tab/>
        <w:t>Gross domestic product</w:t>
      </w:r>
    </w:p>
    <w:p w14:paraId="1F34E574" w14:textId="77777777" w:rsidR="00FB1300" w:rsidRPr="00B14DE0" w:rsidRDefault="00FB1300" w:rsidP="00460C69">
      <w:r w:rsidRPr="00B14DE0">
        <w:t>HC</w:t>
      </w:r>
      <w:r w:rsidRPr="00B14DE0">
        <w:tab/>
      </w:r>
      <w:r w:rsidRPr="00B14DE0">
        <w:tab/>
      </w:r>
      <w:r w:rsidRPr="00B14DE0">
        <w:tab/>
        <w:t>Health care</w:t>
      </w:r>
    </w:p>
    <w:p w14:paraId="4B535C6C" w14:textId="77777777" w:rsidR="00FB1300" w:rsidRPr="00B14DE0" w:rsidRDefault="00FB1300" w:rsidP="00460C69">
      <w:r w:rsidRPr="00B14DE0">
        <w:t>IADL</w:t>
      </w:r>
      <w:r w:rsidRPr="00B14DE0">
        <w:tab/>
      </w:r>
      <w:r w:rsidRPr="00B14DE0">
        <w:tab/>
      </w:r>
      <w:r w:rsidRPr="00B14DE0">
        <w:tab/>
        <w:t>Instrumental activity of daily living</w:t>
      </w:r>
    </w:p>
    <w:p w14:paraId="580D676F" w14:textId="77777777" w:rsidR="00FB1300" w:rsidRPr="00B14DE0" w:rsidRDefault="00FB1300" w:rsidP="00460C69">
      <w:r w:rsidRPr="00B14DE0">
        <w:t>ICT</w:t>
      </w:r>
      <w:r w:rsidRPr="00B14DE0">
        <w:tab/>
      </w:r>
      <w:r w:rsidRPr="00B14DE0">
        <w:tab/>
      </w:r>
      <w:r w:rsidRPr="00B14DE0">
        <w:tab/>
        <w:t>Information and communications technology</w:t>
      </w:r>
    </w:p>
    <w:p w14:paraId="1546031D" w14:textId="77777777" w:rsidR="00FB1300" w:rsidRPr="00B14DE0" w:rsidRDefault="00FB1300" w:rsidP="00460C69">
      <w:r w:rsidRPr="00B14DE0">
        <w:t xml:space="preserve">IMF </w:t>
      </w:r>
      <w:r w:rsidRPr="00B14DE0">
        <w:tab/>
      </w:r>
      <w:r w:rsidRPr="00B14DE0">
        <w:tab/>
      </w:r>
      <w:r w:rsidRPr="00B14DE0">
        <w:tab/>
        <w:t>International Monetary Fund</w:t>
      </w:r>
    </w:p>
    <w:p w14:paraId="39F237B1" w14:textId="77777777" w:rsidR="00FB1300" w:rsidRPr="00B14DE0" w:rsidRDefault="00FB1300" w:rsidP="00460C69">
      <w:r w:rsidRPr="00B14DE0">
        <w:t xml:space="preserve">ISCED </w:t>
      </w:r>
      <w:r w:rsidRPr="00B14DE0">
        <w:tab/>
      </w:r>
      <w:r w:rsidRPr="00B14DE0">
        <w:tab/>
      </w:r>
      <w:r w:rsidRPr="00B14DE0">
        <w:tab/>
        <w:t>International Standard Classification of Education</w:t>
      </w:r>
    </w:p>
    <w:p w14:paraId="1C4F5812" w14:textId="77777777" w:rsidR="00FB1300" w:rsidRPr="00B14DE0" w:rsidRDefault="00FB1300" w:rsidP="00460C69">
      <w:r w:rsidRPr="00B14DE0">
        <w:t xml:space="preserve">LTC </w:t>
      </w:r>
      <w:r w:rsidRPr="00B14DE0">
        <w:tab/>
      </w:r>
      <w:r w:rsidRPr="00B14DE0">
        <w:tab/>
      </w:r>
      <w:r w:rsidRPr="00B14DE0">
        <w:tab/>
        <w:t>Long-term care</w:t>
      </w:r>
    </w:p>
    <w:p w14:paraId="2AF26B0E" w14:textId="77777777" w:rsidR="00FB1300" w:rsidRPr="00B14DE0" w:rsidRDefault="00FB1300" w:rsidP="00460C69">
      <w:r w:rsidRPr="00B14DE0">
        <w:t>MS</w:t>
      </w:r>
      <w:r w:rsidRPr="00B14DE0">
        <w:tab/>
      </w:r>
      <w:r w:rsidRPr="00B14DE0">
        <w:tab/>
      </w:r>
      <w:r w:rsidRPr="00B14DE0">
        <w:tab/>
      </w:r>
      <w:smartTag w:uri="urn:schemas-microsoft-com:office:smarttags" w:element="place">
        <w:smartTag w:uri="urn:schemas-microsoft-com:office:smarttags" w:element="PlaceName">
          <w:r w:rsidRPr="00B14DE0">
            <w:t>Member</w:t>
          </w:r>
        </w:smartTag>
        <w:r w:rsidRPr="00B14DE0">
          <w:t xml:space="preserve"> </w:t>
        </w:r>
        <w:smartTag w:uri="urn:schemas-microsoft-com:office:smarttags" w:element="PlaceType">
          <w:r w:rsidRPr="00B14DE0">
            <w:t>State(s)</w:t>
          </w:r>
        </w:smartTag>
      </w:smartTag>
    </w:p>
    <w:p w14:paraId="3101BAA0" w14:textId="77777777" w:rsidR="00FB1300" w:rsidRPr="00B14DE0" w:rsidRDefault="00FB1300" w:rsidP="00460C69">
      <w:r w:rsidRPr="00B14DE0">
        <w:t xml:space="preserve">MTO </w:t>
      </w:r>
      <w:r w:rsidRPr="00B14DE0">
        <w:tab/>
      </w:r>
      <w:r w:rsidRPr="00B14DE0">
        <w:tab/>
      </w:r>
      <w:r w:rsidRPr="00B14DE0">
        <w:tab/>
        <w:t>Medium-term budgetary objective</w:t>
      </w:r>
    </w:p>
    <w:p w14:paraId="2A614AFE" w14:textId="77777777" w:rsidR="00FB1300" w:rsidRPr="00B14DE0" w:rsidRDefault="00FB1300" w:rsidP="00460C69">
      <w:r w:rsidRPr="00B14DE0">
        <w:t xml:space="preserve">NAWRU </w:t>
      </w:r>
      <w:r w:rsidRPr="00B14DE0">
        <w:tab/>
      </w:r>
      <w:r w:rsidRPr="00B14DE0">
        <w:tab/>
        <w:t>Non accelerating wage rate of unemployment</w:t>
      </w:r>
    </w:p>
    <w:p w14:paraId="7186B4F5" w14:textId="77777777" w:rsidR="00FB1300" w:rsidRPr="00B14DE0" w:rsidRDefault="00FB1300" w:rsidP="00460C69">
      <w:r w:rsidRPr="00B14DE0">
        <w:t>NDC</w:t>
      </w:r>
      <w:r w:rsidRPr="00B14DE0">
        <w:tab/>
      </w:r>
      <w:r w:rsidRPr="00B14DE0">
        <w:tab/>
      </w:r>
      <w:r w:rsidRPr="00B14DE0">
        <w:tab/>
        <w:t>Notional Defined Contributions</w:t>
      </w:r>
    </w:p>
    <w:p w14:paraId="57D90E2B" w14:textId="77777777" w:rsidR="00FB1300" w:rsidRPr="00B14DE0" w:rsidRDefault="00FB1300" w:rsidP="00460C69">
      <w:r w:rsidRPr="00B14DE0">
        <w:t>NDD</w:t>
      </w:r>
      <w:r w:rsidRPr="00B14DE0">
        <w:tab/>
      </w:r>
      <w:r w:rsidRPr="00B14DE0">
        <w:tab/>
      </w:r>
      <w:r w:rsidRPr="00B14DE0">
        <w:tab/>
        <w:t>Non demographics drivers</w:t>
      </w:r>
    </w:p>
    <w:p w14:paraId="3D016881" w14:textId="77777777" w:rsidR="00FB1300" w:rsidRPr="00B14DE0" w:rsidRDefault="00FB1300" w:rsidP="00460C69">
      <w:r w:rsidRPr="00B14DE0">
        <w:t xml:space="preserve">OECD </w:t>
      </w:r>
      <w:r w:rsidRPr="00B14DE0">
        <w:tab/>
      </w:r>
      <w:r w:rsidRPr="00B14DE0">
        <w:tab/>
      </w:r>
      <w:r w:rsidRPr="00B14DE0">
        <w:tab/>
        <w:t>Organisation of Economic Co-operation and Development</w:t>
      </w:r>
    </w:p>
    <w:p w14:paraId="7A12F161" w14:textId="77777777" w:rsidR="00FB1300" w:rsidRPr="00B14DE0" w:rsidRDefault="00FB1300" w:rsidP="00460C69">
      <w:r w:rsidRPr="00B14DE0">
        <w:lastRenderedPageBreak/>
        <w:t>OG</w:t>
      </w:r>
      <w:r w:rsidRPr="00B14DE0">
        <w:tab/>
      </w:r>
      <w:r w:rsidRPr="00B14DE0">
        <w:tab/>
      </w:r>
      <w:r w:rsidRPr="00B14DE0">
        <w:tab/>
        <w:t>Output Gap</w:t>
      </w:r>
    </w:p>
    <w:p w14:paraId="43C3123F" w14:textId="77777777" w:rsidR="00FB1300" w:rsidRPr="00B14DE0" w:rsidRDefault="00FB1300" w:rsidP="00460C69">
      <w:r w:rsidRPr="00B14DE0">
        <w:t xml:space="preserve">OGWG </w:t>
      </w:r>
      <w:r w:rsidRPr="00B14DE0">
        <w:tab/>
      </w:r>
      <w:r w:rsidRPr="00B14DE0">
        <w:tab/>
      </w:r>
      <w:r w:rsidRPr="00B14DE0">
        <w:tab/>
        <w:t xml:space="preserve">Output Gap Working Group </w:t>
      </w:r>
    </w:p>
    <w:p w14:paraId="2D9FC60B" w14:textId="77777777" w:rsidR="00FB1300" w:rsidRPr="00B14DE0" w:rsidRDefault="00FB1300" w:rsidP="00460C69">
      <w:r w:rsidRPr="00B14DE0">
        <w:t>PHI</w:t>
      </w:r>
      <w:r w:rsidRPr="00B14DE0">
        <w:tab/>
      </w:r>
      <w:r w:rsidRPr="00B14DE0">
        <w:tab/>
      </w:r>
      <w:r w:rsidRPr="00B14DE0">
        <w:tab/>
        <w:t>Private Health Insurance</w:t>
      </w:r>
    </w:p>
    <w:p w14:paraId="657D4E97" w14:textId="77777777" w:rsidR="00FB1300" w:rsidRPr="00B14DE0" w:rsidRDefault="00FB1300" w:rsidP="00460C69">
      <w:r w:rsidRPr="00B14DE0">
        <w:t>PS</w:t>
      </w:r>
      <w:r w:rsidRPr="00B14DE0">
        <w:tab/>
      </w:r>
      <w:r w:rsidRPr="00B14DE0">
        <w:tab/>
      </w:r>
      <w:r w:rsidRPr="00B14DE0">
        <w:tab/>
        <w:t>Point System</w:t>
      </w:r>
    </w:p>
    <w:p w14:paraId="133CD259" w14:textId="77777777" w:rsidR="00FB1300" w:rsidRPr="00B14DE0" w:rsidRDefault="00FB1300" w:rsidP="00460C69">
      <w:r w:rsidRPr="00B14DE0">
        <w:t xml:space="preserve">p.p. </w:t>
      </w:r>
      <w:r w:rsidRPr="00B14DE0">
        <w:tab/>
      </w:r>
      <w:r w:rsidRPr="00B14DE0">
        <w:tab/>
      </w:r>
      <w:r w:rsidRPr="00B14DE0">
        <w:tab/>
        <w:t>Percentage points</w:t>
      </w:r>
    </w:p>
    <w:p w14:paraId="1F5E4B7E" w14:textId="77777777" w:rsidR="00FB1300" w:rsidRPr="00B14DE0" w:rsidRDefault="00FB1300" w:rsidP="00460C69">
      <w:r w:rsidRPr="00B14DE0">
        <w:t>PAYG system</w:t>
      </w:r>
      <w:r w:rsidRPr="00B14DE0">
        <w:tab/>
      </w:r>
      <w:r w:rsidRPr="00B14DE0">
        <w:tab/>
        <w:t>Pay-as-you-go system</w:t>
      </w:r>
    </w:p>
    <w:p w14:paraId="7F82EC39" w14:textId="77777777" w:rsidR="00FB1300" w:rsidRPr="00B14DE0" w:rsidRDefault="00FB1300" w:rsidP="00460C69">
      <w:r w:rsidRPr="00B14DE0">
        <w:t>SHA</w:t>
      </w:r>
      <w:r w:rsidRPr="00B14DE0">
        <w:tab/>
      </w:r>
      <w:r w:rsidRPr="00B14DE0">
        <w:tab/>
      </w:r>
      <w:r w:rsidRPr="00B14DE0">
        <w:tab/>
        <w:t>System of Health Accounts</w:t>
      </w:r>
    </w:p>
    <w:p w14:paraId="5CAD4389" w14:textId="77777777" w:rsidR="00FB1300" w:rsidRPr="00B14DE0" w:rsidRDefault="00FB1300" w:rsidP="00460C69">
      <w:r w:rsidRPr="00B14DE0">
        <w:t>SHI</w:t>
      </w:r>
      <w:r w:rsidRPr="00B14DE0">
        <w:tab/>
      </w:r>
      <w:r w:rsidRPr="00B14DE0">
        <w:tab/>
      </w:r>
      <w:r w:rsidRPr="00B14DE0">
        <w:tab/>
        <w:t>Social health Insurance</w:t>
      </w:r>
    </w:p>
    <w:p w14:paraId="7E04D048" w14:textId="77777777" w:rsidR="00FB1300" w:rsidRPr="00B14DE0" w:rsidRDefault="00FB1300" w:rsidP="00460C69">
      <w:r w:rsidRPr="00B14DE0">
        <w:t>SHARE</w:t>
      </w:r>
      <w:r w:rsidRPr="00B14DE0">
        <w:tab/>
      </w:r>
      <w:r w:rsidRPr="00B14DE0">
        <w:tab/>
      </w:r>
      <w:r w:rsidRPr="00B14DE0">
        <w:tab/>
        <w:t>Survey of Health, Ageing and Retirement in Europe</w:t>
      </w:r>
    </w:p>
    <w:p w14:paraId="19B7617B" w14:textId="77777777" w:rsidR="00FB1300" w:rsidRPr="00B14DE0" w:rsidRDefault="00FB1300" w:rsidP="00460C69">
      <w:r w:rsidRPr="00B14DE0">
        <w:t xml:space="preserve">TFP </w:t>
      </w:r>
      <w:r w:rsidRPr="00B14DE0">
        <w:tab/>
      </w:r>
      <w:r w:rsidRPr="00B14DE0">
        <w:tab/>
      </w:r>
      <w:r w:rsidRPr="00B14DE0">
        <w:tab/>
        <w:t>Total factor productivity</w:t>
      </w:r>
    </w:p>
    <w:p w14:paraId="2B2360F6" w14:textId="77777777" w:rsidR="00FB1300" w:rsidRPr="00B14DE0" w:rsidRDefault="00FB1300" w:rsidP="00460C69">
      <w:r w:rsidRPr="00B14DE0">
        <w:t>TFR</w:t>
      </w:r>
      <w:r w:rsidRPr="00B14DE0">
        <w:tab/>
      </w:r>
      <w:r w:rsidRPr="00B14DE0">
        <w:tab/>
      </w:r>
      <w:r w:rsidRPr="00B14DE0">
        <w:tab/>
        <w:t>Total fertility rate</w:t>
      </w:r>
    </w:p>
    <w:p w14:paraId="074B7677" w14:textId="77777777" w:rsidR="00FB1300" w:rsidRPr="00B14DE0" w:rsidRDefault="00FB1300" w:rsidP="00460C69">
      <w:r w:rsidRPr="00B14DE0">
        <w:t>UB</w:t>
      </w:r>
      <w:r w:rsidRPr="00B14DE0">
        <w:tab/>
      </w:r>
      <w:r w:rsidRPr="00B14DE0">
        <w:tab/>
      </w:r>
      <w:r w:rsidRPr="00B14DE0">
        <w:tab/>
        <w:t>Unemployment benefits</w:t>
      </w:r>
    </w:p>
    <w:p w14:paraId="750C7670" w14:textId="77777777" w:rsidR="00FB1300" w:rsidRPr="00B14DE0" w:rsidRDefault="00FB1300" w:rsidP="00460C69">
      <w:r w:rsidRPr="00B14DE0">
        <w:t>UN</w:t>
      </w:r>
      <w:r w:rsidRPr="00B14DE0">
        <w:tab/>
      </w:r>
      <w:r w:rsidRPr="00B14DE0">
        <w:tab/>
      </w:r>
      <w:r w:rsidRPr="00B14DE0">
        <w:tab/>
        <w:t>United Nations</w:t>
      </w:r>
    </w:p>
    <w:p w14:paraId="7A28A444" w14:textId="77777777" w:rsidR="00FB1300" w:rsidRPr="00B14DE0" w:rsidRDefault="00FB1300" w:rsidP="00460C69">
      <w:r w:rsidRPr="00B14DE0">
        <w:t>VAT</w:t>
      </w:r>
      <w:r w:rsidRPr="00B14DE0">
        <w:tab/>
      </w:r>
      <w:r w:rsidRPr="00B14DE0">
        <w:tab/>
      </w:r>
      <w:r w:rsidRPr="00B14DE0">
        <w:tab/>
        <w:t>Value Added Tax</w:t>
      </w:r>
    </w:p>
    <w:p w14:paraId="0432AF08" w14:textId="77777777" w:rsidR="00FB1300" w:rsidRPr="00B14DE0" w:rsidRDefault="00FB1300" w:rsidP="00460C69">
      <w:r w:rsidRPr="00B14DE0">
        <w:t>WHO</w:t>
      </w:r>
      <w:r w:rsidRPr="00B14DE0">
        <w:tab/>
      </w:r>
      <w:r w:rsidRPr="00B14DE0">
        <w:tab/>
      </w:r>
      <w:r w:rsidRPr="00B14DE0">
        <w:tab/>
        <w:t>World Health Organization</w:t>
      </w:r>
    </w:p>
    <w:p w14:paraId="27716FCB" w14:textId="77777777" w:rsidR="00FB1300" w:rsidRPr="00B14DE0" w:rsidRDefault="00FB1300" w:rsidP="00460C69"/>
    <w:p w14:paraId="45DA86D4" w14:textId="77777777" w:rsidR="00FB1300" w:rsidRPr="00B14DE0" w:rsidRDefault="00FB1300" w:rsidP="00460C69"/>
    <w:p w14:paraId="6B7342D0" w14:textId="77777777" w:rsidR="00FB1300" w:rsidRDefault="00FB1300" w:rsidP="00460C69"/>
    <w:bookmarkEnd w:id="385"/>
    <w:p w14:paraId="3FD7108F" w14:textId="77777777" w:rsidR="00FB1300" w:rsidRDefault="00FB1300" w:rsidP="00460C69">
      <w:pPr>
        <w:sectPr w:rsidR="00FB1300" w:rsidSect="00FB1300">
          <w:headerReference w:type="even" r:id="rId816"/>
          <w:headerReference w:type="default" r:id="rId817"/>
          <w:footerReference w:type="even" r:id="rId818"/>
          <w:footerReference w:type="default" r:id="rId819"/>
          <w:headerReference w:type="first" r:id="rId820"/>
          <w:footerReference w:type="first" r:id="rId821"/>
          <w:endnotePr>
            <w:numFmt w:val="decimal"/>
          </w:endnotePr>
          <w:pgSz w:w="11907" w:h="16839"/>
          <w:pgMar w:top="2693" w:right="1701" w:bottom="1417" w:left="1701" w:header="709" w:footer="1191" w:gutter="0"/>
          <w:cols w:space="708"/>
          <w:titlePg/>
          <w:docGrid w:linePitch="360"/>
        </w:sectPr>
      </w:pPr>
    </w:p>
    <w:bookmarkStart w:id="387" w:name="GUID82A19CC56DA04959967A8B9D1EE0E9FA"/>
    <w:p w14:paraId="38A3267A" w14:textId="77777777" w:rsidR="00FB1300" w:rsidRPr="009F3ED8" w:rsidRDefault="00FB1300" w:rsidP="00460C69">
      <w:pPr>
        <w:pStyle w:val="EPKitTCFrame"/>
      </w:pPr>
      <w:r w:rsidRPr="009F3ED8">
        <w:lastRenderedPageBreak/>
        <w:fldChar w:fldCharType="begin"/>
      </w:r>
      <w:r w:rsidRPr="009F3ED8">
        <w:rPr>
          <w:vanish w:val="0"/>
        </w:rPr>
        <w:instrText xml:space="preserve"> TC "</w:instrText>
      </w:r>
      <w:bookmarkStart w:id="388" w:name="_Toc511664504"/>
      <w:r w:rsidRPr="009F3ED8">
        <w:rPr>
          <w:vanish w:val="0"/>
        </w:rPr>
        <w:instrText>2.</w:instrText>
      </w:r>
      <w:r w:rsidRPr="009F3ED8">
        <w:rPr>
          <w:vanish w:val="0"/>
        </w:rPr>
        <w:tab/>
        <w:instrText>References</w:instrText>
      </w:r>
      <w:bookmarkEnd w:id="388"/>
      <w:r w:rsidRPr="009F3ED8">
        <w:rPr>
          <w:vanish w:val="0"/>
        </w:rPr>
        <w:instrText xml:space="preserve">" \f \l 2 </w:instrText>
      </w:r>
      <w:r w:rsidRPr="009F3ED8">
        <w:fldChar w:fldCharType="end"/>
      </w:r>
    </w:p>
    <w:p w14:paraId="6607D8B4" w14:textId="77777777" w:rsidR="00FB1300" w:rsidRPr="00D3192F" w:rsidRDefault="00FB1300" w:rsidP="00460C69">
      <w:r w:rsidRPr="00D3192F">
        <w:t xml:space="preserve">Acemoglu D., A. Finkelstein and M. Notowidigdo (2013), </w:t>
      </w:r>
      <w:r w:rsidRPr="00D3192F">
        <w:rPr>
          <w:i/>
        </w:rPr>
        <w:t>"Income and Health Spending: Evidence from Oil Price Shocks"</w:t>
      </w:r>
      <w:r w:rsidRPr="00D3192F">
        <w:t>, Review of Economics and Statistics,Vol. 95(4), pp.1079-1095.</w:t>
      </w:r>
    </w:p>
    <w:p w14:paraId="56116F0B" w14:textId="77777777" w:rsidR="00FB1300" w:rsidRPr="00D3192F" w:rsidRDefault="00FB1300" w:rsidP="00460C69">
      <w:r w:rsidRPr="00D3192F">
        <w:t xml:space="preserve">Aprile R. (2013), </w:t>
      </w:r>
      <w:r w:rsidRPr="00D3192F">
        <w:rPr>
          <w:i/>
        </w:rPr>
        <w:t>"Death-related costs in projecting acute health care expenditure – A new methodological approach"</w:t>
      </w:r>
      <w:r w:rsidRPr="00D3192F">
        <w:t xml:space="preserve">, mimeo, presented at the 28th May 2013 meeting of the AWG. </w:t>
      </w:r>
    </w:p>
    <w:p w14:paraId="75DDEA49" w14:textId="77777777" w:rsidR="00FB1300" w:rsidRPr="00D3192F" w:rsidRDefault="00FB1300" w:rsidP="00460C69">
      <w:r w:rsidRPr="00D3192F">
        <w:t xml:space="preserve">D'Auria F., Denis C., Havik K., Mc Morrow K., Planas C., Raciborski R., Röger W., Rossi A. (2010), </w:t>
      </w:r>
      <w:r w:rsidRPr="00D3192F">
        <w:rPr>
          <w:i/>
        </w:rPr>
        <w:t>"The production function methodology for calculating potential growth rates and output gaps"</w:t>
      </w:r>
      <w:r w:rsidRPr="00D3192F">
        <w:t>, European Economy, Economic Papers No 420.</w:t>
      </w:r>
    </w:p>
    <w:p w14:paraId="5D71E4EF" w14:textId="77777777" w:rsidR="00FB1300" w:rsidRPr="00D3192F" w:rsidRDefault="00FB1300" w:rsidP="00460C69">
      <w:r w:rsidRPr="00D3192F">
        <w:t xml:space="preserve">Azizi K. and C. Pereira (2005), </w:t>
      </w:r>
      <w:r w:rsidRPr="00D3192F">
        <w:rPr>
          <w:i/>
        </w:rPr>
        <w:t>"Comparaison internationale des dépenses de santé : une analyse des évolutions dans sept pays, 1970-2002"</w:t>
      </w:r>
      <w:r w:rsidRPr="00D3192F">
        <w:t>', DREES, Dossier Solidarité et Santé, Vol. 1.</w:t>
      </w:r>
    </w:p>
    <w:p w14:paraId="75688CBF" w14:textId="77777777" w:rsidR="00FB1300" w:rsidRPr="00D3192F" w:rsidRDefault="00FB1300" w:rsidP="00460C69">
      <w:r w:rsidRPr="00D3192F">
        <w:t xml:space="preserve">Bac C. and D. Balsan (2001), </w:t>
      </w:r>
      <w:r w:rsidRPr="00D3192F">
        <w:rPr>
          <w:i/>
        </w:rPr>
        <w:t>"Modélisation des dépenses d’assurance maladie",</w:t>
      </w:r>
      <w:r w:rsidRPr="00D3192F">
        <w:t xml:space="preserve"> Document de travail, No. 19, Direction de la recherche, des études, de l’évaluation et des statistiques DREES.</w:t>
      </w:r>
    </w:p>
    <w:p w14:paraId="46EC791E" w14:textId="77777777" w:rsidR="00FB1300" w:rsidRPr="00D3192F" w:rsidRDefault="00FB1300" w:rsidP="00460C69">
      <w:r w:rsidRPr="00D3192F">
        <w:t>Bac C. and G. Cornilleau (2002), "</w:t>
      </w:r>
      <w:r w:rsidRPr="00D3192F">
        <w:rPr>
          <w:i/>
        </w:rPr>
        <w:t>Comparaison internationale des dépenses de santé : une analyse des évolutions dans sept pays depuis 1970"</w:t>
      </w:r>
      <w:r w:rsidRPr="00D3192F">
        <w:t>', DREES, Études et Résultats, Vol. 175.</w:t>
      </w:r>
    </w:p>
    <w:p w14:paraId="78EF45F1" w14:textId="77777777" w:rsidR="00FB1300" w:rsidRPr="00D3192F" w:rsidRDefault="00FB1300" w:rsidP="00460C69">
      <w:r w:rsidRPr="00D3192F">
        <w:t xml:space="preserve">Breyer F., Costa-Font, F. and S. Felder (2010), </w:t>
      </w:r>
      <w:r w:rsidRPr="00D3192F">
        <w:rPr>
          <w:i/>
        </w:rPr>
        <w:t>"Ageing, health, and health care"</w:t>
      </w:r>
      <w:r w:rsidRPr="00D3192F">
        <w:t>, Oxford Review of Economic Policy, Vol. 26(4), pp. 674-690.</w:t>
      </w:r>
    </w:p>
    <w:p w14:paraId="0E5B2AC9" w14:textId="77777777" w:rsidR="00FB1300" w:rsidRPr="00D3192F" w:rsidRDefault="00FB1300" w:rsidP="00460C69">
      <w:r w:rsidRPr="00D3192F">
        <w:t xml:space="preserve">Bremer P. et al. (2016) </w:t>
      </w:r>
      <w:r w:rsidRPr="00D3192F">
        <w:rPr>
          <w:i/>
        </w:rPr>
        <w:t>"Informal and formal care: Substitutes or complements in care for people with dementia? Empirical evidence for 8 European countries"</w:t>
      </w:r>
      <w:r w:rsidRPr="00D3192F">
        <w:t>, Health Policy, 121(6), pp.613-622.</w:t>
      </w:r>
    </w:p>
    <w:p w14:paraId="5A851ACA" w14:textId="77777777" w:rsidR="00FB1300" w:rsidRPr="00D3192F" w:rsidRDefault="00FB1300" w:rsidP="00460C69">
      <w:r w:rsidRPr="00D3192F">
        <w:t>Burniaux J., Duval R., and Jaumotte F. (2003), "</w:t>
      </w:r>
      <w:r w:rsidRPr="00D3192F">
        <w:rPr>
          <w:i/>
        </w:rPr>
        <w:t>Coping with ageing: a dynamic approach to quantify the impact of alternative policy options on future labour supply in OECD countries"</w:t>
      </w:r>
      <w:r w:rsidRPr="00D3192F">
        <w:t xml:space="preserve">, OECD Economic Department Working Papers, No 371. </w:t>
      </w:r>
    </w:p>
    <w:p w14:paraId="3F6192F2" w14:textId="77777777" w:rsidR="00FB1300" w:rsidRPr="00D3192F" w:rsidRDefault="00FB1300" w:rsidP="00460C69">
      <w:r w:rsidRPr="00D3192F">
        <w:t xml:space="preserve">Campitelli M. et al. (2016), </w:t>
      </w:r>
      <w:r w:rsidRPr="00D3192F">
        <w:rPr>
          <w:i/>
        </w:rPr>
        <w:t>"The prevalence and health consequences of frailty in a population-based older home care cohort: a comparison of different measures"</w:t>
      </w:r>
      <w:r w:rsidRPr="00D3192F">
        <w:t>, BMC Geriatrics, pp. 16-133.</w:t>
      </w:r>
    </w:p>
    <w:p w14:paraId="1D4F2668" w14:textId="77777777" w:rsidR="00FB1300" w:rsidRPr="00D3192F" w:rsidRDefault="00FB1300" w:rsidP="00460C69">
      <w:r w:rsidRPr="00D3192F">
        <w:lastRenderedPageBreak/>
        <w:t xml:space="preserve">Carone G. (2005), </w:t>
      </w:r>
      <w:r w:rsidRPr="00D3192F">
        <w:rPr>
          <w:i/>
        </w:rPr>
        <w:t>"Long-term labour force projections for the EU25 Member States: a set of data for assessing the impact of ageing"</w:t>
      </w:r>
      <w:r w:rsidRPr="00D3192F">
        <w:t>, DG ECFIN, European Economy, Economic Papers No 235.</w:t>
      </w:r>
    </w:p>
    <w:p w14:paraId="00812B1E" w14:textId="77777777" w:rsidR="00FB1300" w:rsidRPr="00D3192F" w:rsidRDefault="00FB1300" w:rsidP="00460C69">
      <w:r w:rsidRPr="00D3192F">
        <w:t xml:space="preserve">Carone, G., Eckefeldt, P., Giamboni, L., Laine, V. and Pamies-Sumner, S. (2016), </w:t>
      </w:r>
      <w:r w:rsidRPr="00D3192F">
        <w:rPr>
          <w:i/>
        </w:rPr>
        <w:t>"Pension Reforms in the EU since the Early 2000's: Achievements and Challenges Ahead"</w:t>
      </w:r>
      <w:r w:rsidRPr="00D3192F">
        <w:t xml:space="preserve"> European Economy, Discussion paper No 42.</w:t>
      </w:r>
    </w:p>
    <w:p w14:paraId="765FCE60" w14:textId="77777777" w:rsidR="00FB1300" w:rsidRPr="00D3192F" w:rsidRDefault="00FB1300" w:rsidP="00460C69">
      <w:r w:rsidRPr="00D3192F">
        <w:t xml:space="preserve">Chatterji S., Byles J., Cutler D., Seeman T., Verdes E. (2015), </w:t>
      </w:r>
      <w:r w:rsidRPr="00D3192F">
        <w:rPr>
          <w:i/>
        </w:rPr>
        <w:t>"Health, functioning, and disability in older adults - present status and future implications"</w:t>
      </w:r>
      <w:r w:rsidRPr="00D3192F">
        <w:t>, Lancet 385, pp. 563-575.</w:t>
      </w:r>
    </w:p>
    <w:p w14:paraId="547D26B8" w14:textId="77777777" w:rsidR="00FB1300" w:rsidRPr="00D3192F" w:rsidRDefault="00FB1300" w:rsidP="00460C69">
      <w:r w:rsidRPr="00D3192F">
        <w:t xml:space="preserve">Clements B., Coady D., and Gupta S. (2012), </w:t>
      </w:r>
      <w:r w:rsidRPr="00D3192F">
        <w:rPr>
          <w:i/>
        </w:rPr>
        <w:t>"The Economics of Public Health Care Reform in Advanced and Emerging Economies"</w:t>
      </w:r>
      <w:r w:rsidRPr="00D3192F">
        <w:t xml:space="preserve">, IMF. </w:t>
      </w:r>
    </w:p>
    <w:p w14:paraId="60435129" w14:textId="77777777" w:rsidR="00FB1300" w:rsidRPr="00D3192F" w:rsidRDefault="00FB1300" w:rsidP="00460C69">
      <w:r w:rsidRPr="00D3192F">
        <w:t xml:space="preserve">Colombo, F., Llena-Nozal, A., Mercier, J., Tjadens, F. (2011), </w:t>
      </w:r>
      <w:r w:rsidRPr="00D3192F">
        <w:rPr>
          <w:i/>
        </w:rPr>
        <w:t>"Help Wanted? Providing and Paying for Long – Term Care"</w:t>
      </w:r>
      <w:r w:rsidRPr="00D3192F">
        <w:t>, OECD Health Policy Studies, OECD Publishing.</w:t>
      </w:r>
    </w:p>
    <w:p w14:paraId="118D7674" w14:textId="77777777" w:rsidR="00FB1300" w:rsidRPr="00D3192F" w:rsidRDefault="00FB1300" w:rsidP="00460C69">
      <w:r w:rsidRPr="00D3192F">
        <w:t xml:space="preserve">Comas-Herrera A., Wittenberg R. and Pickard, Linda (2005), </w:t>
      </w:r>
      <w:r w:rsidRPr="00D3192F">
        <w:rPr>
          <w:i/>
        </w:rPr>
        <w:t>"Making projections of public long-term care expenditure for European countries: a proposed methodology and data requirements": in</w:t>
      </w:r>
      <w:r w:rsidRPr="00D3192F">
        <w:t xml:space="preserve"> "Understanding trends in disability among elderly populations and the implications of demographic and non- demographic factors for future health and long-term care costs" 21-22 Feb 2005, Brussels, Belgium, unpublished.</w:t>
      </w:r>
    </w:p>
    <w:p w14:paraId="7B05EA79" w14:textId="77777777" w:rsidR="00FB1300" w:rsidRPr="00D3192F" w:rsidRDefault="00FB1300" w:rsidP="00460C69">
      <w:r w:rsidRPr="00D3192F">
        <w:t xml:space="preserve">Cremer H. and Pestieau P. (2009), </w:t>
      </w:r>
      <w:r w:rsidRPr="00D3192F">
        <w:rPr>
          <w:i/>
        </w:rPr>
        <w:t>"Long-term Care Insurance Policy in the EU: A Survey of the Issues"</w:t>
      </w:r>
      <w:r w:rsidRPr="00D3192F">
        <w:t>, unpublished.</w:t>
      </w:r>
    </w:p>
    <w:p w14:paraId="2D0115D9" w14:textId="77777777" w:rsidR="00FB1300" w:rsidRPr="00D3192F" w:rsidRDefault="00FB1300" w:rsidP="00460C69">
      <w:r w:rsidRPr="00D3192F">
        <w:t>Cutler, D. (1995), "</w:t>
      </w:r>
      <w:r w:rsidRPr="00D3192F">
        <w:rPr>
          <w:i/>
        </w:rPr>
        <w:t>Technology, Health Costs and the NIH"</w:t>
      </w:r>
      <w:r w:rsidRPr="00D3192F">
        <w:t>, Cambridge MA: Harvard University and NBER.</w:t>
      </w:r>
    </w:p>
    <w:p w14:paraId="1DB00345" w14:textId="77777777" w:rsidR="00FB1300" w:rsidRPr="00D3192F" w:rsidRDefault="00FB1300" w:rsidP="00460C69">
      <w:r w:rsidRPr="00D3192F">
        <w:t xml:space="preserve">Cutler D., K. Ghosh, and M. Landrum (2013) </w:t>
      </w:r>
      <w:r w:rsidRPr="00D3192F">
        <w:rPr>
          <w:i/>
        </w:rPr>
        <w:t>"Evidence for Significant Compression of Morbidity In the Elderly U.S. Population"</w:t>
      </w:r>
      <w:r w:rsidRPr="00D3192F">
        <w:t>, NBER Working Paper No 19268.</w:t>
      </w:r>
    </w:p>
    <w:p w14:paraId="047A34F4" w14:textId="77777777" w:rsidR="00FB1300" w:rsidRPr="00D3192F" w:rsidRDefault="00FB1300" w:rsidP="00460C69">
      <w:r w:rsidRPr="00D3192F">
        <w:t xml:space="preserve">Duval R. (2003), </w:t>
      </w:r>
      <w:r w:rsidRPr="00D3192F">
        <w:rPr>
          <w:i/>
        </w:rPr>
        <w:t xml:space="preserve">"The retirement effects of old-age pension and early retirement schemes in OECD </w:t>
      </w:r>
      <w:r w:rsidRPr="00D3192F">
        <w:rPr>
          <w:i/>
        </w:rPr>
        <w:lastRenderedPageBreak/>
        <w:t>countries"</w:t>
      </w:r>
      <w:r w:rsidRPr="00D3192F">
        <w:t xml:space="preserve">, OECD Economic Department Working Papers, No 370. </w:t>
      </w:r>
    </w:p>
    <w:p w14:paraId="5F4E21AC" w14:textId="77777777" w:rsidR="00FB1300" w:rsidRPr="00D3192F" w:rsidRDefault="00FB1300" w:rsidP="00460C69">
      <w:r w:rsidRPr="00D3192F">
        <w:t xml:space="preserve">Dybczak K. and Przywara B. (2010), </w:t>
      </w:r>
      <w:r w:rsidRPr="00D3192F">
        <w:rPr>
          <w:i/>
        </w:rPr>
        <w:t>"The role of technology in health care expenditure in the EU",</w:t>
      </w:r>
      <w:r w:rsidRPr="00D3192F">
        <w:t xml:space="preserve"> European Economy, Economic Papers No 400.</w:t>
      </w:r>
    </w:p>
    <w:p w14:paraId="536EA3B1" w14:textId="77777777" w:rsidR="00FB1300" w:rsidRPr="00D3192F" w:rsidRDefault="00FB1300" w:rsidP="00460C69">
      <w:r w:rsidRPr="00D3192F">
        <w:t xml:space="preserve">Eurostat (2004), </w:t>
      </w:r>
      <w:r w:rsidRPr="00D3192F">
        <w:rPr>
          <w:i/>
        </w:rPr>
        <w:t>"Classification of funded pension schemes and impact on government finance",</w:t>
      </w:r>
      <w:r w:rsidRPr="00D3192F">
        <w:t xml:space="preserve"> Economy and finance Collection: Methodologies and working papers, Luxemburg, No 30/2004. </w:t>
      </w:r>
    </w:p>
    <w:p w14:paraId="568A9FD5" w14:textId="77777777" w:rsidR="00FB1300" w:rsidRPr="00D3192F" w:rsidRDefault="00FB1300" w:rsidP="00460C69">
      <w:r w:rsidRPr="00D3192F">
        <w:t xml:space="preserve">Eurostat (2011a), </w:t>
      </w:r>
      <w:r w:rsidRPr="00D3192F">
        <w:rPr>
          <w:i/>
        </w:rPr>
        <w:t>"EUROPOP2010: European Population projections 2010-based"</w:t>
      </w:r>
      <w:r w:rsidRPr="00D3192F">
        <w:t>, News release 80/2011, 8 June 2011.</w:t>
      </w:r>
    </w:p>
    <w:p w14:paraId="1F2282C0" w14:textId="77777777" w:rsidR="00FB1300" w:rsidRPr="00D3192F" w:rsidRDefault="00FB1300" w:rsidP="00460C69">
      <w:r w:rsidRPr="00D3192F">
        <w:t xml:space="preserve">Eurostat (2011b), </w:t>
      </w:r>
      <w:r w:rsidRPr="00D3192F">
        <w:rPr>
          <w:i/>
        </w:rPr>
        <w:t>"Manual on sources and methods for the compilation of COFOG Statistics – Classification of the Functions of the Government"</w:t>
      </w:r>
      <w:r w:rsidRPr="00D3192F">
        <w:t xml:space="preserve">, </w:t>
      </w:r>
      <w:hyperlink r:id="rId822" w:history="1">
        <w:r w:rsidRPr="00D3192F">
          <w:rPr>
            <w:rStyle w:val="Hiperveza"/>
          </w:rPr>
          <w:t>http://ec.europa.eu/eurostat/documents/3859598/7766647/KS-GQ-16-010-EN-N.pdf/3fe2216e-13b0-4ba1-b84f-a7d5b091235f</w:t>
        </w:r>
      </w:hyperlink>
      <w:r w:rsidRPr="00D3192F">
        <w:t>.</w:t>
      </w:r>
    </w:p>
    <w:p w14:paraId="09FEC776" w14:textId="77777777" w:rsidR="00FB1300" w:rsidRPr="00D3192F" w:rsidRDefault="00FB1300" w:rsidP="00460C69">
      <w:r w:rsidRPr="00D3192F">
        <w:t xml:space="preserve">Eurostat (2014a), </w:t>
      </w:r>
      <w:r w:rsidRPr="00D3192F">
        <w:rPr>
          <w:i/>
        </w:rPr>
        <w:t>"Comparison between Eurostat population projections 2010-based (EUROPOP2010) and 2013-based (EUROPOP2013)",</w:t>
      </w:r>
      <w:r w:rsidRPr="00D3192F">
        <w:t xml:space="preserve"> Eurostat Technical Note, ESTAT/F2/GL, 18 April 2014. </w:t>
      </w:r>
    </w:p>
    <w:p w14:paraId="0E36A6D4" w14:textId="77777777" w:rsidR="00FB1300" w:rsidRPr="00D3192F" w:rsidRDefault="00FB1300" w:rsidP="00460C69">
      <w:r w:rsidRPr="00D3192F">
        <w:t xml:space="preserve">Eurostat (2014b), </w:t>
      </w:r>
      <w:r w:rsidRPr="00D3192F">
        <w:rPr>
          <w:i/>
        </w:rPr>
        <w:t>"EUROPOP2013: European Population projections 2013-based'</w:t>
      </w:r>
      <w:r w:rsidRPr="00D3192F">
        <w:t xml:space="preserve">, </w:t>
      </w:r>
      <w:hyperlink r:id="rId823" w:history="1">
        <w:r w:rsidRPr="00D3192F">
          <w:rPr>
            <w:rStyle w:val="Hiperveza"/>
          </w:rPr>
          <w:t>http://epp.eurostat.ec.europa.eu/portal/page/portal/statistics/search_database</w:t>
        </w:r>
      </w:hyperlink>
      <w:r w:rsidRPr="00D3192F">
        <w:t>.</w:t>
      </w:r>
    </w:p>
    <w:p w14:paraId="61AAC5E4" w14:textId="77777777" w:rsidR="00FB1300" w:rsidRPr="00D3192F" w:rsidRDefault="00FB1300" w:rsidP="00460C69">
      <w:pPr>
        <w:rPr>
          <w:u w:val="single"/>
        </w:rPr>
      </w:pPr>
      <w:r w:rsidRPr="00D3192F">
        <w:t xml:space="preserve">Eurostat (2016), </w:t>
      </w:r>
      <w:r w:rsidRPr="00D3192F">
        <w:rPr>
          <w:i/>
        </w:rPr>
        <w:t>"European system of integrated social protection statistics - ESSPROS manual and user guidelines"</w:t>
      </w:r>
      <w:r w:rsidRPr="00D3192F">
        <w:t xml:space="preserve">, </w:t>
      </w:r>
      <w:hyperlink r:id="rId824" w:history="1">
        <w:r w:rsidRPr="00D3192F">
          <w:rPr>
            <w:rStyle w:val="Hiperveza"/>
          </w:rPr>
          <w:t>http://ec.europa.eu/eurostat/documents/3859598/7766647/KS-GQ-16-010-EN-N.pdf/3fe2216e-13b0-4ba1-b84f-a7d5b091235f</w:t>
        </w:r>
      </w:hyperlink>
    </w:p>
    <w:p w14:paraId="6F76A27A" w14:textId="77777777" w:rsidR="00FB1300" w:rsidRPr="00D3192F" w:rsidRDefault="00FB1300" w:rsidP="00460C69">
      <w:r w:rsidRPr="00D3192F">
        <w:t xml:space="preserve">Eurostat (2017a), </w:t>
      </w:r>
      <w:r w:rsidRPr="00D3192F">
        <w:rPr>
          <w:i/>
        </w:rPr>
        <w:t>"Summary methodology of the 2015-based population projections"</w:t>
      </w:r>
      <w:r w:rsidRPr="00D3192F">
        <w:t>, Eurostat Technical Note, ESTAT/F-2/GL, 3 March 2017.</w:t>
      </w:r>
    </w:p>
    <w:p w14:paraId="35441CAE" w14:textId="77777777" w:rsidR="00FB1300" w:rsidRPr="00D3192F" w:rsidRDefault="00FB1300" w:rsidP="00460C69">
      <w:r w:rsidRPr="00D3192F">
        <w:t xml:space="preserve">Eurostat (2017b), </w:t>
      </w:r>
      <w:r w:rsidRPr="00D3192F">
        <w:rPr>
          <w:i/>
        </w:rPr>
        <w:t>"Methodology for the migration assumptions in the 2015-based population projections"</w:t>
      </w:r>
      <w:r w:rsidRPr="00D3192F">
        <w:t>, Eurostat Technical Note, ESTAT/F-2/GL, 5 July 2017.</w:t>
      </w:r>
    </w:p>
    <w:p w14:paraId="110D0A84" w14:textId="77777777" w:rsidR="00FB1300" w:rsidRPr="00D3192F" w:rsidRDefault="00FB1300" w:rsidP="00460C69">
      <w:r w:rsidRPr="00D3192F">
        <w:lastRenderedPageBreak/>
        <w:t xml:space="preserve">European Commission (2005), </w:t>
      </w:r>
      <w:r w:rsidRPr="00D3192F">
        <w:rPr>
          <w:i/>
        </w:rPr>
        <w:t>"Key data on education in Europe 2005"</w:t>
      </w:r>
      <w:r w:rsidRPr="00D3192F">
        <w:t>, Eurydice, Eurostat, 2005.</w:t>
      </w:r>
    </w:p>
    <w:p w14:paraId="3C59327C" w14:textId="77777777" w:rsidR="00FB1300" w:rsidRPr="00D3192F" w:rsidRDefault="00FB1300" w:rsidP="00460C69">
      <w:r w:rsidRPr="00D3192F">
        <w:t xml:space="preserve">European Commission (2014), </w:t>
      </w:r>
      <w:r w:rsidRPr="00D3192F">
        <w:rPr>
          <w:i/>
        </w:rPr>
        <w:t>"The production function methodology for calculating potential growth rates and output gaps"</w:t>
      </w:r>
      <w:r w:rsidRPr="00D3192F">
        <w:t xml:space="preserve">, European Economy, Economic Papers, No 535, </w:t>
      </w:r>
      <w:hyperlink r:id="rId825" w:history="1">
        <w:r w:rsidRPr="00D3192F">
          <w:rPr>
            <w:rStyle w:val="Hiperveza"/>
          </w:rPr>
          <w:t>http://ec.europa.eu/economy_finance/publications/economic_paper/2014/pdf/ecp535_en.pdf</w:t>
        </w:r>
      </w:hyperlink>
      <w:r w:rsidRPr="00D3192F">
        <w:t>.</w:t>
      </w:r>
    </w:p>
    <w:p w14:paraId="44F2924B" w14:textId="77777777" w:rsidR="00FB1300" w:rsidRPr="00D3192F" w:rsidRDefault="00FB1300" w:rsidP="00460C69">
      <w:r w:rsidRPr="00D3192F">
        <w:t>European Commission (2015), "</w:t>
      </w:r>
      <w:r w:rsidRPr="00D3192F">
        <w:rPr>
          <w:i/>
        </w:rPr>
        <w:t>Commission Regulation (EU) 2015/359 of 4 March 2015 implementing Regulation (EC) No 1338/2008 of the European Parliament and of the Council as regards statistics on healthcare expenditure and financing",</w:t>
      </w:r>
      <w:r w:rsidRPr="00D3192F">
        <w:t xml:space="preserve"> </w:t>
      </w:r>
      <w:hyperlink r:id="rId826" w:history="1">
        <w:r w:rsidRPr="00D3192F">
          <w:rPr>
            <w:rStyle w:val="Hiperveza"/>
          </w:rPr>
          <w:t>http://eur-lex.europa.eu/legal-content/EN/ALL/?uri=CELEX%3A32015R0359</w:t>
        </w:r>
      </w:hyperlink>
      <w:r w:rsidRPr="00D3192F">
        <w:t>.</w:t>
      </w:r>
    </w:p>
    <w:p w14:paraId="28E31985" w14:textId="77777777" w:rsidR="00FB1300" w:rsidRPr="00D3192F" w:rsidRDefault="00FB1300" w:rsidP="00460C69">
      <w:r w:rsidRPr="00D3192F">
        <w:t xml:space="preserve">European Commission DG ECFIN (2017), </w:t>
      </w:r>
      <w:r w:rsidRPr="00D3192F">
        <w:rPr>
          <w:i/>
        </w:rPr>
        <w:t>"Health and long-term care expenditure projections: availability/collection of data",</w:t>
      </w:r>
      <w:r w:rsidRPr="00D3192F">
        <w:t xml:space="preserve"> ECFIN/C2(2017)1190126.</w:t>
      </w:r>
    </w:p>
    <w:p w14:paraId="2B56C7BA" w14:textId="77777777" w:rsidR="00FB1300" w:rsidRPr="00D3192F" w:rsidRDefault="00FB1300" w:rsidP="00460C69">
      <w:r w:rsidRPr="00D3192F">
        <w:t xml:space="preserve">European Commission (DG ECFIN) and Economic Policy Committee (AWG) (2009), </w:t>
      </w:r>
      <w:r w:rsidRPr="00D3192F">
        <w:rPr>
          <w:i/>
        </w:rPr>
        <w:t>"The 2009 Ageing Report: economic and budgetary projections for the EU-27 Member States (2008-2060)"</w:t>
      </w:r>
      <w:r w:rsidRPr="00D3192F">
        <w:t xml:space="preserve">, European Economy, No 2/2009, </w:t>
      </w:r>
      <w:hyperlink r:id="rId827" w:history="1">
        <w:r w:rsidRPr="00D3192F">
          <w:rPr>
            <w:rStyle w:val="Hiperveza"/>
          </w:rPr>
          <w:t>http://ec.europa.eu/economy_finance/publications/publication14992_en.pdf</w:t>
        </w:r>
      </w:hyperlink>
      <w:r w:rsidRPr="00D3192F">
        <w:t>.</w:t>
      </w:r>
    </w:p>
    <w:p w14:paraId="3B38FE31" w14:textId="77777777" w:rsidR="00FB1300" w:rsidRPr="00D3192F" w:rsidRDefault="00FB1300" w:rsidP="00460C69">
      <w:r w:rsidRPr="00D3192F">
        <w:t xml:space="preserve">European Commission (DG ECFIN) and Economic Policy Committee (AWG) (2012), </w:t>
      </w:r>
      <w:r w:rsidRPr="00D3192F">
        <w:rPr>
          <w:i/>
        </w:rPr>
        <w:t>"The 2012 Ageing Report Economic and budgetary projections for the 27 EU Member States (2010-2060)",</w:t>
      </w:r>
      <w:r w:rsidRPr="00D3192F">
        <w:t xml:space="preserve"> European Economy, No 2/2012, </w:t>
      </w:r>
      <w:hyperlink r:id="rId828" w:history="1">
        <w:r w:rsidRPr="00D3192F">
          <w:rPr>
            <w:rStyle w:val="Hiperveza"/>
          </w:rPr>
          <w:t>http://ec.europa.eu/economy_finance/publications/european_economy/2012/2012-ageing-report_en.htm</w:t>
        </w:r>
      </w:hyperlink>
      <w:r w:rsidRPr="00D3192F">
        <w:t>.</w:t>
      </w:r>
    </w:p>
    <w:p w14:paraId="147C6C8E" w14:textId="77777777" w:rsidR="00FB1300" w:rsidRPr="00D3192F" w:rsidRDefault="00FB1300" w:rsidP="00460C69">
      <w:r w:rsidRPr="00D3192F">
        <w:t xml:space="preserve">European Commission (DG ECFIN) and Economic Policy Committee (Ageing Working Group) (2015), </w:t>
      </w:r>
      <w:r w:rsidRPr="00D3192F">
        <w:rPr>
          <w:i/>
        </w:rPr>
        <w:t>"The 2015 Ageing Report: economic and budgetary projections for the 28 EU Member States (2013-2060)" including</w:t>
      </w:r>
      <w:r w:rsidRPr="00D3192F">
        <w:t xml:space="preserve"> Country Fiches, European Economy, No 3/2015, </w:t>
      </w:r>
      <w:hyperlink r:id="rId829" w:history="1">
        <w:r w:rsidRPr="00D3192F">
          <w:rPr>
            <w:rStyle w:val="Hiperveza"/>
          </w:rPr>
          <w:t>http://ec.europa.eu/economy_finance/publications/european_economy/2015/ee3_en.htm</w:t>
        </w:r>
      </w:hyperlink>
      <w:r w:rsidRPr="00D3192F">
        <w:t>.</w:t>
      </w:r>
    </w:p>
    <w:p w14:paraId="045D3365" w14:textId="77777777" w:rsidR="00FB1300" w:rsidRPr="00D3192F" w:rsidRDefault="00FB1300" w:rsidP="00460C69">
      <w:r w:rsidRPr="00D3192F">
        <w:t xml:space="preserve">European Commission (DG ECFIN) and the Economic Policy Committee (Ageing Working Group) (2016), </w:t>
      </w:r>
      <w:r w:rsidRPr="00D3192F">
        <w:rPr>
          <w:i/>
        </w:rPr>
        <w:t xml:space="preserve">"Joint Report on Health Systems </w:t>
      </w:r>
      <w:r w:rsidRPr="00D3192F">
        <w:rPr>
          <w:i/>
        </w:rPr>
        <w:lastRenderedPageBreak/>
        <w:t>and Long-Term Care systems"</w:t>
      </w:r>
      <w:r w:rsidRPr="00D3192F">
        <w:t xml:space="preserve">, Institutional paper 037, </w:t>
      </w:r>
      <w:hyperlink r:id="rId830" w:history="1">
        <w:r w:rsidRPr="00D3192F">
          <w:rPr>
            <w:rStyle w:val="Hiperveza"/>
          </w:rPr>
          <w:t>https://ec.europa.eu/info/publications/economy-finance/joint-report-health-care-and-long-term-care-systems-fiscal-sustainability-0_en</w:t>
        </w:r>
      </w:hyperlink>
      <w:r w:rsidRPr="00D3192F">
        <w:t>.</w:t>
      </w:r>
    </w:p>
    <w:p w14:paraId="068958D3" w14:textId="77777777" w:rsidR="00FB1300" w:rsidRPr="00D3192F" w:rsidRDefault="00FB1300" w:rsidP="00460C69">
      <w:r w:rsidRPr="00D3192F">
        <w:t>European Commission (DG ECFIN) and Economic Policy Committee (Ageing Working Group) (2017), "</w:t>
      </w:r>
      <w:r w:rsidRPr="00D3192F">
        <w:rPr>
          <w:i/>
        </w:rPr>
        <w:t>The 2018 Ageing Report: Underlying Assumptions and Projection Methodologies"</w:t>
      </w:r>
      <w:r w:rsidRPr="00D3192F">
        <w:t>, European Economy, Institutional papers, No 065.</w:t>
      </w:r>
    </w:p>
    <w:p w14:paraId="5E2153CB" w14:textId="77777777" w:rsidR="00FB1300" w:rsidRPr="00D3192F" w:rsidRDefault="00FB1300" w:rsidP="00460C69">
      <w:r w:rsidRPr="00D3192F">
        <w:t xml:space="preserve">European Commission (DG ECFIN) and Economic Policy Committee (Ageing Working Group), PENSREF database, </w:t>
      </w:r>
      <w:hyperlink r:id="rId831" w:history="1">
        <w:r w:rsidRPr="00D3192F">
          <w:rPr>
            <w:rStyle w:val="Hiperveza"/>
          </w:rPr>
          <w:t>https://ec.europa.eu/info/business-economy-euro/indicators-statistics/economic-databases/pensref-pension-reform-database_en</w:t>
        </w:r>
      </w:hyperlink>
      <w:r w:rsidRPr="00D3192F">
        <w:t>.</w:t>
      </w:r>
    </w:p>
    <w:p w14:paraId="3F9874FA" w14:textId="77777777" w:rsidR="00FB1300" w:rsidRPr="00D3192F" w:rsidRDefault="00FB1300" w:rsidP="00460C69">
      <w:r w:rsidRPr="00D3192F">
        <w:t xml:space="preserve">European Commission, (DG Employment, Social Affairs and Inclusion), European Social Policy Network (ESPN) (2016), "Retirement regimes for workers in arduous or hazardous jobs in Europe. A study of national policies" </w:t>
      </w:r>
    </w:p>
    <w:p w14:paraId="56CC79AE" w14:textId="77777777" w:rsidR="00FB1300" w:rsidRPr="00D3192F" w:rsidRDefault="002F4485" w:rsidP="00460C69">
      <w:pPr>
        <w:rPr>
          <w:i/>
          <w:u w:val="single"/>
        </w:rPr>
      </w:pPr>
      <w:hyperlink r:id="rId832" w:history="1">
        <w:r w:rsidR="00FB1300" w:rsidRPr="00D3192F">
          <w:rPr>
            <w:rStyle w:val="Hiperveza"/>
          </w:rPr>
          <w:t>http://www.google.be/url?sa=t&amp;rct=j&amp;q=&amp;esrc=s&amp;source=web&amp;cd=1&amp;cad=rja&amp;uact=8&amp;ved=0ahUKEwjDhYjEo57QAhXpLcAKHfdOAxAQFgggMAA&amp;url=http%3A%2F%2Fec.europa.eu%2Fsocial%2FBlobServlet%3FdocId%3D16232%26langId%3Den&amp;usg=AFQjCNE6gEMuxX4Hm5aAeKKC96vrUqfxjA</w:t>
        </w:r>
      </w:hyperlink>
      <w:r w:rsidR="00FB1300" w:rsidRPr="00D3192F">
        <w:rPr>
          <w:i/>
          <w:u w:val="single"/>
        </w:rPr>
        <w:t xml:space="preserve"> </w:t>
      </w:r>
    </w:p>
    <w:p w14:paraId="7D64E066" w14:textId="77777777" w:rsidR="00FB1300" w:rsidRPr="00D3192F" w:rsidRDefault="00FB1300" w:rsidP="00460C69">
      <w:pPr>
        <w:rPr>
          <w:i/>
          <w:u w:val="single"/>
        </w:rPr>
      </w:pPr>
      <w:r w:rsidRPr="00D3192F">
        <w:t xml:space="preserve">European Commission (DG Employment, Social Affairs and Inclusion), Social Protection Committee (2015), "The 2015 Pension Adequacy Report: current and future income adequacy in old age in the EU: Country Profiles – Volume II, Joint Report prepared by the European Commission (DG EMPL) and the Social Protection Committee (SPC)", European Union, 2015 </w:t>
      </w:r>
      <w:hyperlink r:id="rId833" w:history="1">
        <w:r w:rsidRPr="00D3192F">
          <w:rPr>
            <w:rStyle w:val="Hiperveza"/>
          </w:rPr>
          <w:t>http://www.google.be/url?sa=t&amp;rct=j&amp;q=&amp;esrc=s&amp;source=web&amp;cd=2&amp;ved=0ahUKEwjMwOnn_pPOAhUlK8AKHWS7Bm8QFggjMAE&amp;url=http%3A%2F%2Fec.europa.eu%2Fsocial%2FBlobServlet%3FdocId%3D14545%26langId%3Den&amp;usg=AFQjCNHvhWhucU_a-9MpYBObbfj2t6p_NA</w:t>
        </w:r>
      </w:hyperlink>
      <w:r w:rsidRPr="00D3192F">
        <w:rPr>
          <w:i/>
          <w:u w:val="single"/>
        </w:rPr>
        <w:t xml:space="preserve"> </w:t>
      </w:r>
    </w:p>
    <w:p w14:paraId="2201A13E" w14:textId="77777777" w:rsidR="00FB1300" w:rsidRPr="00D3192F" w:rsidRDefault="00FB1300" w:rsidP="00460C69">
      <w:r w:rsidRPr="00D3192F">
        <w:t xml:space="preserve">EU-SILC (2013), </w:t>
      </w:r>
      <w:r w:rsidRPr="00D3192F">
        <w:rPr>
          <w:i/>
        </w:rPr>
        <w:t>"The European Statistics on Income and Living Conditions"</w:t>
      </w:r>
      <w:r w:rsidRPr="00D3192F">
        <w:t xml:space="preserve">, </w:t>
      </w:r>
      <w:hyperlink r:id="rId834" w:history="1">
        <w:r w:rsidRPr="00D3192F">
          <w:rPr>
            <w:rStyle w:val="Hiperveza"/>
          </w:rPr>
          <w:t>http://epp.eurostat.ec.europa.eu/portal/page/portal/microdata/eu_silc</w:t>
        </w:r>
      </w:hyperlink>
      <w:r w:rsidRPr="00D3192F">
        <w:t>.</w:t>
      </w:r>
    </w:p>
    <w:p w14:paraId="3393887D" w14:textId="77777777" w:rsidR="00FB1300" w:rsidRPr="00D3192F" w:rsidRDefault="00FB1300" w:rsidP="00460C69">
      <w:r w:rsidRPr="00D3192F">
        <w:lastRenderedPageBreak/>
        <w:t xml:space="preserve">FELICIE team (2006), </w:t>
      </w:r>
      <w:r w:rsidRPr="00D3192F">
        <w:rPr>
          <w:i/>
        </w:rPr>
        <w:t>"Future Elderly Living Conditions in Europe"</w:t>
      </w:r>
      <w:r w:rsidRPr="00D3192F">
        <w:t xml:space="preserve">, FP5-LIFE QUALITY project, </w:t>
      </w:r>
      <w:hyperlink r:id="rId835" w:history="1">
        <w:r w:rsidRPr="00D3192F">
          <w:rPr>
            <w:rStyle w:val="Hiperveza"/>
          </w:rPr>
          <w:t>https://cordis.europa.eu/project/rcn/67442_en.html</w:t>
        </w:r>
      </w:hyperlink>
      <w:r w:rsidRPr="00D3192F">
        <w:t>.</w:t>
      </w:r>
    </w:p>
    <w:p w14:paraId="3DE7E965" w14:textId="77777777" w:rsidR="00FB1300" w:rsidRPr="00D3192F" w:rsidRDefault="00FB1300" w:rsidP="00460C69">
      <w:r w:rsidRPr="00D3192F">
        <w:t xml:space="preserve">Fries J.F. (1980), </w:t>
      </w:r>
      <w:r w:rsidRPr="00D3192F">
        <w:rPr>
          <w:i/>
        </w:rPr>
        <w:t>"Ageing, natural death, and the compression of morbidity"</w:t>
      </w:r>
      <w:r w:rsidRPr="00D3192F">
        <w:t>, The New England Journal of Medicine, Vol. 303(3), pp. 130-135.</w:t>
      </w:r>
    </w:p>
    <w:p w14:paraId="04F19432" w14:textId="77777777" w:rsidR="00FB1300" w:rsidRPr="00D3192F" w:rsidRDefault="00FB1300" w:rsidP="00460C69">
      <w:r w:rsidRPr="00D3192F">
        <w:t xml:space="preserve">Fries J.F. (1989), </w:t>
      </w:r>
      <w:r w:rsidRPr="00D3192F">
        <w:rPr>
          <w:i/>
        </w:rPr>
        <w:t>"The compression of morbidity: near or far?"</w:t>
      </w:r>
      <w:r w:rsidRPr="00D3192F">
        <w:t>, Milbank Memorial Fund Quarterly, Vol. 67(2), pp. 208-232.</w:t>
      </w:r>
    </w:p>
    <w:p w14:paraId="42CF0719" w14:textId="77777777" w:rsidR="00FB1300" w:rsidRPr="00D3192F" w:rsidRDefault="00FB1300" w:rsidP="00460C69">
      <w:r w:rsidRPr="00D3192F">
        <w:t xml:space="preserve">Gabriele S., Cislaghi C., Costantini F., Innocenti F., Lepore V., Tediosi F., Valerio M., Zocchetti C. (2005), </w:t>
      </w:r>
      <w:r w:rsidRPr="00D3192F">
        <w:rPr>
          <w:i/>
        </w:rPr>
        <w:t>"Demographic factors and health expenditure profiles by age: the case of Italy",</w:t>
      </w:r>
      <w:r w:rsidRPr="00D3192F">
        <w:t xml:space="preserve"> A deliverable for ENEPRI AHEAD (Ageing, Health Status and Determinants of Health Expenditure) project.</w:t>
      </w:r>
    </w:p>
    <w:p w14:paraId="1B50281F" w14:textId="77777777" w:rsidR="00FB1300" w:rsidRPr="00D3192F" w:rsidRDefault="00FB1300" w:rsidP="00460C69">
      <w:r w:rsidRPr="00D3192F">
        <w:t>Gerdtham U.G. and B. Jönsson (1991), "</w:t>
      </w:r>
      <w:r w:rsidRPr="00D3192F">
        <w:rPr>
          <w:i/>
        </w:rPr>
        <w:t>Price and Quantity in International Comparisons of Health Care Expenditure"</w:t>
      </w:r>
      <w:r w:rsidRPr="00D3192F">
        <w:t>, Applied Economics', Vol. 23, pp. 1519-1528.</w:t>
      </w:r>
    </w:p>
    <w:p w14:paraId="6D1FDF29" w14:textId="77777777" w:rsidR="00FB1300" w:rsidRPr="00D3192F" w:rsidRDefault="00FB1300" w:rsidP="00460C69">
      <w:r w:rsidRPr="00D3192F">
        <w:t xml:space="preserve">Gerdtham U.G. (1995), </w:t>
      </w:r>
      <w:r w:rsidRPr="00D3192F">
        <w:rPr>
          <w:i/>
        </w:rPr>
        <w:t>"Factors affecting Health spending: a cross-country econometric analysis"</w:t>
      </w:r>
      <w:r w:rsidRPr="00D3192F">
        <w:t>, in New Direction in Health Care Policies: Improving Cost Control and Effectiveness, OECD.</w:t>
      </w:r>
    </w:p>
    <w:p w14:paraId="7AC1270B" w14:textId="77777777" w:rsidR="00FB1300" w:rsidRPr="00D3192F" w:rsidRDefault="00FB1300" w:rsidP="00460C69">
      <w:r w:rsidRPr="00D3192F">
        <w:t xml:space="preserve">Getzen, T.E. (2000), </w:t>
      </w:r>
      <w:r w:rsidRPr="00D3192F">
        <w:rPr>
          <w:i/>
        </w:rPr>
        <w:t>"Health care is an individual necessity and a national luxury: Applying multilevel decision models to the analysis of health care expenditure"</w:t>
      </w:r>
      <w:r w:rsidRPr="00D3192F">
        <w:t>, Journal of Health Economics, Vol. 19(2), pp. 259-270.</w:t>
      </w:r>
    </w:p>
    <w:p w14:paraId="5F03DAA3" w14:textId="77777777" w:rsidR="00FB1300" w:rsidRPr="00D3192F" w:rsidRDefault="00FB1300" w:rsidP="00460C69">
      <w:r w:rsidRPr="00D3192F">
        <w:t xml:space="preserve">Gruber J. and Wise D.A. (2002), </w:t>
      </w:r>
      <w:r w:rsidRPr="00D3192F">
        <w:rPr>
          <w:i/>
        </w:rPr>
        <w:t>"Social Security Programs and Retirement Around the World: Micro Estimation"</w:t>
      </w:r>
      <w:r w:rsidRPr="00D3192F">
        <w:t>, NBER Working Paper No 9407.</w:t>
      </w:r>
    </w:p>
    <w:p w14:paraId="31E792FB" w14:textId="77777777" w:rsidR="00FB1300" w:rsidRPr="00D3192F" w:rsidRDefault="00FB1300" w:rsidP="00460C69">
      <w:r w:rsidRPr="00D3192F">
        <w:t xml:space="preserve">Gruber J. and Wise D.A. (2005a), </w:t>
      </w:r>
      <w:r w:rsidRPr="00D3192F">
        <w:rPr>
          <w:i/>
        </w:rPr>
        <w:t>"Social security programs and retirement around the world: fiscal implications-Introduction and summary"</w:t>
      </w:r>
      <w:r w:rsidRPr="00D3192F">
        <w:t>, NBER Working Paper No 11290.</w:t>
      </w:r>
    </w:p>
    <w:p w14:paraId="1BFE7303" w14:textId="77777777" w:rsidR="00FB1300" w:rsidRPr="00D3192F" w:rsidRDefault="00FB1300" w:rsidP="00460C69">
      <w:r w:rsidRPr="00D3192F">
        <w:t xml:space="preserve">Gruber J and Wise D.A. (editors) (2005b), </w:t>
      </w:r>
      <w:r w:rsidRPr="00D3192F">
        <w:rPr>
          <w:i/>
        </w:rPr>
        <w:t>"Social Security Programs and Retirement around the World: Fiscal Implications"</w:t>
      </w:r>
      <w:r w:rsidRPr="00D3192F">
        <w:t xml:space="preserve">, NBER Website. 26 July 2005. </w:t>
      </w:r>
      <w:hyperlink r:id="rId836" w:history="1">
        <w:r w:rsidRPr="00D3192F">
          <w:rPr>
            <w:rStyle w:val="Hiperveza"/>
          </w:rPr>
          <w:t>http://www.nber.com/books/intlSS-p3/index.html</w:t>
        </w:r>
      </w:hyperlink>
      <w:r w:rsidRPr="00D3192F">
        <w:t>.</w:t>
      </w:r>
    </w:p>
    <w:p w14:paraId="0B8F0D0A" w14:textId="77777777" w:rsidR="00FB1300" w:rsidRPr="00D3192F" w:rsidRDefault="00FB1300" w:rsidP="00460C69">
      <w:r w:rsidRPr="00D3192F">
        <w:lastRenderedPageBreak/>
        <w:t xml:space="preserve">Gruenberg E.M. (1977), </w:t>
      </w:r>
      <w:r w:rsidRPr="00D3192F">
        <w:rPr>
          <w:i/>
        </w:rPr>
        <w:t>"The failure of success"</w:t>
      </w:r>
      <w:r w:rsidRPr="00D3192F">
        <w:t>, Millbank Memorial Fund Quarterly, Vol. 55(1), pp. 3-24.</w:t>
      </w:r>
    </w:p>
    <w:p w14:paraId="09F3EF09" w14:textId="77777777" w:rsidR="00FB1300" w:rsidRPr="00D3192F" w:rsidRDefault="00FB1300" w:rsidP="00460C69">
      <w:r w:rsidRPr="00D3192F">
        <w:t xml:space="preserve">Hagist C. and L. Kotlikoff (2009), </w:t>
      </w:r>
      <w:r w:rsidRPr="00D3192F">
        <w:rPr>
          <w:i/>
        </w:rPr>
        <w:t>"Who’s going broke? Comparing growth in Public Healthcare Expenditure in ten OECD countries"</w:t>
      </w:r>
      <w:r w:rsidRPr="00D3192F">
        <w:t>, Revista de Economia Pública, Vol. 188(1), pp. 55-72.</w:t>
      </w:r>
    </w:p>
    <w:p w14:paraId="6E25DACC" w14:textId="77777777" w:rsidR="00FB1300" w:rsidRPr="00D3192F" w:rsidRDefault="00FB1300" w:rsidP="00460C69">
      <w:r w:rsidRPr="00D3192F">
        <w:t xml:space="preserve">Havik K., Mc Morrow K., Orlandi F., Planas C.,  Raciborski R., Röger W., Rossi A., Thum-Thysen A., Vandermeulen V. (2014), </w:t>
      </w:r>
      <w:r w:rsidRPr="00D3192F">
        <w:rPr>
          <w:i/>
        </w:rPr>
        <w:t>"The Production Function Methodology for Calculating Potential Growth Rates &amp; Output Gaps"</w:t>
      </w:r>
      <w:r w:rsidRPr="00D3192F">
        <w:t>, European Economy, Economic Papers No 535.</w:t>
      </w:r>
    </w:p>
    <w:p w14:paraId="3D47BC98" w14:textId="77777777" w:rsidR="00FB1300" w:rsidRPr="00D3192F" w:rsidRDefault="00FB1300" w:rsidP="00460C69">
      <w:r w:rsidRPr="00D3192F">
        <w:t>Heger D. and I.W.K. Kolodziej (2016),</w:t>
      </w:r>
      <w:r w:rsidRPr="00D3192F">
        <w:rPr>
          <w:i/>
        </w:rPr>
        <w:t>"Changes in morbidity over time: Evidence from Europe"</w:t>
      </w:r>
      <w:r w:rsidRPr="00D3192F">
        <w:t>, Ruhr Economic Papers, No 640.</w:t>
      </w:r>
    </w:p>
    <w:p w14:paraId="041AF00F" w14:textId="77777777" w:rsidR="00FB1300" w:rsidRPr="00D3192F" w:rsidRDefault="00FB1300" w:rsidP="00460C69">
      <w:r w:rsidRPr="00D3192F">
        <w:t>Jenkner E., Karpowicz I., Kashiwase K., Shang B., Soto M., Tyson J. (2010), "</w:t>
      </w:r>
      <w:r w:rsidRPr="00D3192F">
        <w:rPr>
          <w:i/>
        </w:rPr>
        <w:t>Macro-Fiscal Implications of Health Care Reform in Advanced and Emerging Economies"</w:t>
      </w:r>
      <w:r w:rsidRPr="00D3192F">
        <w:t>, prepared by the IMF Fiscal Affairs Department.</w:t>
      </w:r>
    </w:p>
    <w:p w14:paraId="187824F3" w14:textId="77777777" w:rsidR="00FB1300" w:rsidRPr="00D3192F" w:rsidRDefault="00FB1300" w:rsidP="00460C69">
      <w:r w:rsidRPr="00D3192F">
        <w:t xml:space="preserve">Katz, S., Ford, A. B., Moskowitz, R. W., Jackson, B. A., &amp; Jaffe, M. W. (1963), </w:t>
      </w:r>
      <w:r w:rsidRPr="00D3192F">
        <w:rPr>
          <w:i/>
        </w:rPr>
        <w:t>"Studies of illness in the aged. The index of ADL: A standardized measure of biological and psychosocial function."</w:t>
      </w:r>
      <w:r w:rsidRPr="00D3192F">
        <w:t xml:space="preserve"> Journal of the American Medical Association, 185, 914–919.</w:t>
      </w:r>
    </w:p>
    <w:p w14:paraId="542E4C47" w14:textId="77777777" w:rsidR="00FB1300" w:rsidRPr="00D3192F" w:rsidRDefault="00FB1300" w:rsidP="00460C69">
      <w:pPr>
        <w:rPr>
          <w:i/>
          <w:u w:val="single"/>
        </w:rPr>
      </w:pPr>
      <w:r w:rsidRPr="00D3192F">
        <w:t xml:space="preserve">International Labour Organization (ILO) (2014), "Social protection for older persons: Key policy trends and statistics", </w:t>
      </w:r>
      <w:r w:rsidRPr="00D3192F">
        <w:rPr>
          <w:i/>
        </w:rPr>
        <w:t>Social Protection Policy Papers</w:t>
      </w:r>
      <w:r w:rsidRPr="00D3192F">
        <w:t xml:space="preserve">, Social Protection Department International Labour Office </w:t>
      </w:r>
      <w:hyperlink r:id="rId837" w:history="1">
        <w:r w:rsidRPr="00D3192F">
          <w:rPr>
            <w:rStyle w:val="Hiperveza"/>
          </w:rPr>
          <w:t>http://www.ilo.org/wcmsp5/groups/public/---dgreports/---dcomm/documents/publication/wcms_310211.pdf</w:t>
        </w:r>
      </w:hyperlink>
      <w:r w:rsidRPr="00D3192F">
        <w:rPr>
          <w:i/>
          <w:u w:val="single"/>
        </w:rPr>
        <w:t xml:space="preserve"> </w:t>
      </w:r>
    </w:p>
    <w:p w14:paraId="0F311D02" w14:textId="77777777" w:rsidR="00FB1300" w:rsidRPr="00D3192F" w:rsidRDefault="00FB1300" w:rsidP="00460C69">
      <w:pPr>
        <w:rPr>
          <w:u w:val="single"/>
        </w:rPr>
      </w:pPr>
      <w:r w:rsidRPr="00D3192F">
        <w:t xml:space="preserve">Lindgren B. (2016), </w:t>
      </w:r>
      <w:r w:rsidRPr="00D3192F">
        <w:rPr>
          <w:i/>
        </w:rPr>
        <w:t>"The Rise in Life Expectancy, Health Trends among the Elderly, and the Demand for Care - A Selected Literature Review"</w:t>
      </w:r>
      <w:r w:rsidRPr="00D3192F">
        <w:t xml:space="preserve">, NBER Working Paper No 22521, </w:t>
      </w:r>
      <w:hyperlink r:id="rId838" w:history="1">
        <w:r w:rsidRPr="00D3192F">
          <w:rPr>
            <w:rStyle w:val="Hiperveza"/>
          </w:rPr>
          <w:t>http://www.nber.org/papers/w22521</w:t>
        </w:r>
      </w:hyperlink>
    </w:p>
    <w:p w14:paraId="6A3287B4" w14:textId="77777777" w:rsidR="00FB1300" w:rsidRPr="00D3192F" w:rsidRDefault="00FB1300" w:rsidP="00460C69">
      <w:r w:rsidRPr="00D3192F">
        <w:t xml:space="preserve">Lubitz J.D. and Riley G.F. (1993), </w:t>
      </w:r>
      <w:r w:rsidRPr="00D3192F">
        <w:rPr>
          <w:i/>
        </w:rPr>
        <w:t>"Trends in Medicare payment in the last year of life"</w:t>
      </w:r>
      <w:r w:rsidRPr="00D3192F">
        <w:t>, New England Journal of Medicine, 328, 15, pp. 1092-1096.</w:t>
      </w:r>
    </w:p>
    <w:p w14:paraId="2F8CE426" w14:textId="77777777" w:rsidR="00FB1300" w:rsidRPr="00D3192F" w:rsidRDefault="00FB1300" w:rsidP="00460C69">
      <w:r w:rsidRPr="00D3192F">
        <w:lastRenderedPageBreak/>
        <w:t>Madsen M. (2004), "</w:t>
      </w:r>
      <w:r w:rsidRPr="00D3192F">
        <w:rPr>
          <w:i/>
        </w:rPr>
        <w:t>Methodologies to incorporate 'death-related' costs in projections of health and long-term care based on Danish data"</w:t>
      </w:r>
      <w:r w:rsidRPr="00D3192F">
        <w:t>, Ministry of Finance, Denmark.</w:t>
      </w:r>
    </w:p>
    <w:p w14:paraId="4B1964E3" w14:textId="77777777" w:rsidR="00FB1300" w:rsidRPr="00D3192F" w:rsidRDefault="00FB1300" w:rsidP="00460C69">
      <w:r w:rsidRPr="00D3192F">
        <w:t xml:space="preserve">Mahieu R. (2000), </w:t>
      </w:r>
      <w:r w:rsidRPr="00D3192F">
        <w:rPr>
          <w:i/>
        </w:rPr>
        <w:t>"Les déterminants des dépenses de santé : une approche macroéconomique"</w:t>
      </w:r>
      <w:r w:rsidRPr="00D3192F">
        <w:t>, Série des documents de travail de la Direction des études et synthèses économiques, G2000/01, INSEE.</w:t>
      </w:r>
    </w:p>
    <w:p w14:paraId="28404590" w14:textId="77777777" w:rsidR="00FB1300" w:rsidRPr="00D3192F" w:rsidRDefault="00FB1300" w:rsidP="00460C69">
      <w:r w:rsidRPr="00D3192F">
        <w:t xml:space="preserve">Maisonneuve C. and Martins J.O. (2013), </w:t>
      </w:r>
      <w:r w:rsidRPr="00D3192F">
        <w:rPr>
          <w:i/>
        </w:rPr>
        <w:t>"A projection method of public health and long-term care expenditures"</w:t>
      </w:r>
      <w:r w:rsidRPr="00D3192F">
        <w:t>, OECD Economic Department WP No 1048.</w:t>
      </w:r>
    </w:p>
    <w:p w14:paraId="44B96AC5" w14:textId="77777777" w:rsidR="00FB1300" w:rsidRPr="00D3192F" w:rsidRDefault="00FB1300" w:rsidP="00460C69">
      <w:r w:rsidRPr="00D3192F">
        <w:t xml:space="preserve">Manton K.G. (1982), </w:t>
      </w:r>
      <w:r w:rsidRPr="00D3192F">
        <w:rPr>
          <w:i/>
        </w:rPr>
        <w:t>"Changing concepts of morbidity and mortality in the elderly population"</w:t>
      </w:r>
      <w:r w:rsidRPr="00D3192F">
        <w:t>, Milbank Memorial Fund Quarterly, Vol. 60(2), pp. 183-244.</w:t>
      </w:r>
    </w:p>
    <w:p w14:paraId="1841F005" w14:textId="77777777" w:rsidR="00FB1300" w:rsidRPr="00D3192F" w:rsidRDefault="00FB1300" w:rsidP="00460C69">
      <w:r w:rsidRPr="00D3192F">
        <w:t xml:space="preserve">Medeiros J. and C. Schwierz (2013), </w:t>
      </w:r>
      <w:r w:rsidRPr="00D3192F">
        <w:rPr>
          <w:i/>
        </w:rPr>
        <w:t>"Estimating the drivers and projecting long-term public health expenditure in the European Union: Baumol's 'cost disease' revisited"</w:t>
      </w:r>
      <w:r w:rsidRPr="00D3192F">
        <w:t>, European Economy, Economic Papers No 507.</w:t>
      </w:r>
    </w:p>
    <w:p w14:paraId="34A1AB3C" w14:textId="77777777" w:rsidR="00FB1300" w:rsidRPr="00D3192F" w:rsidRDefault="00FB1300" w:rsidP="00460C69">
      <w:r w:rsidRPr="00D3192F">
        <w:t xml:space="preserve">Newhouse J.P. (1977), </w:t>
      </w:r>
      <w:r w:rsidRPr="00D3192F">
        <w:rPr>
          <w:i/>
        </w:rPr>
        <w:t>"Medical Care Expenditure: a cross national survey"</w:t>
      </w:r>
      <w:r w:rsidRPr="00D3192F">
        <w:t>, Journal of Human Resources, Vol. 12, No 1, pp. 115-125.</w:t>
      </w:r>
    </w:p>
    <w:p w14:paraId="3932F836" w14:textId="77777777" w:rsidR="00FB1300" w:rsidRPr="00D3192F" w:rsidRDefault="00FB1300" w:rsidP="00460C69">
      <w:r w:rsidRPr="00D3192F">
        <w:t xml:space="preserve">Newhouse J.P. (1992), </w:t>
      </w:r>
      <w:r w:rsidRPr="00D3192F">
        <w:rPr>
          <w:i/>
        </w:rPr>
        <w:t>"Medical Care Costs: How Much Welfare Loss?"</w:t>
      </w:r>
      <w:r w:rsidRPr="00D3192F">
        <w:t>, Journal of Economic Perspectives, Summer, Vol. 6(3), pp. 3-21.</w:t>
      </w:r>
    </w:p>
    <w:p w14:paraId="7368FA2B" w14:textId="77777777" w:rsidR="00FB1300" w:rsidRPr="00D3192F" w:rsidRDefault="00FB1300" w:rsidP="00460C69">
      <w:r w:rsidRPr="00D3192F">
        <w:t xml:space="preserve">OECD (2006), </w:t>
      </w:r>
      <w:r w:rsidRPr="00D3192F">
        <w:rPr>
          <w:i/>
        </w:rPr>
        <w:t>"Projecting OECD Health and Long-Term Care Expenditures: What are the Main Drivers?"</w:t>
      </w:r>
      <w:r w:rsidRPr="00D3192F">
        <w:t>, Economic Department Working Paper No 477.</w:t>
      </w:r>
    </w:p>
    <w:p w14:paraId="1D523990" w14:textId="77777777" w:rsidR="00FB1300" w:rsidRPr="00D3192F" w:rsidRDefault="00FB1300" w:rsidP="00460C69">
      <w:r w:rsidRPr="00D3192F">
        <w:t xml:space="preserve">OECD (2011) </w:t>
      </w:r>
      <w:r w:rsidRPr="00D3192F">
        <w:rPr>
          <w:i/>
        </w:rPr>
        <w:t>"Health-reform: meeting the challenge of ageing and multiple morbidities"</w:t>
      </w:r>
      <w:r w:rsidRPr="00D3192F">
        <w:t>, OECD Publishing.</w:t>
      </w:r>
    </w:p>
    <w:p w14:paraId="7676F930" w14:textId="77777777" w:rsidR="00FB1300" w:rsidRPr="00D3192F" w:rsidRDefault="00FB1300" w:rsidP="00460C69">
      <w:r w:rsidRPr="00D3192F">
        <w:t xml:space="preserve">OECD (2015) </w:t>
      </w:r>
      <w:r w:rsidRPr="00D3192F">
        <w:rPr>
          <w:i/>
        </w:rPr>
        <w:t>"Addressing Dementia: The OECD Response"</w:t>
      </w:r>
      <w:r w:rsidRPr="00D3192F">
        <w:t xml:space="preserve">, </w:t>
      </w:r>
      <w:hyperlink r:id="rId839" w:history="1">
        <w:r w:rsidRPr="00D3192F">
          <w:rPr>
            <w:rStyle w:val="Hiperveza"/>
          </w:rPr>
          <w:t>http://www.oecd.org/sti/addressing-dementia-the-oecd-response.pdf</w:t>
        </w:r>
      </w:hyperlink>
      <w:r w:rsidRPr="00D3192F">
        <w:t>.</w:t>
      </w:r>
    </w:p>
    <w:p w14:paraId="4D42A943" w14:textId="77777777" w:rsidR="00FB1300" w:rsidRPr="00D3192F" w:rsidRDefault="00FB1300" w:rsidP="00460C69">
      <w:pPr>
        <w:rPr>
          <w:i/>
          <w:u w:val="single"/>
        </w:rPr>
      </w:pPr>
      <w:r w:rsidRPr="00D3192F">
        <w:t xml:space="preserve">OECD (2015), </w:t>
      </w:r>
      <w:r w:rsidRPr="00D3192F">
        <w:rPr>
          <w:i/>
        </w:rPr>
        <w:t>Pensions at a Glance 2015: OECD and G20 indicators</w:t>
      </w:r>
      <w:r w:rsidRPr="00D3192F">
        <w:t xml:space="preserve">, OECD Publishing, Paris. </w:t>
      </w:r>
      <w:hyperlink r:id="rId840" w:history="1">
        <w:r w:rsidRPr="00D3192F">
          <w:rPr>
            <w:rStyle w:val="Hiperveza"/>
          </w:rPr>
          <w:t>http://dx.doi.org/10.1787/pension_glance-2015-en</w:t>
        </w:r>
      </w:hyperlink>
      <w:r w:rsidRPr="00D3192F">
        <w:rPr>
          <w:i/>
          <w:u w:val="single"/>
        </w:rPr>
        <w:t xml:space="preserve"> </w:t>
      </w:r>
    </w:p>
    <w:p w14:paraId="11644EE0" w14:textId="77777777" w:rsidR="00FB1300" w:rsidRPr="00D3192F" w:rsidRDefault="00FB1300" w:rsidP="00460C69"/>
    <w:p w14:paraId="5032B18E" w14:textId="77777777" w:rsidR="00FB1300" w:rsidRPr="00D3192F" w:rsidRDefault="00FB1300" w:rsidP="00460C69">
      <w:pPr>
        <w:rPr>
          <w:u w:val="single"/>
        </w:rPr>
      </w:pPr>
      <w:r w:rsidRPr="00D3192F">
        <w:lastRenderedPageBreak/>
        <w:t>OECD, Eurostat, WHO (2011), "</w:t>
      </w:r>
      <w:r w:rsidRPr="00D3192F">
        <w:rPr>
          <w:i/>
        </w:rPr>
        <w:t>A System of Health Accounts",</w:t>
      </w:r>
      <w:r w:rsidRPr="00D3192F">
        <w:t xml:space="preserve"> SHA Manual 2011 edition, </w:t>
      </w:r>
      <w:hyperlink r:id="rId841" w:history="1">
        <w:r w:rsidRPr="00D3192F">
          <w:rPr>
            <w:rStyle w:val="Hiperveza"/>
          </w:rPr>
          <w:t>http://who.int/nha/sha_revision/sha_2011_final1.pdf</w:t>
        </w:r>
      </w:hyperlink>
      <w:r w:rsidRPr="00D3192F">
        <w:rPr>
          <w:u w:val="single"/>
        </w:rPr>
        <w:t>.</w:t>
      </w:r>
    </w:p>
    <w:p w14:paraId="43D267AE" w14:textId="77777777" w:rsidR="00FB1300" w:rsidRPr="00D3192F" w:rsidRDefault="00FB1300" w:rsidP="00460C69">
      <w:r w:rsidRPr="00D3192F">
        <w:t xml:space="preserve">Okunade A.A and V.N.R. Murthy (2002), </w:t>
      </w:r>
      <w:r w:rsidRPr="00D3192F">
        <w:rPr>
          <w:i/>
        </w:rPr>
        <w:t>"Technology as a 'major driver' of health care costs: a cointegration analysis of the Newhouse conjecture"</w:t>
      </w:r>
      <w:r w:rsidRPr="00D3192F">
        <w:t>, Journal of Health Economics, Vol. 21(1), pp.147-159.</w:t>
      </w:r>
    </w:p>
    <w:p w14:paraId="79E068E8" w14:textId="77777777" w:rsidR="00FB1300" w:rsidRPr="00D3192F" w:rsidRDefault="00FB1300" w:rsidP="00460C69">
      <w:r w:rsidRPr="00D3192F">
        <w:t xml:space="preserve">Oliveira Martins J. and C. de la Maisonneuve (2006), </w:t>
      </w:r>
      <w:r w:rsidRPr="00D3192F">
        <w:rPr>
          <w:i/>
        </w:rPr>
        <w:t>"The Drivers of Public Expenditure on Health and Long-Term Care: An Integrated Approach",</w:t>
      </w:r>
      <w:r w:rsidRPr="00D3192F">
        <w:t xml:space="preserve"> OECD Economic Studies No 43, 2006/2.</w:t>
      </w:r>
    </w:p>
    <w:p w14:paraId="31257F4C" w14:textId="77777777" w:rsidR="00FB1300" w:rsidRPr="00D3192F" w:rsidRDefault="00FB1300" w:rsidP="00460C69">
      <w:r w:rsidRPr="00D3192F">
        <w:t xml:space="preserve">Olshansky S.J., M.A. Rudberg, B.A. Carnes, C.K. Cassel, J.A. Brody (1991), </w:t>
      </w:r>
      <w:r w:rsidRPr="00D3192F">
        <w:rPr>
          <w:i/>
        </w:rPr>
        <w:t>"Trading off longer life for worsening health"</w:t>
      </w:r>
      <w:r w:rsidRPr="00D3192F">
        <w:t>, Journal of Aging and health, Vol. 3(2), pp. 194-216.</w:t>
      </w:r>
    </w:p>
    <w:p w14:paraId="0691598F" w14:textId="77777777" w:rsidR="00FB1300" w:rsidRPr="00D3192F" w:rsidRDefault="00FB1300" w:rsidP="00460C69">
      <w:r w:rsidRPr="00D3192F">
        <w:t>Palangkaraya A. and J. Yong (2009), "</w:t>
      </w:r>
      <w:r w:rsidRPr="00D3192F">
        <w:rPr>
          <w:i/>
        </w:rPr>
        <w:t>Population ageing and its implications on aggregate health care demand: empirical evidence from 22 OECD countries"</w:t>
      </w:r>
      <w:r w:rsidRPr="00D3192F">
        <w:t>, International Journal of Health Care Finance and Economics, Vol. 9(4), pp. 391-402.</w:t>
      </w:r>
    </w:p>
    <w:p w14:paraId="1125795A" w14:textId="77777777" w:rsidR="00FB1300" w:rsidRPr="00D3192F" w:rsidRDefault="00FB1300" w:rsidP="00460C69">
      <w:r w:rsidRPr="00D3192F">
        <w:t>Raitano M. (2006), "</w:t>
      </w:r>
      <w:r w:rsidRPr="00D3192F">
        <w:rPr>
          <w:i/>
        </w:rPr>
        <w:t>The Impact of Death-Related Costs on Health-Care Expenditure: A Survey",</w:t>
      </w:r>
      <w:r w:rsidRPr="00D3192F">
        <w:t xml:space="preserve"> ENEPRI Research Report No 17.</w:t>
      </w:r>
    </w:p>
    <w:p w14:paraId="65AD2039" w14:textId="77777777" w:rsidR="00FB1300" w:rsidRPr="00D3192F" w:rsidRDefault="00FB1300" w:rsidP="00460C69">
      <w:r w:rsidRPr="00D3192F">
        <w:t xml:space="preserve">Rechel B., Doyle Y. and E. Grundy (2009), </w:t>
      </w:r>
      <w:r w:rsidRPr="00D3192F">
        <w:rPr>
          <w:i/>
        </w:rPr>
        <w:t>"How can health systems respond to population ageing?"</w:t>
      </w:r>
      <w:r w:rsidRPr="00D3192F">
        <w:t>, Health Systems and Policy Analysis, WHO Regional Office for Europe and European Observatory on Health Systems and Policies, Policy Brief 10.</w:t>
      </w:r>
    </w:p>
    <w:p w14:paraId="3DBA2331" w14:textId="77777777" w:rsidR="00FB1300" w:rsidRPr="00D3192F" w:rsidRDefault="00FB1300" w:rsidP="00460C69">
      <w:r w:rsidRPr="00D3192F">
        <w:t xml:space="preserve">Salomon J.A. et al. (2012), </w:t>
      </w:r>
      <w:r w:rsidRPr="00D3192F">
        <w:rPr>
          <w:i/>
        </w:rPr>
        <w:t>"Healthy life expectancy for 187 countries, 1990-2010: a systematic analysis for the Global Burden Disease Study 2010"</w:t>
      </w:r>
      <w:r w:rsidRPr="00D3192F">
        <w:t>, Lancet 380, pp. 2144-2162.</w:t>
      </w:r>
    </w:p>
    <w:p w14:paraId="28E4EBA3" w14:textId="77777777" w:rsidR="00FB1300" w:rsidRPr="00D3192F" w:rsidRDefault="00FB1300" w:rsidP="00460C69">
      <w:pPr>
        <w:rPr>
          <w:i/>
          <w:u w:val="single"/>
        </w:rPr>
      </w:pPr>
      <w:r w:rsidRPr="00D3192F">
        <w:t>Social Security Administration (SSA) (2014),</w:t>
      </w:r>
      <w:r w:rsidRPr="00D3192F">
        <w:rPr>
          <w:i/>
        </w:rPr>
        <w:t xml:space="preserve"> "</w:t>
      </w:r>
      <w:r w:rsidRPr="00D3192F">
        <w:t xml:space="preserve">Social Security Programs Throughout the World: Europe, 2014", US SSA Publication No. 13-11801. </w:t>
      </w:r>
      <w:hyperlink r:id="rId842" w:history="1">
        <w:r w:rsidRPr="00D3192F">
          <w:rPr>
            <w:rStyle w:val="Hiperveza"/>
          </w:rPr>
          <w:t>https://www.ssa.gov/policy/docs/progdesc/ssptw/2014-2015/europe/index.html</w:t>
        </w:r>
      </w:hyperlink>
      <w:r w:rsidRPr="00D3192F">
        <w:rPr>
          <w:i/>
          <w:u w:val="single"/>
        </w:rPr>
        <w:t xml:space="preserve"> </w:t>
      </w:r>
    </w:p>
    <w:p w14:paraId="7130A813" w14:textId="77777777" w:rsidR="00FB1300" w:rsidRPr="00D3192F" w:rsidRDefault="00FB1300" w:rsidP="00460C69"/>
    <w:p w14:paraId="72ACD543" w14:textId="77777777" w:rsidR="00FB1300" w:rsidRPr="00D3192F" w:rsidRDefault="00FB1300" w:rsidP="00460C69">
      <w:r w:rsidRPr="00D3192F">
        <w:lastRenderedPageBreak/>
        <w:t xml:space="preserve">Smith S., J. Newhouse, and M. Freeland (2009), </w:t>
      </w:r>
      <w:r w:rsidRPr="00D3192F">
        <w:rPr>
          <w:i/>
        </w:rPr>
        <w:t>"Income, Insurance, and Technology: Why Does Health Spending Outpace Economic Growth?"</w:t>
      </w:r>
      <w:r w:rsidRPr="00D3192F">
        <w:t xml:space="preserve"> Health Affairs, Vol. 28(5), pp. 1276-84.</w:t>
      </w:r>
    </w:p>
    <w:p w14:paraId="6B7E6EFD" w14:textId="77777777" w:rsidR="00FB1300" w:rsidRPr="00D3192F" w:rsidRDefault="00FB1300" w:rsidP="00460C69">
      <w:pPr>
        <w:rPr>
          <w:u w:val="single"/>
        </w:rPr>
      </w:pPr>
      <w:r w:rsidRPr="00D3192F">
        <w:t xml:space="preserve">UNESCO-UIS/OECD/EUROSTAT (UOE) data collection on education statistics, </w:t>
      </w:r>
      <w:hyperlink r:id="rId843" w:history="1">
        <w:r w:rsidRPr="00D3192F">
          <w:rPr>
            <w:rStyle w:val="Hiperveza"/>
          </w:rPr>
          <w:t>http://www.oecd.org/dataoecd/32/53/33712760.pdf</w:t>
        </w:r>
      </w:hyperlink>
    </w:p>
    <w:p w14:paraId="6C74BF4B" w14:textId="77777777" w:rsidR="00FB1300" w:rsidRPr="00D3192F" w:rsidRDefault="00FB1300" w:rsidP="00460C69">
      <w:pPr>
        <w:rPr>
          <w:u w:val="single"/>
        </w:rPr>
      </w:pPr>
      <w:r w:rsidRPr="00D3192F">
        <w:t xml:space="preserve">UNESCO (2011), </w:t>
      </w:r>
      <w:r w:rsidRPr="00D3192F">
        <w:rPr>
          <w:i/>
        </w:rPr>
        <w:t>"International Standard Classification of Education (ISCED)",</w:t>
      </w:r>
      <w:r w:rsidRPr="00D3192F">
        <w:t xml:space="preserve"> </w:t>
      </w:r>
      <w:hyperlink r:id="rId844" w:history="1">
        <w:r w:rsidRPr="00D3192F">
          <w:rPr>
            <w:rStyle w:val="Hiperveza"/>
          </w:rPr>
          <w:t>http://uis.unesco.org/sites/default/files/documents/international-standard-classification-of-education-isced-2011-en.pdf</w:t>
        </w:r>
      </w:hyperlink>
      <w:r w:rsidRPr="00D3192F">
        <w:rPr>
          <w:u w:val="single"/>
        </w:rPr>
        <w:t>.</w:t>
      </w:r>
    </w:p>
    <w:p w14:paraId="55DB82ED" w14:textId="77777777" w:rsidR="00FB1300" w:rsidRPr="00D3192F" w:rsidRDefault="00FB1300" w:rsidP="00460C69">
      <w:r w:rsidRPr="00D3192F">
        <w:t>United Nations Statistics Division (1999), "</w:t>
      </w:r>
      <w:r w:rsidRPr="00D3192F">
        <w:rPr>
          <w:i/>
        </w:rPr>
        <w:t>COFOG - Classification of the Functions of Government",</w:t>
      </w:r>
      <w:r w:rsidRPr="00D3192F">
        <w:t xml:space="preserve"> </w:t>
      </w:r>
      <w:hyperlink r:id="rId845" w:history="1">
        <w:r w:rsidRPr="00D3192F">
          <w:rPr>
            <w:rStyle w:val="Hiperveza"/>
          </w:rPr>
          <w:t>http://unstats.un.org/unsd/cr/registry/regcst.asp?Cl=4</w:t>
        </w:r>
      </w:hyperlink>
      <w:r w:rsidRPr="00D3192F">
        <w:t>.</w:t>
      </w:r>
    </w:p>
    <w:p w14:paraId="613AA07A" w14:textId="77777777" w:rsidR="00FB1300" w:rsidRPr="00D3192F" w:rsidRDefault="00FB1300" w:rsidP="00460C69">
      <w:r w:rsidRPr="00D3192F">
        <w:t xml:space="preserve">United Nations, Department of Economic and Social Affairs, Population Division (2014), </w:t>
      </w:r>
      <w:r w:rsidRPr="00D3192F">
        <w:rPr>
          <w:i/>
        </w:rPr>
        <w:t>"World Population Prospects: The 2012 Revision, Methodology of the United Nations Population Estimates and Projections"</w:t>
      </w:r>
      <w:r w:rsidRPr="00D3192F">
        <w:t xml:space="preserve">, ESA/P/WP.235. </w:t>
      </w:r>
    </w:p>
    <w:p w14:paraId="212B551E" w14:textId="77777777" w:rsidR="00FB1300" w:rsidRPr="00D3192F" w:rsidRDefault="00FB1300" w:rsidP="00460C69">
      <w:r w:rsidRPr="00D3192F">
        <w:t xml:space="preserve">Van Vliet R.C. and L.M. Lamers (1998), </w:t>
      </w:r>
      <w:r w:rsidRPr="00D3192F">
        <w:rPr>
          <w:i/>
        </w:rPr>
        <w:t>"The high costs of death: should health plans get higher payments when members die?",</w:t>
      </w:r>
      <w:r w:rsidRPr="00D3192F">
        <w:t xml:space="preserve"> Medical Care, 36, pp. 1451-1460.</w:t>
      </w:r>
    </w:p>
    <w:p w14:paraId="166D2FDA" w14:textId="77777777" w:rsidR="00FB1300" w:rsidRPr="00D3192F" w:rsidRDefault="00FB1300" w:rsidP="00460C69">
      <w:r w:rsidRPr="00D3192F">
        <w:t xml:space="preserve">Vargas Bustamante A. and S.V. Shimoga (2017), </w:t>
      </w:r>
      <w:r w:rsidRPr="00D3192F">
        <w:rPr>
          <w:i/>
        </w:rPr>
        <w:t>"Comparing the income elasticity of health spending in middle-income and high-income countries: the role of financial protection"</w:t>
      </w:r>
      <w:r w:rsidRPr="00D3192F">
        <w:t xml:space="preserve">, International Journal of Health Policy Management 7(3), pp. 255-263, </w:t>
      </w:r>
      <w:hyperlink r:id="rId846" w:history="1">
        <w:r w:rsidRPr="00D3192F">
          <w:rPr>
            <w:rStyle w:val="Hiperveza"/>
          </w:rPr>
          <w:t>http://ijhpm.com/article_3392_121dfa7400f55ef26488d875f37f925a.pdf</w:t>
        </w:r>
      </w:hyperlink>
      <w:r w:rsidRPr="00D3192F">
        <w:t>.</w:t>
      </w:r>
    </w:p>
    <w:p w14:paraId="75D16A66" w14:textId="77777777" w:rsidR="00FB1300" w:rsidRPr="00D3192F" w:rsidRDefault="00FB1300" w:rsidP="00460C69">
      <w:r w:rsidRPr="00D3192F">
        <w:t xml:space="preserve">Verbrugge L.M. (1984), </w:t>
      </w:r>
      <w:r w:rsidRPr="00D3192F">
        <w:rPr>
          <w:i/>
        </w:rPr>
        <w:t>"Longer life but worsening health? Trends in health and mortality of middle-aged and older persons"</w:t>
      </w:r>
      <w:r w:rsidRPr="00D3192F">
        <w:t>, Milbank Memorial Fund Quarterly, Vol. 62(3), pp. 475-519.</w:t>
      </w:r>
    </w:p>
    <w:p w14:paraId="7DEBD1B3" w14:textId="77777777" w:rsidR="00FB1300" w:rsidRPr="00D3192F" w:rsidRDefault="00FB1300" w:rsidP="00460C69">
      <w:pPr>
        <w:rPr>
          <w:i/>
        </w:rPr>
      </w:pPr>
      <w:r w:rsidRPr="00D3192F">
        <w:t xml:space="preserve">Wiley Publishing (2008), </w:t>
      </w:r>
      <w:r w:rsidRPr="00D3192F">
        <w:rPr>
          <w:i/>
        </w:rPr>
        <w:t>Webster's New World Medical Dictionary.</w:t>
      </w:r>
    </w:p>
    <w:p w14:paraId="5AD8A99A" w14:textId="77777777" w:rsidR="00FB1300" w:rsidRPr="00D3192F" w:rsidRDefault="00FB1300" w:rsidP="00460C69">
      <w:pPr>
        <w:rPr>
          <w:u w:val="single"/>
        </w:rPr>
      </w:pPr>
      <w:r w:rsidRPr="00D3192F">
        <w:t xml:space="preserve">Willemé P. and M. Dumont (2014), </w:t>
      </w:r>
      <w:r w:rsidRPr="00D3192F">
        <w:rPr>
          <w:i/>
        </w:rPr>
        <w:t>"Machines that go 'ping': medical technology and health expenditures in the OECD countries",</w:t>
      </w:r>
      <w:r w:rsidRPr="00D3192F">
        <w:t xml:space="preserve"> Health </w:t>
      </w:r>
      <w:r w:rsidRPr="00D3192F">
        <w:lastRenderedPageBreak/>
        <w:t xml:space="preserve">Economics, </w:t>
      </w:r>
      <w:hyperlink r:id="rId847" w:history="1">
        <w:r w:rsidRPr="00D3192F">
          <w:rPr>
            <w:rStyle w:val="Hiperveza"/>
          </w:rPr>
          <w:t>http://onlinelibrary.wiley.com/doi/10.1002/hec.3089/abstract;jsessionid=0B9D9E2FBE53FBECBF09FA79D3B5F4B3.f02t02</w:t>
        </w:r>
      </w:hyperlink>
      <w:r w:rsidRPr="00D3192F">
        <w:rPr>
          <w:u w:val="single"/>
        </w:rPr>
        <w:t>.</w:t>
      </w:r>
    </w:p>
    <w:p w14:paraId="44EF503D" w14:textId="77777777" w:rsidR="00FB1300" w:rsidRPr="00D3192F" w:rsidRDefault="00FB1300" w:rsidP="00460C69">
      <w:r w:rsidRPr="00D3192F">
        <w:t xml:space="preserve">Whitehouse E. R. (2010), </w:t>
      </w:r>
      <w:r w:rsidRPr="00D3192F">
        <w:rPr>
          <w:i/>
        </w:rPr>
        <w:t>"Decomposing National Defined-Contribution Pensions: Experience of OECD Countries' Reforms",</w:t>
      </w:r>
      <w:r w:rsidRPr="00D3192F">
        <w:t xml:space="preserve"> OECD Social, Employment and Migration Working Paper, No 109, OECD.</w:t>
      </w:r>
    </w:p>
    <w:p w14:paraId="2BE5FF17" w14:textId="77777777" w:rsidR="00FB1300" w:rsidRPr="00D3192F" w:rsidRDefault="00FB1300" w:rsidP="00460C69">
      <w:r w:rsidRPr="00D3192F">
        <w:t xml:space="preserve">World Health Organization (2000), </w:t>
      </w:r>
      <w:r w:rsidRPr="00D3192F">
        <w:rPr>
          <w:i/>
        </w:rPr>
        <w:t>"Health Systems: Improving Performance",</w:t>
      </w:r>
      <w:r w:rsidRPr="00D3192F">
        <w:t xml:space="preserve"> The World Health Report 2000, </w:t>
      </w:r>
      <w:hyperlink r:id="rId848" w:history="1">
        <w:r w:rsidRPr="00D3192F">
          <w:rPr>
            <w:rStyle w:val="Hiperveza"/>
          </w:rPr>
          <w:t>http://www.who.int/whr/2000/en/</w:t>
        </w:r>
      </w:hyperlink>
      <w:r w:rsidRPr="00D3192F">
        <w:t>.</w:t>
      </w:r>
    </w:p>
    <w:p w14:paraId="3177E169" w14:textId="77777777" w:rsidR="00FB1300" w:rsidRPr="00D3192F" w:rsidRDefault="00FB1300" w:rsidP="00460C69">
      <w:pPr>
        <w:rPr>
          <w:u w:val="single"/>
        </w:rPr>
      </w:pPr>
      <w:r w:rsidRPr="00D3192F">
        <w:t xml:space="preserve">Xu K., Saksen, P., and A. Holly (2011), </w:t>
      </w:r>
      <w:r w:rsidRPr="00D3192F">
        <w:rPr>
          <w:i/>
        </w:rPr>
        <w:t>"The determinants of health expenditure: a country-level panel data analysis"</w:t>
      </w:r>
      <w:r w:rsidRPr="00D3192F">
        <w:t xml:space="preserve">, WHO Working Paper R4D, </w:t>
      </w:r>
      <w:hyperlink r:id="rId849" w:history="1">
        <w:r w:rsidRPr="00D3192F">
          <w:rPr>
            <w:rStyle w:val="Hiperveza"/>
          </w:rPr>
          <w:t>http://www.who.int/health_financing/documents/report_en_11_deter-he.pdf</w:t>
        </w:r>
      </w:hyperlink>
      <w:r w:rsidRPr="00D3192F">
        <w:rPr>
          <w:u w:val="single"/>
        </w:rPr>
        <w:t>.</w:t>
      </w:r>
    </w:p>
    <w:p w14:paraId="5F0F3AA1" w14:textId="77777777" w:rsidR="00FB1300" w:rsidRPr="00D3192F" w:rsidRDefault="00FB1300" w:rsidP="00460C69">
      <w:r w:rsidRPr="00D3192F">
        <w:t xml:space="preserve">Zweifel P. et al. (2005), </w:t>
      </w:r>
      <w:r w:rsidRPr="00D3192F">
        <w:rPr>
          <w:i/>
        </w:rPr>
        <w:t>"The Sisyphus syndrome in health revisited"</w:t>
      </w:r>
      <w:r w:rsidRPr="00D3192F">
        <w:t>, International Journal of Health Care Finance and Economics, 5(2), pp. 127-145.</w:t>
      </w:r>
    </w:p>
    <w:p w14:paraId="6649293F" w14:textId="77777777" w:rsidR="00FB1300" w:rsidRPr="00D3192F" w:rsidRDefault="00FB1300" w:rsidP="00460C69"/>
    <w:p w14:paraId="1FC05245" w14:textId="77777777" w:rsidR="00FB1300" w:rsidRDefault="00FB1300" w:rsidP="00460C69"/>
    <w:bookmarkEnd w:id="387"/>
    <w:p w14:paraId="3020E8A0" w14:textId="77777777" w:rsidR="00FB1300" w:rsidRDefault="00FB1300" w:rsidP="00FB1300"/>
    <w:sectPr w:rsidR="00FB1300" w:rsidSect="00FB1300">
      <w:headerReference w:type="even" r:id="rId850"/>
      <w:headerReference w:type="default" r:id="rId851"/>
      <w:footerReference w:type="even" r:id="rId852"/>
      <w:footerReference w:type="default" r:id="rId853"/>
      <w:headerReference w:type="first" r:id="rId854"/>
      <w:footerReference w:type="first" r:id="rId855"/>
      <w:endnotePr>
        <w:numFmt w:val="decimal"/>
      </w:endnotePr>
      <w:pgSz w:w="11907" w:h="16839"/>
      <w:pgMar w:top="2693" w:right="1701" w:bottom="1417" w:left="1701" w:header="709" w:footer="1191" w:gutter="0"/>
      <w:cols w:num="2" w:space="283"/>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B4392A" w14:textId="77777777" w:rsidR="00460C69" w:rsidRDefault="00460C69">
      <w:pPr>
        <w:spacing w:after="0"/>
      </w:pPr>
      <w:r>
        <w:separator/>
      </w:r>
    </w:p>
  </w:endnote>
  <w:endnote w:type="continuationSeparator" w:id="0">
    <w:p w14:paraId="5DFB2AA5" w14:textId="77777777" w:rsidR="00460C69" w:rsidRDefault="00460C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entury Gothic">
    <w:panose1 w:val="020B0502020202020204"/>
    <w:charset w:val="EE"/>
    <w:family w:val="swiss"/>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Myriad Pro">
    <w:altName w:val="Arial"/>
    <w:panose1 w:val="00000000000000000000"/>
    <w:charset w:val="00"/>
    <w:family w:val="swiss"/>
    <w:notTrueType/>
    <w:pitch w:val="variable"/>
    <w:sig w:usb0="00000001" w:usb1="5000204B" w:usb2="00000000" w:usb3="00000000" w:csb0="0000009F" w:csb1="00000000"/>
  </w:font>
  <w:font w:name="Cambria Math">
    <w:panose1 w:val="02040503050406030204"/>
    <w:charset w:val="EE"/>
    <w:family w:val="roman"/>
    <w:pitch w:val="variable"/>
    <w:sig w:usb0="E00002FF" w:usb1="420024FF" w:usb2="00000000" w:usb3="00000000" w:csb0="0000019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B11E51" w14:textId="77777777" w:rsidR="00460C69" w:rsidRDefault="00460C69" w:rsidP="00460C69">
    <w:pPr>
      <w:pStyle w:val="Podnoje"/>
    </w:pPr>
  </w:p>
  <w:p w14:paraId="17E4DA0D"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vi</w:t>
    </w:r>
    <w: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D9FB21" w14:textId="77777777" w:rsidR="00460C69" w:rsidRDefault="00460C69">
    <w:pPr>
      <w:pStyle w:val="Podnoje"/>
    </w:pP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6F81A1" w14:textId="77777777" w:rsidR="00460C69" w:rsidRDefault="00460C69" w:rsidP="00460C69">
    <w:pPr>
      <w:pStyle w:val="Podnoje"/>
    </w:pPr>
  </w:p>
  <w:p w14:paraId="0DCCE2DF"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318</w:t>
    </w:r>
    <w:r>
      <w:fldChar w:fldCharType="end"/>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AA54FE" w14:textId="77777777" w:rsidR="00460C69" w:rsidRDefault="00460C69" w:rsidP="00460C69">
    <w:pPr>
      <w:pStyle w:val="Podnoje"/>
    </w:pPr>
  </w:p>
  <w:p w14:paraId="098B4F78"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317</w:t>
    </w:r>
    <w:r>
      <w:fldChar w:fldCharType="end"/>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A34D1F" w14:textId="77777777" w:rsidR="00460C69" w:rsidRDefault="00460C69" w:rsidP="00460C69">
    <w:pPr>
      <w:pStyle w:val="Podnoje"/>
    </w:pPr>
  </w:p>
  <w:p w14:paraId="10D259FC"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316</w:t>
    </w:r>
    <w:r>
      <w:fldChar w:fldCharType="end"/>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4DA4F6" w14:textId="77777777" w:rsidR="00460C69" w:rsidRDefault="00460C69" w:rsidP="00460C69">
    <w:pPr>
      <w:pStyle w:val="Podnoje"/>
    </w:pPr>
  </w:p>
  <w:p w14:paraId="0EBE126A"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320</w:t>
    </w:r>
    <w:r>
      <w:fldChar w:fldCharType="end"/>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D1315E" w14:textId="77777777" w:rsidR="00460C69" w:rsidRDefault="00460C69" w:rsidP="00460C69">
    <w:pPr>
      <w:pStyle w:val="Podnoje"/>
    </w:pPr>
  </w:p>
  <w:p w14:paraId="7F5FA1EF"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321</w:t>
    </w:r>
    <w:r>
      <w:fldChar w:fldCharType="end"/>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D5AE35" w14:textId="77777777" w:rsidR="00460C69" w:rsidRDefault="00460C69" w:rsidP="00460C69">
    <w:pPr>
      <w:pStyle w:val="Podnoje"/>
    </w:pPr>
  </w:p>
  <w:p w14:paraId="2788EC90"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319</w:t>
    </w:r>
    <w:r>
      <w:fldChar w:fldCharType="end"/>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0D9FC9" w14:textId="77777777" w:rsidR="00460C69" w:rsidRDefault="00460C69" w:rsidP="00460C69">
    <w:pPr>
      <w:pStyle w:val="Podnoje"/>
    </w:pPr>
  </w:p>
  <w:p w14:paraId="17B7AD2D"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324</w:t>
    </w:r>
    <w:r>
      <w:fldChar w:fldCharType="end"/>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03660A" w14:textId="77777777" w:rsidR="00460C69" w:rsidRDefault="00460C69" w:rsidP="00460C69">
    <w:pPr>
      <w:pStyle w:val="Podnoje"/>
    </w:pPr>
  </w:p>
  <w:p w14:paraId="776E5F3A"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323</w:t>
    </w:r>
    <w:r>
      <w:fldChar w:fldCharType="end"/>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DBDC63" w14:textId="77777777" w:rsidR="00460C69" w:rsidRDefault="00460C69" w:rsidP="00460C69">
    <w:pPr>
      <w:pStyle w:val="Podnoje"/>
    </w:pPr>
  </w:p>
  <w:p w14:paraId="54A2C1F1"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322</w:t>
    </w:r>
    <w:r>
      <w:fldChar w:fldCharType="end"/>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F9BE5B" w14:textId="77777777" w:rsidR="00460C69" w:rsidRDefault="00460C69" w:rsidP="00460C69">
    <w:pPr>
      <w:pStyle w:val="Podnoje"/>
    </w:pPr>
  </w:p>
  <w:p w14:paraId="17088287"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326</w:t>
    </w:r>
    <w: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B685A9" w14:textId="77777777" w:rsidR="00460C69" w:rsidRDefault="00460C69">
    <w:pPr>
      <w:pStyle w:val="Podnoje"/>
    </w:pP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611002" w14:textId="77777777" w:rsidR="00460C69" w:rsidRDefault="00460C69" w:rsidP="00460C69">
    <w:pPr>
      <w:pStyle w:val="Podnoje"/>
    </w:pPr>
  </w:p>
  <w:p w14:paraId="0AAFE915"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327</w:t>
    </w:r>
    <w:r>
      <w:fldChar w:fldCharType="end"/>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FCAA15" w14:textId="77777777" w:rsidR="00460C69" w:rsidRDefault="00460C69" w:rsidP="00460C69">
    <w:pPr>
      <w:pStyle w:val="Podnoje"/>
    </w:pPr>
  </w:p>
  <w:p w14:paraId="4A15D09A"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325</w:t>
    </w:r>
    <w:r>
      <w:fldChar w:fldCharType="end"/>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0BB0FB" w14:textId="77777777" w:rsidR="00460C69" w:rsidRDefault="00460C69" w:rsidP="00460C69">
    <w:pPr>
      <w:pStyle w:val="Podnoje"/>
    </w:pPr>
  </w:p>
  <w:p w14:paraId="4B914A1A"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330</w:t>
    </w:r>
    <w:r>
      <w:fldChar w:fldCharType="end"/>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5C34CA" w14:textId="77777777" w:rsidR="00460C69" w:rsidRDefault="00460C69" w:rsidP="00460C69">
    <w:pPr>
      <w:pStyle w:val="Podnoje"/>
    </w:pPr>
  </w:p>
  <w:p w14:paraId="21620074"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329</w:t>
    </w:r>
    <w:r>
      <w:fldChar w:fldCharType="end"/>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70011B" w14:textId="77777777" w:rsidR="00460C69" w:rsidRDefault="00460C69" w:rsidP="00460C69">
    <w:pPr>
      <w:pStyle w:val="Podnoje"/>
    </w:pPr>
  </w:p>
  <w:p w14:paraId="4DE74CFD"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328</w:t>
    </w:r>
    <w:r>
      <w:fldChar w:fldCharType="end"/>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29EC40" w14:textId="77777777" w:rsidR="00460C69" w:rsidRDefault="00460C69" w:rsidP="00460C69">
    <w:pPr>
      <w:pStyle w:val="Podnoje"/>
    </w:pPr>
  </w:p>
  <w:p w14:paraId="51593DDF"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332</w:t>
    </w:r>
    <w:r>
      <w:fldChar w:fldCharType="end"/>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E89671" w14:textId="77777777" w:rsidR="00460C69" w:rsidRDefault="00460C69" w:rsidP="00460C69">
    <w:pPr>
      <w:pStyle w:val="Podnoje"/>
    </w:pPr>
  </w:p>
  <w:p w14:paraId="38E04278"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333</w:t>
    </w:r>
    <w:r>
      <w:fldChar w:fldCharType="end"/>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73A8FA" w14:textId="77777777" w:rsidR="00460C69" w:rsidRDefault="00460C69" w:rsidP="00460C69">
    <w:pPr>
      <w:pStyle w:val="Podnoje"/>
    </w:pPr>
  </w:p>
  <w:p w14:paraId="1C2648A1"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331</w:t>
    </w:r>
    <w:r>
      <w:fldChar w:fldCharType="end"/>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10061F" w14:textId="77777777" w:rsidR="00460C69" w:rsidRDefault="00460C69" w:rsidP="00460C69">
    <w:pPr>
      <w:pStyle w:val="Podnoje"/>
    </w:pPr>
  </w:p>
  <w:p w14:paraId="26C7C933"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336</w:t>
    </w:r>
    <w:r>
      <w:fldChar w:fldCharType="end"/>
    </w: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F2C549" w14:textId="77777777" w:rsidR="00460C69" w:rsidRDefault="00460C69" w:rsidP="00460C69">
    <w:pPr>
      <w:pStyle w:val="Podnoje"/>
    </w:pPr>
  </w:p>
  <w:p w14:paraId="50876925"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335</w:t>
    </w:r>
    <w: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7EA45A" w14:textId="77777777" w:rsidR="00460C69" w:rsidRDefault="00460C69">
    <w:pPr>
      <w:pStyle w:val="Podnoje"/>
    </w:pP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1199DA" w14:textId="77777777" w:rsidR="00460C69" w:rsidRDefault="00460C69" w:rsidP="00460C69">
    <w:pPr>
      <w:pStyle w:val="Podnoje"/>
    </w:pPr>
  </w:p>
  <w:p w14:paraId="444820DA"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334</w:t>
    </w:r>
    <w:r>
      <w:fldChar w:fldCharType="end"/>
    </w: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22430F" w14:textId="77777777" w:rsidR="00460C69" w:rsidRDefault="00460C69" w:rsidP="00460C69">
    <w:pPr>
      <w:pStyle w:val="Podnoje"/>
    </w:pPr>
  </w:p>
  <w:p w14:paraId="0273553E"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338</w:t>
    </w:r>
    <w:r>
      <w:fldChar w:fldCharType="end"/>
    </w: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490673" w14:textId="77777777" w:rsidR="00460C69" w:rsidRDefault="00460C69" w:rsidP="00460C69">
    <w:pPr>
      <w:pStyle w:val="Podnoje"/>
    </w:pPr>
  </w:p>
  <w:p w14:paraId="70893AD9"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339</w:t>
    </w:r>
    <w:r>
      <w:fldChar w:fldCharType="end"/>
    </w: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0B526D" w14:textId="77777777" w:rsidR="00460C69" w:rsidRDefault="00460C69" w:rsidP="00460C69">
    <w:pPr>
      <w:pStyle w:val="Podnoje"/>
    </w:pPr>
  </w:p>
  <w:p w14:paraId="7F6607F8"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337</w:t>
    </w:r>
    <w:r>
      <w:fldChar w:fldCharType="end"/>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7D76E4" w14:textId="77777777" w:rsidR="00460C69" w:rsidRDefault="00460C69" w:rsidP="00460C69">
    <w:pPr>
      <w:pStyle w:val="Podnoje"/>
    </w:pPr>
  </w:p>
  <w:p w14:paraId="4A46DAE0"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342</w:t>
    </w:r>
    <w:r>
      <w:fldChar w:fldCharType="end"/>
    </w: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CEBF82" w14:textId="77777777" w:rsidR="00460C69" w:rsidRDefault="00460C69" w:rsidP="00460C69">
    <w:pPr>
      <w:pStyle w:val="Podnoje"/>
    </w:pPr>
  </w:p>
  <w:p w14:paraId="2A95ABDB"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341</w:t>
    </w:r>
    <w:r>
      <w:fldChar w:fldCharType="end"/>
    </w: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53EFF" w14:textId="77777777" w:rsidR="00460C69" w:rsidRDefault="00460C69" w:rsidP="00460C69">
    <w:pPr>
      <w:pStyle w:val="Podnoje"/>
    </w:pPr>
  </w:p>
  <w:p w14:paraId="489E78BB"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340</w:t>
    </w:r>
    <w:r>
      <w:fldChar w:fldCharType="end"/>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FA3FB2" w14:textId="77777777" w:rsidR="00460C69" w:rsidRDefault="00460C69" w:rsidP="00460C69">
    <w:pPr>
      <w:pStyle w:val="Podnoje"/>
    </w:pPr>
  </w:p>
  <w:p w14:paraId="006A61CA"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344</w:t>
    </w:r>
    <w:r>
      <w:fldChar w:fldCharType="end"/>
    </w: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30056D" w14:textId="77777777" w:rsidR="00460C69" w:rsidRDefault="00460C69" w:rsidP="00460C69">
    <w:pPr>
      <w:pStyle w:val="Podnoje"/>
    </w:pPr>
  </w:p>
  <w:p w14:paraId="284CD9BD"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345</w:t>
    </w:r>
    <w:r>
      <w:fldChar w:fldCharType="end"/>
    </w: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C42FBA" w14:textId="77777777" w:rsidR="00460C69" w:rsidRDefault="00460C69" w:rsidP="00460C69">
    <w:pPr>
      <w:pStyle w:val="Podnoje"/>
    </w:pPr>
  </w:p>
  <w:p w14:paraId="1B67EE34"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343</w:t>
    </w:r>
    <w: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8B5BC9" w14:textId="77777777" w:rsidR="00460C69" w:rsidRDefault="00460C69" w:rsidP="00460C69">
    <w:pPr>
      <w:pStyle w:val="Podnoje"/>
    </w:pPr>
  </w:p>
  <w:p w14:paraId="7A4CF0C7"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26</w:t>
    </w:r>
    <w:r>
      <w:fldChar w:fldCharType="end"/>
    </w: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F4C147" w14:textId="77777777" w:rsidR="00460C69" w:rsidRDefault="00460C69" w:rsidP="00460C69">
    <w:pPr>
      <w:pStyle w:val="Podnoje"/>
    </w:pPr>
  </w:p>
  <w:p w14:paraId="55A7B65B"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348</w:t>
    </w:r>
    <w:r>
      <w:fldChar w:fldCharType="end"/>
    </w: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3C7B7C" w14:textId="77777777" w:rsidR="00460C69" w:rsidRDefault="00460C69" w:rsidP="00460C69">
    <w:pPr>
      <w:pStyle w:val="Podnoje"/>
    </w:pPr>
  </w:p>
  <w:p w14:paraId="315A25AE"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347</w:t>
    </w:r>
    <w:r>
      <w:fldChar w:fldCharType="end"/>
    </w: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91826E" w14:textId="77777777" w:rsidR="00460C69" w:rsidRDefault="00460C69" w:rsidP="00460C69">
    <w:pPr>
      <w:pStyle w:val="Podnoje"/>
    </w:pPr>
  </w:p>
  <w:p w14:paraId="2145737B"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346</w:t>
    </w:r>
    <w:r>
      <w:fldChar w:fldCharType="end"/>
    </w: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59943A" w14:textId="77777777" w:rsidR="00460C69" w:rsidRDefault="00460C69" w:rsidP="00460C69">
    <w:pPr>
      <w:pStyle w:val="Podnoje"/>
    </w:pPr>
  </w:p>
  <w:p w14:paraId="399854E8"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350</w:t>
    </w:r>
    <w:r>
      <w:fldChar w:fldCharType="end"/>
    </w: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849E11" w14:textId="77777777" w:rsidR="00460C69" w:rsidRDefault="00460C69" w:rsidP="00460C69">
    <w:pPr>
      <w:pStyle w:val="Podnoje"/>
    </w:pPr>
  </w:p>
  <w:p w14:paraId="71B0DE5F"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351</w:t>
    </w:r>
    <w:r>
      <w:fldChar w:fldCharType="end"/>
    </w: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C3DCBA" w14:textId="77777777" w:rsidR="00460C69" w:rsidRDefault="00460C69" w:rsidP="00460C69">
    <w:pPr>
      <w:pStyle w:val="Podnoje"/>
    </w:pPr>
  </w:p>
  <w:p w14:paraId="47F7C5A1"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349</w:t>
    </w:r>
    <w:r>
      <w:fldChar w:fldCharType="end"/>
    </w: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8DADDB" w14:textId="77777777" w:rsidR="00460C69" w:rsidRDefault="00460C69" w:rsidP="00460C69">
    <w:pPr>
      <w:pStyle w:val="Podnoje"/>
    </w:pPr>
  </w:p>
  <w:p w14:paraId="485379E8"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354</w:t>
    </w:r>
    <w:r>
      <w:fldChar w:fldCharType="end"/>
    </w: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BEE644" w14:textId="77777777" w:rsidR="00460C69" w:rsidRDefault="00460C69" w:rsidP="00460C69">
    <w:pPr>
      <w:pStyle w:val="Podnoje"/>
    </w:pPr>
  </w:p>
  <w:p w14:paraId="1994A535"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353</w:t>
    </w:r>
    <w:r>
      <w:fldChar w:fldCharType="end"/>
    </w: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7F2087" w14:textId="77777777" w:rsidR="00460C69" w:rsidRDefault="00460C69" w:rsidP="00460C69">
    <w:pPr>
      <w:pStyle w:val="Podnoje"/>
    </w:pPr>
  </w:p>
  <w:p w14:paraId="210FC239"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352</w:t>
    </w:r>
    <w:r>
      <w:fldChar w:fldCharType="end"/>
    </w: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BB18D8" w14:textId="77777777" w:rsidR="00460C69" w:rsidRDefault="00460C69" w:rsidP="00460C69">
    <w:pPr>
      <w:pStyle w:val="Podnoje"/>
    </w:pPr>
  </w:p>
  <w:p w14:paraId="19B506B7"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356</w:t>
    </w:r>
    <w: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89BE6F" w14:textId="77777777" w:rsidR="00460C69" w:rsidRDefault="00460C69" w:rsidP="00460C69">
    <w:pPr>
      <w:pStyle w:val="Podnoje"/>
    </w:pPr>
  </w:p>
  <w:p w14:paraId="3A5B8443"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25</w:t>
    </w:r>
    <w:r>
      <w:fldChar w:fldCharType="end"/>
    </w: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83FAF4" w14:textId="77777777" w:rsidR="00460C69" w:rsidRDefault="00460C69" w:rsidP="00460C69">
    <w:pPr>
      <w:pStyle w:val="Podnoje"/>
    </w:pPr>
  </w:p>
  <w:p w14:paraId="2E3F258E"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357</w:t>
    </w:r>
    <w:r>
      <w:fldChar w:fldCharType="end"/>
    </w: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AF4D81" w14:textId="77777777" w:rsidR="00460C69" w:rsidRDefault="00460C69" w:rsidP="00460C69">
    <w:pPr>
      <w:pStyle w:val="Podnoje"/>
    </w:pPr>
  </w:p>
  <w:p w14:paraId="623D30FE"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355</w:t>
    </w:r>
    <w:r>
      <w:fldChar w:fldCharType="end"/>
    </w: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96CB6E" w14:textId="77777777" w:rsidR="00460C69" w:rsidRDefault="00460C69" w:rsidP="00460C69">
    <w:pPr>
      <w:pStyle w:val="Podnoje"/>
    </w:pPr>
  </w:p>
  <w:p w14:paraId="52070C68"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360</w:t>
    </w:r>
    <w:r>
      <w:fldChar w:fldCharType="end"/>
    </w: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E3E714" w14:textId="77777777" w:rsidR="00460C69" w:rsidRDefault="00460C69" w:rsidP="00460C69">
    <w:pPr>
      <w:pStyle w:val="Podnoje"/>
    </w:pPr>
  </w:p>
  <w:p w14:paraId="4824B4F8"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359</w:t>
    </w:r>
    <w:r>
      <w:fldChar w:fldCharType="end"/>
    </w: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184AA5" w14:textId="77777777" w:rsidR="00460C69" w:rsidRDefault="00460C69" w:rsidP="00460C69">
    <w:pPr>
      <w:pStyle w:val="Podnoje"/>
    </w:pPr>
  </w:p>
  <w:p w14:paraId="3AF45377"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358</w:t>
    </w:r>
    <w:r>
      <w:fldChar w:fldCharType="end"/>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7E77F3" w14:textId="77777777" w:rsidR="00460C69" w:rsidRDefault="00460C69" w:rsidP="00460C69">
    <w:pPr>
      <w:pStyle w:val="Podnoje"/>
    </w:pPr>
  </w:p>
  <w:p w14:paraId="63CC8555"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362</w:t>
    </w:r>
    <w:r>
      <w:fldChar w:fldCharType="end"/>
    </w: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73D65A" w14:textId="77777777" w:rsidR="00460C69" w:rsidRDefault="00460C69" w:rsidP="00460C69">
    <w:pPr>
      <w:pStyle w:val="Podnoje"/>
    </w:pPr>
  </w:p>
  <w:p w14:paraId="4BF32804"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363</w:t>
    </w:r>
    <w:r>
      <w:fldChar w:fldCharType="end"/>
    </w: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748795" w14:textId="77777777" w:rsidR="00460C69" w:rsidRDefault="00460C69" w:rsidP="00460C69">
    <w:pPr>
      <w:pStyle w:val="Podnoje"/>
    </w:pPr>
  </w:p>
  <w:p w14:paraId="6F8261A7"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361</w:t>
    </w:r>
    <w:r>
      <w:fldChar w:fldCharType="end"/>
    </w: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28EB48" w14:textId="77777777" w:rsidR="00460C69" w:rsidRDefault="00460C69" w:rsidP="00460C69">
    <w:pPr>
      <w:pStyle w:val="Podnoje"/>
    </w:pPr>
  </w:p>
  <w:p w14:paraId="4ED70EAF"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366</w:t>
    </w:r>
    <w:r>
      <w:fldChar w:fldCharType="end"/>
    </w: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05B108" w14:textId="77777777" w:rsidR="00460C69" w:rsidRDefault="00460C69" w:rsidP="00460C69">
    <w:pPr>
      <w:pStyle w:val="Podnoje"/>
    </w:pPr>
  </w:p>
  <w:p w14:paraId="49656236"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365</w:t>
    </w:r>
    <w: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400752" w14:textId="77777777" w:rsidR="00460C69" w:rsidRDefault="00460C69" w:rsidP="00460C69">
    <w:pPr>
      <w:pStyle w:val="Podnoje"/>
    </w:pPr>
  </w:p>
  <w:p w14:paraId="25659F45"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14</w:t>
    </w:r>
    <w:r>
      <w:fldChar w:fldCharType="end"/>
    </w: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0DD742" w14:textId="77777777" w:rsidR="00460C69" w:rsidRDefault="00460C69" w:rsidP="00460C69">
    <w:pPr>
      <w:pStyle w:val="Podnoje"/>
    </w:pPr>
  </w:p>
  <w:p w14:paraId="5807CD5A"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364</w:t>
    </w:r>
    <w:r>
      <w:fldChar w:fldCharType="end"/>
    </w: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0E20CD" w14:textId="77777777" w:rsidR="00460C69" w:rsidRDefault="00460C69" w:rsidP="00460C69">
    <w:pPr>
      <w:pStyle w:val="Podnoje"/>
    </w:pPr>
  </w:p>
  <w:p w14:paraId="5B0D15FD"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368</w:t>
    </w:r>
    <w:r>
      <w:fldChar w:fldCharType="end"/>
    </w: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0DC304" w14:textId="77777777" w:rsidR="00460C69" w:rsidRDefault="00460C69" w:rsidP="00460C69">
    <w:pPr>
      <w:pStyle w:val="Podnoje"/>
    </w:pPr>
  </w:p>
  <w:p w14:paraId="45FF4A84"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369</w:t>
    </w:r>
    <w:r>
      <w:fldChar w:fldCharType="end"/>
    </w: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72791B" w14:textId="77777777" w:rsidR="00460C69" w:rsidRDefault="00460C69" w:rsidP="00460C69">
    <w:pPr>
      <w:pStyle w:val="Podnoje"/>
    </w:pPr>
  </w:p>
  <w:p w14:paraId="2A9CC3CC"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367</w:t>
    </w:r>
    <w:r>
      <w:fldChar w:fldCharType="end"/>
    </w: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34A57C" w14:textId="77777777" w:rsidR="00460C69" w:rsidRDefault="00460C69" w:rsidP="00460C69">
    <w:pPr>
      <w:pStyle w:val="Podnoje"/>
    </w:pPr>
  </w:p>
  <w:p w14:paraId="40BD5506"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372</w:t>
    </w:r>
    <w:r>
      <w:fldChar w:fldCharType="end"/>
    </w: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CA72F4" w14:textId="77777777" w:rsidR="00460C69" w:rsidRDefault="00460C69" w:rsidP="00460C69">
    <w:pPr>
      <w:pStyle w:val="Podnoje"/>
    </w:pPr>
  </w:p>
  <w:p w14:paraId="5AA905A2"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371</w:t>
    </w:r>
    <w:r>
      <w:fldChar w:fldCharType="end"/>
    </w: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F948DE" w14:textId="77777777" w:rsidR="00460C69" w:rsidRDefault="00460C69" w:rsidP="00460C69">
    <w:pPr>
      <w:pStyle w:val="Podnoje"/>
    </w:pPr>
  </w:p>
  <w:p w14:paraId="486D607D"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370</w:t>
    </w:r>
    <w:r>
      <w:fldChar w:fldCharType="end"/>
    </w: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768EC2" w14:textId="77777777" w:rsidR="00460C69" w:rsidRDefault="00460C69" w:rsidP="00460C69">
    <w:pPr>
      <w:pStyle w:val="Podnoje"/>
    </w:pPr>
  </w:p>
  <w:p w14:paraId="0F4F9D4B"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374</w:t>
    </w:r>
    <w:r>
      <w:fldChar w:fldCharType="end"/>
    </w: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EE73FA" w14:textId="77777777" w:rsidR="00460C69" w:rsidRDefault="00460C69" w:rsidP="00460C69">
    <w:pPr>
      <w:pStyle w:val="Podnoje"/>
    </w:pPr>
  </w:p>
  <w:p w14:paraId="06E44239"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375</w:t>
    </w:r>
    <w:r>
      <w:fldChar w:fldCharType="end"/>
    </w: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D61678" w14:textId="77777777" w:rsidR="00460C69" w:rsidRDefault="00460C69" w:rsidP="00460C69">
    <w:pPr>
      <w:pStyle w:val="Podnoje"/>
    </w:pPr>
  </w:p>
  <w:p w14:paraId="0728E2CC"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373</w:t>
    </w:r>
    <w: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30D503" w14:textId="77777777" w:rsidR="00460C69" w:rsidRDefault="00460C69" w:rsidP="00460C69">
    <w:pPr>
      <w:pStyle w:val="Podnoje"/>
    </w:pPr>
  </w:p>
  <w:p w14:paraId="6F68C408"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44</w:t>
    </w:r>
    <w:r>
      <w:fldChar w:fldCharType="end"/>
    </w: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E2BDBF" w14:textId="77777777" w:rsidR="00460C69" w:rsidRDefault="00460C69">
    <w:pPr>
      <w:pStyle w:val="Podnoje"/>
    </w:pP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1869C9" w14:textId="77777777" w:rsidR="00460C69" w:rsidRDefault="00460C69">
    <w:pPr>
      <w:pStyle w:val="Podnoje"/>
    </w:pP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1508FB" w14:textId="77777777" w:rsidR="00460C69" w:rsidRDefault="00460C69">
    <w:pPr>
      <w:pStyle w:val="Podnoje"/>
    </w:pP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9A2504" w14:textId="77777777" w:rsidR="00460C69" w:rsidRDefault="00460C69" w:rsidP="00460C69">
    <w:pPr>
      <w:pStyle w:val="Podnoje"/>
    </w:pPr>
  </w:p>
  <w:p w14:paraId="2D8AE172"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380</w:t>
    </w:r>
    <w:r>
      <w:fldChar w:fldCharType="end"/>
    </w: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EE72EB" w14:textId="77777777" w:rsidR="00460C69" w:rsidRDefault="00460C69" w:rsidP="00460C69">
    <w:pPr>
      <w:pStyle w:val="Podnoje"/>
    </w:pPr>
  </w:p>
  <w:p w14:paraId="6CBB615C"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381</w:t>
    </w:r>
    <w:r>
      <w:fldChar w:fldCharType="end"/>
    </w: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3DAB51" w14:textId="77777777" w:rsidR="00460C69" w:rsidRDefault="00460C69" w:rsidP="00460C69">
    <w:pPr>
      <w:pStyle w:val="Podnoje"/>
    </w:pPr>
  </w:p>
  <w:p w14:paraId="09E21D3E"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378</w:t>
    </w:r>
    <w:r>
      <w:fldChar w:fldCharType="end"/>
    </w:r>
  </w:p>
</w:ftr>
</file>

<file path=word/footer1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7396A3" w14:textId="77777777" w:rsidR="00460C69" w:rsidRDefault="00460C69" w:rsidP="00FB1300">
    <w:pPr>
      <w:pStyle w:val="Podnoje"/>
    </w:pPr>
  </w:p>
  <w:p w14:paraId="2266C3EF" w14:textId="77777777" w:rsidR="00460C69" w:rsidRDefault="00460C69" w:rsidP="00FB1300">
    <w:pPr>
      <w:pStyle w:val="FooterPageNumber30"/>
      <w:framePr w:wrap="around"/>
    </w:pPr>
    <w:r>
      <w:fldChar w:fldCharType="begin"/>
    </w:r>
    <w:r>
      <w:instrText xml:space="preserve"> PAGE  \* MERGEFORMAT </w:instrText>
    </w:r>
    <w:r>
      <w:fldChar w:fldCharType="separate"/>
    </w:r>
    <w:r w:rsidR="00977956">
      <w:rPr>
        <w:noProof/>
      </w:rPr>
      <w:t>386</w:t>
    </w:r>
    <w:r>
      <w:fldChar w:fldCharType="end"/>
    </w:r>
  </w:p>
</w:ftr>
</file>

<file path=word/footer1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526682" w14:textId="77777777" w:rsidR="00460C69" w:rsidRDefault="00460C69" w:rsidP="00FB1300">
    <w:pPr>
      <w:pStyle w:val="Podnoje"/>
    </w:pPr>
  </w:p>
  <w:p w14:paraId="2D3351D5" w14:textId="77777777" w:rsidR="00460C69" w:rsidRDefault="00460C69" w:rsidP="00FB1300">
    <w:pPr>
      <w:pStyle w:val="FooterPageNumber30"/>
      <w:framePr w:wrap="around"/>
    </w:pPr>
    <w:r>
      <w:fldChar w:fldCharType="begin"/>
    </w:r>
    <w:r>
      <w:instrText xml:space="preserve"> PAGE  \* MERGEFORMAT </w:instrText>
    </w:r>
    <w:r>
      <w:fldChar w:fldCharType="separate"/>
    </w:r>
    <w:r w:rsidR="00977956">
      <w:rPr>
        <w:noProof/>
      </w:rPr>
      <w:t>387</w:t>
    </w:r>
    <w:r>
      <w:fldChar w:fldCharType="end"/>
    </w:r>
  </w:p>
</w:ftr>
</file>

<file path=word/footer1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4287DC" w14:textId="77777777" w:rsidR="00460C69" w:rsidRDefault="00460C69" w:rsidP="00FB1300">
    <w:pPr>
      <w:pStyle w:val="Podnoje"/>
    </w:pPr>
  </w:p>
  <w:p w14:paraId="0D62CB02" w14:textId="77777777" w:rsidR="00460C69" w:rsidRDefault="00460C69" w:rsidP="00FB1300">
    <w:pPr>
      <w:pStyle w:val="FooterPageNumber30"/>
      <w:framePr w:wrap="around"/>
    </w:pPr>
    <w:r>
      <w:fldChar w:fldCharType="begin"/>
    </w:r>
    <w:r>
      <w:instrText xml:space="preserve"> PAGE  \* MERGEFORMAT </w:instrText>
    </w:r>
    <w:r>
      <w:fldChar w:fldCharType="separate"/>
    </w:r>
    <w:r w:rsidR="00977956">
      <w:rPr>
        <w:noProof/>
      </w:rPr>
      <w:t>382</w:t>
    </w:r>
    <w: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23D891" w14:textId="77777777" w:rsidR="00460C69" w:rsidRDefault="00460C69" w:rsidP="00460C69">
    <w:pPr>
      <w:pStyle w:val="Podnoje"/>
    </w:pPr>
  </w:p>
  <w:p w14:paraId="1B37DCF0"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43</w:t>
    </w:r>
    <w: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A96B3A" w14:textId="77777777" w:rsidR="00460C69" w:rsidRDefault="00460C69" w:rsidP="00460C69">
    <w:pPr>
      <w:pStyle w:val="Podnoje"/>
    </w:pPr>
  </w:p>
  <w:p w14:paraId="29836591"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27</w:t>
    </w:r>
    <w: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01E7AF" w14:textId="77777777" w:rsidR="00460C69" w:rsidRDefault="00460C69" w:rsidP="00460C69">
    <w:pPr>
      <w:pStyle w:val="Podnoje"/>
    </w:pPr>
  </w:p>
  <w:p w14:paraId="37220FDF"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46</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3B50B6" w14:textId="77777777" w:rsidR="00460C69" w:rsidRDefault="00460C69" w:rsidP="00460C69">
    <w:pPr>
      <w:pStyle w:val="Podnoje"/>
    </w:pPr>
  </w:p>
  <w:p w14:paraId="0A9442FE" w14:textId="130938BD"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v</w:t>
    </w:r>
    <w:r>
      <w:fldChar w:fldCharType="end"/>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85F09F" w14:textId="77777777" w:rsidR="00460C69" w:rsidRDefault="00460C69" w:rsidP="00460C69">
    <w:pPr>
      <w:pStyle w:val="Podnoje"/>
    </w:pPr>
  </w:p>
  <w:p w14:paraId="226D02EB"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47</w:t>
    </w:r>
    <w: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CD7563" w14:textId="77777777" w:rsidR="00460C69" w:rsidRDefault="00460C69" w:rsidP="00460C69">
    <w:pPr>
      <w:pStyle w:val="Podnoje"/>
    </w:pPr>
  </w:p>
  <w:p w14:paraId="451D335A"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45</w:t>
    </w:r>
    <w:r>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1BB19C" w14:textId="77777777" w:rsidR="00460C69" w:rsidRDefault="00460C69">
    <w:pPr>
      <w:pStyle w:val="Podnoje"/>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88CB42" w14:textId="77777777" w:rsidR="00460C69" w:rsidRDefault="00460C69">
    <w:pPr>
      <w:pStyle w:val="Podnoje"/>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C5DD2B" w14:textId="77777777" w:rsidR="00460C69" w:rsidRDefault="00460C69">
    <w:pPr>
      <w:pStyle w:val="Podnoje"/>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72ADB3" w14:textId="77777777" w:rsidR="009F3ED8" w:rsidRDefault="009F3ED8" w:rsidP="00B131B3">
    <w:pPr>
      <w:pStyle w:val="Podnoje"/>
    </w:pPr>
  </w:p>
  <w:p w14:paraId="007E8007" w14:textId="77777777" w:rsidR="009F3ED8" w:rsidRDefault="009F3ED8" w:rsidP="00B131B3">
    <w:pPr>
      <w:pStyle w:val="FooterPageNumber30"/>
      <w:framePr w:wrap="around"/>
    </w:pPr>
    <w:r>
      <w:fldChar w:fldCharType="begin"/>
    </w:r>
    <w:r>
      <w:instrText xml:space="preserve"> PAGE  \* MERGEFORMAT </w:instrText>
    </w:r>
    <w:r>
      <w:fldChar w:fldCharType="separate"/>
    </w:r>
    <w:r w:rsidR="00977956">
      <w:rPr>
        <w:noProof/>
      </w:rPr>
      <w:t>100</w:t>
    </w:r>
    <w: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2E4AB5" w14:textId="77777777" w:rsidR="009F3ED8" w:rsidRDefault="009F3ED8" w:rsidP="00B131B3">
    <w:pPr>
      <w:pStyle w:val="Podnoje"/>
    </w:pPr>
  </w:p>
  <w:p w14:paraId="6DF4E49F" w14:textId="77777777" w:rsidR="009F3ED8" w:rsidRDefault="009F3ED8" w:rsidP="00B131B3">
    <w:pPr>
      <w:pStyle w:val="FooterPageNumber30"/>
      <w:framePr w:wrap="around"/>
    </w:pPr>
    <w:r>
      <w:fldChar w:fldCharType="begin"/>
    </w:r>
    <w:r>
      <w:instrText xml:space="preserve"> PAGE  \* MERGEFORMAT </w:instrText>
    </w:r>
    <w:r>
      <w:fldChar w:fldCharType="separate"/>
    </w:r>
    <w:r w:rsidR="00977956">
      <w:rPr>
        <w:noProof/>
      </w:rPr>
      <w:t>101</w:t>
    </w:r>
    <w:r>
      <w:fldChar w:fldCharType="end"/>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A4F5A7" w14:textId="77777777" w:rsidR="009F3ED8" w:rsidRDefault="009F3ED8" w:rsidP="00B131B3">
    <w:pPr>
      <w:pStyle w:val="Podnoje"/>
    </w:pPr>
  </w:p>
  <w:p w14:paraId="6470F357" w14:textId="77777777" w:rsidR="009F3ED8" w:rsidRDefault="009F3ED8" w:rsidP="00B131B3">
    <w:pPr>
      <w:pStyle w:val="FooterPageNumber30"/>
      <w:framePr w:wrap="around"/>
    </w:pPr>
    <w:r>
      <w:fldChar w:fldCharType="begin"/>
    </w:r>
    <w:r>
      <w:instrText xml:space="preserve"> PAGE  \* MERGEFORMAT </w:instrText>
    </w:r>
    <w:r>
      <w:fldChar w:fldCharType="separate"/>
    </w:r>
    <w:r w:rsidR="00977956">
      <w:rPr>
        <w:noProof/>
      </w:rPr>
      <w:t>50</w:t>
    </w:r>
    <w:r>
      <w:fldChar w:fldCharType="end"/>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DDEB11" w14:textId="77777777" w:rsidR="00460C69" w:rsidRDefault="00460C69" w:rsidP="00460C69">
    <w:pPr>
      <w:pStyle w:val="Podnoje"/>
    </w:pPr>
  </w:p>
  <w:p w14:paraId="598FBA4C"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132</w:t>
    </w:r>
    <w:r>
      <w:fldChar w:fldCharType="end"/>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D10AA6" w14:textId="77777777" w:rsidR="00460C69" w:rsidRDefault="00460C69" w:rsidP="00460C69">
    <w:pPr>
      <w:pStyle w:val="Podnoje"/>
    </w:pPr>
  </w:p>
  <w:p w14:paraId="229267D6"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131</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9D08A5" w14:textId="77777777" w:rsidR="00460C69" w:rsidRDefault="00460C69" w:rsidP="00460C69">
    <w:pPr>
      <w:pStyle w:val="Podnoje"/>
    </w:pPr>
  </w:p>
  <w:p w14:paraId="2561806E" w14:textId="689AEC5A"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ii</w:t>
    </w:r>
    <w:r>
      <w:fldChar w:fldCharType="end"/>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07A978" w14:textId="77777777" w:rsidR="00460C69" w:rsidRDefault="00460C69" w:rsidP="00460C69">
    <w:pPr>
      <w:pStyle w:val="Podnoje"/>
    </w:pPr>
  </w:p>
  <w:p w14:paraId="7EFD34A9"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102</w:t>
    </w:r>
    <w:r>
      <w:fldChar w:fldCharType="end"/>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54CDF4" w14:textId="77777777" w:rsidR="00460C69" w:rsidRDefault="00460C69" w:rsidP="00460C69">
    <w:pPr>
      <w:pStyle w:val="Podnoje"/>
    </w:pPr>
  </w:p>
  <w:p w14:paraId="196DF132"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158</w:t>
    </w:r>
    <w:r>
      <w:fldChar w:fldCharType="end"/>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28A970" w14:textId="77777777" w:rsidR="00460C69" w:rsidRDefault="00460C69" w:rsidP="00460C69">
    <w:pPr>
      <w:pStyle w:val="Podnoje"/>
    </w:pPr>
  </w:p>
  <w:p w14:paraId="4CF91A1C"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159</w:t>
    </w:r>
    <w:r>
      <w:fldChar w:fldCharType="end"/>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DB686C" w14:textId="77777777" w:rsidR="00460C69" w:rsidRDefault="00460C69" w:rsidP="00460C69">
    <w:pPr>
      <w:pStyle w:val="Podnoje"/>
    </w:pPr>
  </w:p>
  <w:p w14:paraId="0941E1C9"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133</w:t>
    </w:r>
    <w:r>
      <w:fldChar w:fldCharType="end"/>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7DD023" w14:textId="77777777" w:rsidR="00460C69" w:rsidRDefault="00460C69" w:rsidP="00460C69">
    <w:pPr>
      <w:pStyle w:val="Podnoje"/>
    </w:pPr>
  </w:p>
  <w:p w14:paraId="39A69C91"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170</w:t>
    </w:r>
    <w:r>
      <w:fldChar w:fldCharType="end"/>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0F8BDC" w14:textId="77777777" w:rsidR="00460C69" w:rsidRDefault="00460C69" w:rsidP="00460C69">
    <w:pPr>
      <w:pStyle w:val="Podnoje"/>
    </w:pPr>
  </w:p>
  <w:p w14:paraId="2F7555EF"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169</w:t>
    </w:r>
    <w:r>
      <w:fldChar w:fldCharType="end"/>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D3BF6F" w14:textId="77777777" w:rsidR="00460C69" w:rsidRDefault="00460C69" w:rsidP="00460C69">
    <w:pPr>
      <w:pStyle w:val="Podnoje"/>
    </w:pPr>
  </w:p>
  <w:p w14:paraId="5F63D5F3"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160</w:t>
    </w:r>
    <w:r>
      <w:fldChar w:fldCharType="end"/>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E9841A" w14:textId="77777777" w:rsidR="00460C69" w:rsidRDefault="00460C69" w:rsidP="00460C69">
    <w:pPr>
      <w:pStyle w:val="Podnoje"/>
    </w:pPr>
  </w:p>
  <w:p w14:paraId="5B7D91A4"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174</w:t>
    </w:r>
    <w:r>
      <w:fldChar w:fldCharType="end"/>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DA7D48" w14:textId="77777777" w:rsidR="00460C69" w:rsidRDefault="00460C69" w:rsidP="00460C69">
    <w:pPr>
      <w:pStyle w:val="Podnoje"/>
    </w:pPr>
  </w:p>
  <w:p w14:paraId="3C0518FC"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173</w:t>
    </w:r>
    <w:r>
      <w:fldChar w:fldCharType="end"/>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951EEB" w14:textId="77777777" w:rsidR="00460C69" w:rsidRDefault="00460C69" w:rsidP="00460C69">
    <w:pPr>
      <w:pStyle w:val="Podnoje"/>
    </w:pPr>
  </w:p>
  <w:p w14:paraId="77D0121B"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171</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DC083A" w14:textId="77777777" w:rsidR="00460C69" w:rsidRDefault="00460C69" w:rsidP="00460C69">
    <w:pPr>
      <w:pStyle w:val="Podnoje"/>
    </w:pPr>
  </w:p>
  <w:p w14:paraId="083457F1"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xvi</w:t>
    </w:r>
    <w:r>
      <w:fldChar w:fldCharType="end"/>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8BCEF5" w14:textId="77777777" w:rsidR="00460C69" w:rsidRDefault="00460C69" w:rsidP="00460C69">
    <w:pPr>
      <w:pStyle w:val="Podnoje"/>
    </w:pPr>
  </w:p>
  <w:p w14:paraId="4B8F85A3"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178</w:t>
    </w:r>
    <w:r>
      <w:fldChar w:fldCharType="end"/>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8DC589" w14:textId="77777777" w:rsidR="00460C69" w:rsidRDefault="00460C69" w:rsidP="00460C69">
    <w:pPr>
      <w:pStyle w:val="Podnoje"/>
    </w:pPr>
  </w:p>
  <w:p w14:paraId="07DFC129"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177</w:t>
    </w:r>
    <w:r>
      <w:fldChar w:fldCharType="end"/>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3DA12C" w14:textId="77777777" w:rsidR="00460C69" w:rsidRDefault="00460C69" w:rsidP="00460C69">
    <w:pPr>
      <w:pStyle w:val="Podnoje"/>
    </w:pPr>
  </w:p>
  <w:p w14:paraId="6F5D1389"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175</w:t>
    </w:r>
    <w:r>
      <w:fldChar w:fldCharType="end"/>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4E4523" w14:textId="77777777" w:rsidR="008A6BEE" w:rsidRDefault="008A6BEE" w:rsidP="00D1588F">
    <w:pPr>
      <w:pStyle w:val="Podnoje"/>
    </w:pPr>
  </w:p>
  <w:p w14:paraId="1EBF2D61" w14:textId="77777777" w:rsidR="008A6BEE" w:rsidRDefault="008A6BEE" w:rsidP="00D1588F">
    <w:pPr>
      <w:pStyle w:val="FooterPageNumber30"/>
      <w:framePr w:wrap="around"/>
    </w:pPr>
    <w:r>
      <w:fldChar w:fldCharType="begin"/>
    </w:r>
    <w:r>
      <w:instrText xml:space="preserve"> PAGE  \* MERGEFORMAT </w:instrText>
    </w:r>
    <w:r>
      <w:fldChar w:fldCharType="separate"/>
    </w:r>
    <w:r w:rsidR="00977956">
      <w:rPr>
        <w:noProof/>
      </w:rPr>
      <w:t>184</w:t>
    </w:r>
    <w:r>
      <w:fldChar w:fldCharType="end"/>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931BCA" w14:textId="77777777" w:rsidR="008A6BEE" w:rsidRDefault="008A6BEE" w:rsidP="00D1588F">
    <w:pPr>
      <w:pStyle w:val="Podnoje"/>
    </w:pPr>
  </w:p>
  <w:p w14:paraId="589DF5B7" w14:textId="77777777" w:rsidR="008A6BEE" w:rsidRDefault="008A6BEE" w:rsidP="00D1588F">
    <w:pPr>
      <w:pStyle w:val="FooterPageNumber30"/>
      <w:framePr w:wrap="around"/>
    </w:pPr>
    <w:r>
      <w:fldChar w:fldCharType="begin"/>
    </w:r>
    <w:r>
      <w:instrText xml:space="preserve"> PAGE  \* MERGEFORMAT </w:instrText>
    </w:r>
    <w:r>
      <w:fldChar w:fldCharType="separate"/>
    </w:r>
    <w:r w:rsidR="00977956">
      <w:rPr>
        <w:noProof/>
      </w:rPr>
      <w:t>183</w:t>
    </w:r>
    <w:r>
      <w:fldChar w:fldCharType="end"/>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337E6C" w14:textId="77777777" w:rsidR="008A6BEE" w:rsidRDefault="008A6BEE" w:rsidP="00D1588F">
    <w:pPr>
      <w:pStyle w:val="Podnoje"/>
    </w:pPr>
  </w:p>
  <w:p w14:paraId="6885AB41" w14:textId="77777777" w:rsidR="008A6BEE" w:rsidRDefault="008A6BEE" w:rsidP="00D1588F">
    <w:pPr>
      <w:pStyle w:val="FooterPageNumber30"/>
      <w:framePr w:wrap="around"/>
    </w:pPr>
    <w:r>
      <w:fldChar w:fldCharType="begin"/>
    </w:r>
    <w:r>
      <w:instrText xml:space="preserve"> PAGE  \* MERGEFORMAT </w:instrText>
    </w:r>
    <w:r>
      <w:fldChar w:fldCharType="separate"/>
    </w:r>
    <w:r w:rsidR="00977956">
      <w:rPr>
        <w:noProof/>
      </w:rPr>
      <w:t>179</w:t>
    </w:r>
    <w:r>
      <w:fldChar w:fldCharType="end"/>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7636EB" w14:textId="77777777" w:rsidR="00460C69" w:rsidRDefault="00460C69" w:rsidP="00460C69">
    <w:pPr>
      <w:pStyle w:val="Podnoje"/>
    </w:pPr>
  </w:p>
  <w:p w14:paraId="2025ADDD"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186</w:t>
    </w:r>
    <w:r>
      <w:fldChar w:fldCharType="end"/>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1C8A3D" w14:textId="77777777" w:rsidR="00460C69" w:rsidRDefault="00460C69" w:rsidP="00460C69">
    <w:pPr>
      <w:pStyle w:val="Podnoje"/>
    </w:pPr>
  </w:p>
  <w:p w14:paraId="1DF03402"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187</w:t>
    </w:r>
    <w:r>
      <w:fldChar w:fldCharType="end"/>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1322C4" w14:textId="77777777" w:rsidR="00460C69" w:rsidRDefault="00460C69" w:rsidP="00460C69">
    <w:pPr>
      <w:pStyle w:val="Podnoje"/>
    </w:pPr>
  </w:p>
  <w:p w14:paraId="45298F98"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185</w:t>
    </w:r>
    <w:r>
      <w:fldChar w:fldCharType="end"/>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A4EA62" w14:textId="77777777" w:rsidR="00460C69" w:rsidRDefault="00460C69" w:rsidP="00460C69">
    <w:pPr>
      <w:pStyle w:val="Podnoje"/>
    </w:pPr>
  </w:p>
  <w:p w14:paraId="4EC070FE"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194</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1CFE7E" w14:textId="77777777" w:rsidR="00460C69" w:rsidRDefault="00460C69" w:rsidP="00460C69">
    <w:pPr>
      <w:pStyle w:val="Podnoje"/>
    </w:pPr>
  </w:p>
  <w:p w14:paraId="285BE85D"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xvii</w:t>
    </w:r>
    <w:r>
      <w:fldChar w:fldCharType="end"/>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2B7232" w14:textId="77777777" w:rsidR="00460C69" w:rsidRDefault="00460C69" w:rsidP="00460C69">
    <w:pPr>
      <w:pStyle w:val="Podnoje"/>
    </w:pPr>
  </w:p>
  <w:p w14:paraId="7AC8A53A"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193</w:t>
    </w:r>
    <w:r>
      <w:fldChar w:fldCharType="end"/>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2898F9" w14:textId="77777777" w:rsidR="00460C69" w:rsidRDefault="00460C69" w:rsidP="00460C69">
    <w:pPr>
      <w:pStyle w:val="Podnoje"/>
    </w:pPr>
  </w:p>
  <w:p w14:paraId="3E816E0F"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188</w:t>
    </w:r>
    <w:r>
      <w:fldChar w:fldCharType="end"/>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BEA47B" w14:textId="77777777" w:rsidR="00460C69" w:rsidRDefault="00460C69" w:rsidP="00460C69">
    <w:pPr>
      <w:pStyle w:val="Podnoje"/>
    </w:pPr>
  </w:p>
  <w:p w14:paraId="61B8DA6C"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198</w:t>
    </w:r>
    <w:r>
      <w:fldChar w:fldCharType="end"/>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0F0B26" w14:textId="77777777" w:rsidR="00460C69" w:rsidRDefault="00460C69" w:rsidP="00460C69">
    <w:pPr>
      <w:pStyle w:val="Podnoje"/>
    </w:pPr>
  </w:p>
  <w:p w14:paraId="592B748A"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197</w:t>
    </w:r>
    <w:r>
      <w:fldChar w:fldCharType="end"/>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583623" w14:textId="77777777" w:rsidR="00460C69" w:rsidRDefault="00460C69" w:rsidP="00460C69">
    <w:pPr>
      <w:pStyle w:val="Podnoje"/>
    </w:pPr>
  </w:p>
  <w:p w14:paraId="7721D545"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195</w:t>
    </w:r>
    <w:r>
      <w:fldChar w:fldCharType="end"/>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7A15DE" w14:textId="77777777" w:rsidR="00460C69" w:rsidRDefault="00460C69">
    <w:pPr>
      <w:pStyle w:val="Podnoje"/>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1DADB3" w14:textId="77777777" w:rsidR="00460C69" w:rsidRDefault="00460C69">
    <w:pPr>
      <w:pStyle w:val="Podnoje"/>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F96814" w14:textId="77777777" w:rsidR="00460C69" w:rsidRDefault="00460C69">
    <w:pPr>
      <w:pStyle w:val="Podnoje"/>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16D3D6" w14:textId="77777777" w:rsidR="00460C69" w:rsidRDefault="00460C69" w:rsidP="00460C69">
    <w:pPr>
      <w:pStyle w:val="Podnoje"/>
    </w:pPr>
  </w:p>
  <w:p w14:paraId="2DC99E6C"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278</w:t>
    </w:r>
    <w:r>
      <w:fldChar w:fldCharType="end"/>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F0FF96" w14:textId="77777777" w:rsidR="00460C69" w:rsidRDefault="00460C69" w:rsidP="00460C69">
    <w:pPr>
      <w:pStyle w:val="Podnoje"/>
    </w:pPr>
  </w:p>
  <w:p w14:paraId="0B8A008D"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277</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7C4786" w14:textId="77777777" w:rsidR="00460C69" w:rsidRDefault="00460C69" w:rsidP="00460C69">
    <w:pPr>
      <w:pStyle w:val="Podnoje"/>
    </w:pPr>
  </w:p>
  <w:p w14:paraId="72D0ABE1"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vii</w:t>
    </w:r>
    <w:r>
      <w:fldChar w:fldCharType="end"/>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7A88F5" w14:textId="77777777" w:rsidR="00460C69" w:rsidRDefault="00460C69" w:rsidP="00460C69">
    <w:pPr>
      <w:pStyle w:val="Podnoje"/>
    </w:pPr>
  </w:p>
  <w:p w14:paraId="64E50ECC"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200</w:t>
    </w:r>
    <w:r>
      <w:fldChar w:fldCharType="end"/>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56C2AB" w14:textId="77777777" w:rsidR="00460C69" w:rsidRDefault="00460C69">
    <w:pPr>
      <w:pStyle w:val="Podnoje"/>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B2F0ED" w14:textId="77777777" w:rsidR="00460C69" w:rsidRDefault="00460C69">
    <w:pPr>
      <w:pStyle w:val="Podnoje"/>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BA27AC" w14:textId="77777777" w:rsidR="00460C69" w:rsidRDefault="00460C69">
    <w:pPr>
      <w:pStyle w:val="Podnoje"/>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EB38FB" w14:textId="77777777" w:rsidR="00460C69" w:rsidRDefault="00460C69" w:rsidP="00460C69">
    <w:pPr>
      <w:pStyle w:val="Podnoje"/>
    </w:pPr>
  </w:p>
  <w:p w14:paraId="51F5F0E4"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282</w:t>
    </w:r>
    <w:r>
      <w:fldChar w:fldCharType="end"/>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787D29" w14:textId="77777777" w:rsidR="00460C69" w:rsidRDefault="00460C69" w:rsidP="00460C69">
    <w:pPr>
      <w:pStyle w:val="Podnoje"/>
    </w:pPr>
  </w:p>
  <w:p w14:paraId="3666925E"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281</w:t>
    </w:r>
    <w:r>
      <w:fldChar w:fldCharType="end"/>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6AC3D2" w14:textId="77777777" w:rsidR="00460C69" w:rsidRDefault="00460C69" w:rsidP="00460C69">
    <w:pPr>
      <w:pStyle w:val="Podnoje"/>
    </w:pPr>
  </w:p>
  <w:p w14:paraId="75E70190"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280</w:t>
    </w:r>
    <w:r>
      <w:fldChar w:fldCharType="end"/>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69B3F9" w14:textId="77777777" w:rsidR="00460C69" w:rsidRDefault="00460C69" w:rsidP="00460C69">
    <w:pPr>
      <w:pStyle w:val="Podnoje"/>
    </w:pPr>
  </w:p>
  <w:p w14:paraId="282A2682"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284</w:t>
    </w:r>
    <w:r>
      <w:fldChar w:fldCharType="end"/>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72CD4A" w14:textId="77777777" w:rsidR="00460C69" w:rsidRDefault="00460C69" w:rsidP="00460C69">
    <w:pPr>
      <w:pStyle w:val="Podnoje"/>
    </w:pPr>
  </w:p>
  <w:p w14:paraId="6C3A74F5"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285</w:t>
    </w:r>
    <w:r>
      <w:fldChar w:fldCharType="end"/>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BCE53E" w14:textId="77777777" w:rsidR="00460C69" w:rsidRDefault="00460C69" w:rsidP="00460C69">
    <w:pPr>
      <w:pStyle w:val="Podnoje"/>
    </w:pPr>
  </w:p>
  <w:p w14:paraId="2AB3427B"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283</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559A12" w14:textId="77777777" w:rsidR="00460C69" w:rsidRDefault="00460C69" w:rsidP="00460C69">
    <w:pPr>
      <w:pStyle w:val="Podnoje"/>
    </w:pPr>
  </w:p>
  <w:p w14:paraId="6E045B76"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12</w:t>
    </w:r>
    <w:r>
      <w:fldChar w:fldCharType="end"/>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BF96BC" w14:textId="77777777" w:rsidR="00460C69" w:rsidRDefault="00460C69" w:rsidP="00460C69">
    <w:pPr>
      <w:pStyle w:val="Podnoje"/>
    </w:pPr>
  </w:p>
  <w:p w14:paraId="0A065D2D"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288</w:t>
    </w:r>
    <w:r>
      <w:fldChar w:fldCharType="end"/>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960C36" w14:textId="77777777" w:rsidR="00460C69" w:rsidRDefault="00460C69" w:rsidP="00460C69">
    <w:pPr>
      <w:pStyle w:val="Podnoje"/>
    </w:pPr>
  </w:p>
  <w:p w14:paraId="795F3ED8"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287</w:t>
    </w:r>
    <w:r>
      <w:fldChar w:fldCharType="end"/>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65EFD7" w14:textId="77777777" w:rsidR="00460C69" w:rsidRDefault="00460C69" w:rsidP="00460C69">
    <w:pPr>
      <w:pStyle w:val="Podnoje"/>
    </w:pPr>
  </w:p>
  <w:p w14:paraId="34AF01CB"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286</w:t>
    </w:r>
    <w:r>
      <w:fldChar w:fldCharType="end"/>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7D8537" w14:textId="77777777" w:rsidR="00460C69" w:rsidRDefault="00460C69" w:rsidP="00460C69">
    <w:pPr>
      <w:pStyle w:val="Podnoje"/>
    </w:pPr>
  </w:p>
  <w:p w14:paraId="0F6C8020"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290</w:t>
    </w:r>
    <w:r>
      <w:fldChar w:fldCharType="end"/>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8E87C1" w14:textId="77777777" w:rsidR="00460C69" w:rsidRDefault="00460C69" w:rsidP="00460C69">
    <w:pPr>
      <w:pStyle w:val="Podnoje"/>
    </w:pPr>
  </w:p>
  <w:p w14:paraId="13FAC6C4"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291</w:t>
    </w:r>
    <w:r>
      <w:fldChar w:fldCharType="end"/>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870B9F" w14:textId="77777777" w:rsidR="00460C69" w:rsidRDefault="00460C69" w:rsidP="00460C69">
    <w:pPr>
      <w:pStyle w:val="Podnoje"/>
    </w:pPr>
  </w:p>
  <w:p w14:paraId="04D59B12"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289</w:t>
    </w:r>
    <w:r>
      <w:fldChar w:fldCharType="end"/>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B11475" w14:textId="77777777" w:rsidR="00460C69" w:rsidRDefault="00460C69" w:rsidP="00460C69">
    <w:pPr>
      <w:pStyle w:val="Podnoje"/>
    </w:pPr>
  </w:p>
  <w:p w14:paraId="386A8E84"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294</w:t>
    </w:r>
    <w:r>
      <w:fldChar w:fldCharType="end"/>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9096BD" w14:textId="77777777" w:rsidR="00460C69" w:rsidRDefault="00460C69" w:rsidP="00460C69">
    <w:pPr>
      <w:pStyle w:val="Podnoje"/>
    </w:pPr>
  </w:p>
  <w:p w14:paraId="63F39AEA"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293</w:t>
    </w:r>
    <w:r>
      <w:fldChar w:fldCharType="end"/>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1070F7" w14:textId="77777777" w:rsidR="00460C69" w:rsidRDefault="00460C69" w:rsidP="00460C69">
    <w:pPr>
      <w:pStyle w:val="Podnoje"/>
    </w:pPr>
  </w:p>
  <w:p w14:paraId="7CCA9A27"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292</w:t>
    </w:r>
    <w:r>
      <w:fldChar w:fldCharType="end"/>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C62B76" w14:textId="77777777" w:rsidR="00460C69" w:rsidRDefault="00460C69" w:rsidP="00460C69">
    <w:pPr>
      <w:pStyle w:val="Podnoje"/>
    </w:pPr>
  </w:p>
  <w:p w14:paraId="327E1892"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296</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DBA2FB" w14:textId="77777777" w:rsidR="00460C69" w:rsidRDefault="00460C69" w:rsidP="00460C69">
    <w:pPr>
      <w:pStyle w:val="Podnoje"/>
    </w:pPr>
  </w:p>
  <w:p w14:paraId="34087D02"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11</w:t>
    </w:r>
    <w:r>
      <w:fldChar w:fldCharType="end"/>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ADCD13" w14:textId="77777777" w:rsidR="00460C69" w:rsidRDefault="00460C69" w:rsidP="00460C69">
    <w:pPr>
      <w:pStyle w:val="Podnoje"/>
    </w:pPr>
  </w:p>
  <w:p w14:paraId="7DA1212C"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297</w:t>
    </w:r>
    <w:r>
      <w:fldChar w:fldCharType="end"/>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CE724D" w14:textId="77777777" w:rsidR="00460C69" w:rsidRDefault="00460C69" w:rsidP="00460C69">
    <w:pPr>
      <w:pStyle w:val="Podnoje"/>
    </w:pPr>
  </w:p>
  <w:p w14:paraId="4203AF8A"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295</w:t>
    </w:r>
    <w:r>
      <w:fldChar w:fldCharType="end"/>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CC0DE9" w14:textId="77777777" w:rsidR="00460C69" w:rsidRDefault="00460C69" w:rsidP="00460C69">
    <w:pPr>
      <w:pStyle w:val="Podnoje"/>
    </w:pPr>
  </w:p>
  <w:p w14:paraId="193EA32D"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300</w:t>
    </w:r>
    <w:r>
      <w:fldChar w:fldCharType="end"/>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6D6DFB" w14:textId="77777777" w:rsidR="00460C69" w:rsidRDefault="00460C69" w:rsidP="00460C69">
    <w:pPr>
      <w:pStyle w:val="Podnoje"/>
    </w:pPr>
  </w:p>
  <w:p w14:paraId="3B20F8CC"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299</w:t>
    </w:r>
    <w:r>
      <w:fldChar w:fldCharType="end"/>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0C2F97" w14:textId="77777777" w:rsidR="00460C69" w:rsidRDefault="00460C69" w:rsidP="00460C69">
    <w:pPr>
      <w:pStyle w:val="Podnoje"/>
    </w:pPr>
  </w:p>
  <w:p w14:paraId="588AAFB6"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298</w:t>
    </w:r>
    <w:r>
      <w:fldChar w:fldCharType="end"/>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6D5D82" w14:textId="77777777" w:rsidR="00460C69" w:rsidRDefault="00460C69" w:rsidP="00460C69">
    <w:pPr>
      <w:pStyle w:val="Podnoje"/>
    </w:pPr>
  </w:p>
  <w:p w14:paraId="5FA93285"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302</w:t>
    </w:r>
    <w:r>
      <w:fldChar w:fldCharType="end"/>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95A160" w14:textId="77777777" w:rsidR="00460C69" w:rsidRDefault="00460C69" w:rsidP="00460C69">
    <w:pPr>
      <w:pStyle w:val="Podnoje"/>
    </w:pPr>
  </w:p>
  <w:p w14:paraId="6C5CA16F"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303</w:t>
    </w:r>
    <w:r>
      <w:fldChar w:fldCharType="end"/>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29F9E2" w14:textId="77777777" w:rsidR="00460C69" w:rsidRDefault="00460C69" w:rsidP="00460C69">
    <w:pPr>
      <w:pStyle w:val="Podnoje"/>
    </w:pPr>
  </w:p>
  <w:p w14:paraId="0B642B98"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301</w:t>
    </w:r>
    <w:r>
      <w:fldChar w:fldCharType="end"/>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C9F1BA" w14:textId="77777777" w:rsidR="00460C69" w:rsidRDefault="00460C69" w:rsidP="00460C69">
    <w:pPr>
      <w:pStyle w:val="Podnoje"/>
    </w:pPr>
  </w:p>
  <w:p w14:paraId="094B2572"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306</w:t>
    </w:r>
    <w:r>
      <w:fldChar w:fldCharType="end"/>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3B5A6C" w14:textId="77777777" w:rsidR="00460C69" w:rsidRDefault="00460C69" w:rsidP="00460C69">
    <w:pPr>
      <w:pStyle w:val="Podnoje"/>
    </w:pPr>
  </w:p>
  <w:p w14:paraId="1D08CA70"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305</w:t>
    </w:r>
    <w: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607861" w14:textId="77777777" w:rsidR="00460C69" w:rsidRDefault="00460C69" w:rsidP="00460C69">
    <w:pPr>
      <w:pStyle w:val="Podnoje"/>
    </w:pPr>
  </w:p>
  <w:p w14:paraId="2BF6F250"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1</w:t>
    </w:r>
    <w:r>
      <w:fldChar w:fldCharType="end"/>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2D8158" w14:textId="77777777" w:rsidR="00460C69" w:rsidRDefault="00460C69" w:rsidP="00460C69">
    <w:pPr>
      <w:pStyle w:val="Podnoje"/>
    </w:pPr>
  </w:p>
  <w:p w14:paraId="04C7FCEA"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304</w:t>
    </w:r>
    <w:r>
      <w:fldChar w:fldCharType="end"/>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45AB30" w14:textId="77777777" w:rsidR="00460C69" w:rsidRDefault="00460C69" w:rsidP="00460C69">
    <w:pPr>
      <w:pStyle w:val="Podnoje"/>
    </w:pPr>
  </w:p>
  <w:p w14:paraId="20C516CC"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308</w:t>
    </w:r>
    <w:r>
      <w:fldChar w:fldCharType="end"/>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4E9E0D" w14:textId="77777777" w:rsidR="00460C69" w:rsidRDefault="00460C69" w:rsidP="00460C69">
    <w:pPr>
      <w:pStyle w:val="Podnoje"/>
    </w:pPr>
  </w:p>
  <w:p w14:paraId="56121244"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309</w:t>
    </w:r>
    <w:r>
      <w:fldChar w:fldCharType="end"/>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0BDFA3" w14:textId="77777777" w:rsidR="00460C69" w:rsidRDefault="00460C69" w:rsidP="00460C69">
    <w:pPr>
      <w:pStyle w:val="Podnoje"/>
    </w:pPr>
  </w:p>
  <w:p w14:paraId="298F75BD"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307</w:t>
    </w:r>
    <w:r>
      <w:fldChar w:fldCharType="end"/>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43C4E9" w14:textId="77777777" w:rsidR="00460C69" w:rsidRDefault="00460C69" w:rsidP="00460C69">
    <w:pPr>
      <w:pStyle w:val="Podnoje"/>
    </w:pPr>
  </w:p>
  <w:p w14:paraId="37E612C9"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312</w:t>
    </w:r>
    <w:r>
      <w:fldChar w:fldCharType="end"/>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ED219A" w14:textId="77777777" w:rsidR="00460C69" w:rsidRDefault="00460C69" w:rsidP="00460C69">
    <w:pPr>
      <w:pStyle w:val="Podnoje"/>
    </w:pPr>
  </w:p>
  <w:p w14:paraId="182EC0FA"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311</w:t>
    </w:r>
    <w:r>
      <w:fldChar w:fldCharType="end"/>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EF174C" w14:textId="77777777" w:rsidR="00460C69" w:rsidRDefault="00460C69" w:rsidP="00460C69">
    <w:pPr>
      <w:pStyle w:val="Podnoje"/>
    </w:pPr>
  </w:p>
  <w:p w14:paraId="065D6FB1"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310</w:t>
    </w:r>
    <w:r>
      <w:fldChar w:fldCharType="end"/>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AB0E61" w14:textId="77777777" w:rsidR="00460C69" w:rsidRDefault="00460C69" w:rsidP="00460C69">
    <w:pPr>
      <w:pStyle w:val="Podnoje"/>
    </w:pPr>
  </w:p>
  <w:p w14:paraId="1C539481"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314</w:t>
    </w:r>
    <w:r>
      <w:fldChar w:fldCharType="end"/>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5CA56F" w14:textId="77777777" w:rsidR="00460C69" w:rsidRDefault="00460C69" w:rsidP="00460C69">
    <w:pPr>
      <w:pStyle w:val="Podnoje"/>
    </w:pPr>
  </w:p>
  <w:p w14:paraId="7B434D17"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315</w:t>
    </w:r>
    <w:r>
      <w:fldChar w:fldCharType="end"/>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1FA156" w14:textId="77777777" w:rsidR="00460C69" w:rsidRDefault="00460C69" w:rsidP="00460C69">
    <w:pPr>
      <w:pStyle w:val="Podnoje"/>
    </w:pPr>
  </w:p>
  <w:p w14:paraId="737D3DFA" w14:textId="77777777" w:rsidR="00460C69" w:rsidRDefault="00460C69" w:rsidP="00460C69">
    <w:pPr>
      <w:pStyle w:val="FooterPageNumber30"/>
      <w:framePr w:wrap="around"/>
    </w:pPr>
    <w:r>
      <w:fldChar w:fldCharType="begin"/>
    </w:r>
    <w:r>
      <w:instrText xml:space="preserve"> PAGE  \* MERGEFORMAT </w:instrText>
    </w:r>
    <w:r>
      <w:fldChar w:fldCharType="separate"/>
    </w:r>
    <w:r w:rsidR="00977956">
      <w:rPr>
        <w:noProof/>
      </w:rPr>
      <w:t>313</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72A8C18" w14:textId="77777777" w:rsidR="00460C69" w:rsidRDefault="00460C69">
      <w:pPr>
        <w:spacing w:after="0"/>
      </w:pPr>
      <w:r>
        <w:separator/>
      </w:r>
    </w:p>
  </w:footnote>
  <w:footnote w:type="continuationSeparator" w:id="0">
    <w:p w14:paraId="3F80AD79" w14:textId="77777777" w:rsidR="00460C69" w:rsidRDefault="00460C69">
      <w:r>
        <w:continuationSeparator/>
      </w:r>
    </w:p>
  </w:footnote>
  <w:footnote w:id="1">
    <w:p w14:paraId="60A6A35A" w14:textId="77777777" w:rsidR="00460C69" w:rsidRDefault="00460C69" w:rsidP="00460C69">
      <w:pPr>
        <w:pStyle w:val="Tekstfusnote"/>
      </w:pPr>
      <w:r w:rsidRPr="00403C18">
        <w:t>(</w:t>
      </w:r>
      <w:r w:rsidRPr="00403C18">
        <w:rPr>
          <w:rStyle w:val="Referencafusnote"/>
        </w:rPr>
        <w:footnoteRef/>
      </w:r>
      <w:r w:rsidRPr="00403C18">
        <w:t>)</w:t>
      </w:r>
      <w:r w:rsidRPr="0017574F">
        <w:tab/>
      </w:r>
      <w:r>
        <w:t xml:space="preserve">See </w:t>
      </w:r>
      <w:r w:rsidRPr="001F691F">
        <w:t xml:space="preserve">European Commission </w:t>
      </w:r>
      <w:r>
        <w:t xml:space="preserve">(DG ECFIN) </w:t>
      </w:r>
      <w:r w:rsidRPr="001F691F">
        <w:t>and Economic Policy Committee</w:t>
      </w:r>
      <w:r>
        <w:t xml:space="preserve"> (AWG)</w:t>
      </w:r>
      <w:r w:rsidRPr="001F691F">
        <w:t xml:space="preserve"> (20</w:t>
      </w:r>
      <w:r>
        <w:t>17</w:t>
      </w:r>
      <w:r w:rsidRPr="001F691F">
        <w:t>) "20</w:t>
      </w:r>
      <w:r>
        <w:t>18</w:t>
      </w:r>
      <w:r w:rsidRPr="001F691F">
        <w:t xml:space="preserve"> Ageing Report: </w:t>
      </w:r>
      <w:r>
        <w:t>Underlying assumptions and projection methodologies",</w:t>
      </w:r>
      <w:r w:rsidRPr="001F691F">
        <w:t xml:space="preserve"> </w:t>
      </w:r>
      <w:r>
        <w:t xml:space="preserve">European Commission, </w:t>
      </w:r>
      <w:r w:rsidRPr="001F691F">
        <w:t xml:space="preserve">European Economy, </w:t>
      </w:r>
      <w:r>
        <w:t xml:space="preserve">Institutional papers </w:t>
      </w:r>
      <w:r w:rsidRPr="001F691F">
        <w:t xml:space="preserve">No </w:t>
      </w:r>
      <w:r>
        <w:t>65.</w:t>
      </w:r>
      <w:r w:rsidRPr="00291B7B">
        <w:t xml:space="preserve"> </w:t>
      </w:r>
    </w:p>
  </w:footnote>
  <w:footnote w:id="2">
    <w:p w14:paraId="73D59C71" w14:textId="77777777" w:rsidR="00460C69" w:rsidRPr="00105B7E" w:rsidRDefault="00460C69" w:rsidP="00460C69">
      <w:pPr>
        <w:pStyle w:val="Tekstfusnote"/>
      </w:pPr>
      <w:r w:rsidRPr="00403C18">
        <w:t>(</w:t>
      </w:r>
      <w:r w:rsidRPr="00403C18">
        <w:rPr>
          <w:rStyle w:val="Referencafusnote"/>
        </w:rPr>
        <w:footnoteRef/>
      </w:r>
      <w:r w:rsidRPr="00403C18">
        <w:t>)</w:t>
      </w:r>
      <w:r w:rsidRPr="00105B7E">
        <w:tab/>
      </w:r>
      <w:r>
        <w:t>I</w:t>
      </w:r>
      <w:r w:rsidRPr="00A83ECA">
        <w:t xml:space="preserve">n order to ensure high quality and comparability of the pension projection results, an in-depth peer review </w:t>
      </w:r>
      <w:r>
        <w:t>w</w:t>
      </w:r>
      <w:r w:rsidRPr="00A83ECA">
        <w:t>as carried out by the AWG and the Commission</w:t>
      </w:r>
      <w:r>
        <w:t xml:space="preserve"> in several meetings during September-December 2017</w:t>
      </w:r>
      <w:r w:rsidRPr="00A83ECA">
        <w:t>.</w:t>
      </w:r>
      <w:r>
        <w:t xml:space="preserve"> The projections incorporate pension legislation in place at that time. No further reform measures after 1 December 2017 have been incorporated in this report.</w:t>
      </w:r>
    </w:p>
  </w:footnote>
  <w:footnote w:id="3">
    <w:p w14:paraId="64DF98B4" w14:textId="77777777" w:rsidR="00460C69" w:rsidRPr="008F5DC7" w:rsidRDefault="00460C69" w:rsidP="00460C69">
      <w:pPr>
        <w:pStyle w:val="Tekstfusnote"/>
      </w:pPr>
      <w:r w:rsidRPr="00403C18">
        <w:t>(</w:t>
      </w:r>
      <w:r w:rsidRPr="00403C18">
        <w:rPr>
          <w:rStyle w:val="Referencafusnote"/>
        </w:rPr>
        <w:footnoteRef/>
      </w:r>
      <w:r w:rsidRPr="00403C18">
        <w:t>)</w:t>
      </w:r>
      <w:r w:rsidRPr="008F5DC7">
        <w:tab/>
      </w:r>
      <w:r>
        <w:t>For EU27 (all EU countries except the UK), the total population is projected to decrease from 445 million in 2016 to 439</w:t>
      </w:r>
      <w:r w:rsidRPr="00D6290A">
        <w:t xml:space="preserve"> </w:t>
      </w:r>
      <w:r>
        <w:t>million in 2070, and the working age population (15-64) is projected to fall from 291 million in 2016 to 246 million in 2070.</w:t>
      </w:r>
    </w:p>
  </w:footnote>
  <w:footnote w:id="4">
    <w:p w14:paraId="70F222C1" w14:textId="77777777" w:rsidR="00460C69" w:rsidRDefault="00460C69" w:rsidP="00460C69">
      <w:pPr>
        <w:pStyle w:val="Tekstfusnote"/>
      </w:pPr>
      <w:r w:rsidRPr="00403C18">
        <w:t>(</w:t>
      </w:r>
      <w:r w:rsidRPr="00403C18">
        <w:rPr>
          <w:rStyle w:val="Referencafusnote"/>
        </w:rPr>
        <w:footnoteRef/>
      </w:r>
      <w:r w:rsidRPr="00403C18">
        <w:t>)</w:t>
      </w:r>
      <w:r w:rsidRPr="00BF7815">
        <w:tab/>
      </w:r>
      <w:r>
        <w:t>Unw</w:t>
      </w:r>
      <w:r w:rsidRPr="00BF7815">
        <w:t>eighted average of the 26 Member States considered.</w:t>
      </w:r>
    </w:p>
  </w:footnote>
  <w:footnote w:id="5">
    <w:p w14:paraId="142C3F80" w14:textId="77777777" w:rsidR="00460C69" w:rsidRDefault="00460C69" w:rsidP="00460C69">
      <w:pPr>
        <w:pStyle w:val="Tekstfusnote"/>
      </w:pPr>
      <w:r w:rsidRPr="00403C18">
        <w:t>(</w:t>
      </w:r>
      <w:r w:rsidRPr="00403C18">
        <w:rPr>
          <w:rStyle w:val="Referencafusnote"/>
        </w:rPr>
        <w:footnoteRef/>
      </w:r>
      <w:r w:rsidRPr="00403C18">
        <w:t>)</w:t>
      </w:r>
      <w:r w:rsidRPr="00DD7299">
        <w:tab/>
      </w:r>
      <w:r>
        <w:t>A</w:t>
      </w:r>
      <w:r w:rsidRPr="00D71FE3">
        <w:t xml:space="preserve"> reduction in the unemployment rate </w:t>
      </w:r>
      <w:r>
        <w:t xml:space="preserve">in the </w:t>
      </w:r>
      <w:r w:rsidRPr="00D71FE3">
        <w:t xml:space="preserve">EU </w:t>
      </w:r>
      <w:r>
        <w:t xml:space="preserve">as a whole </w:t>
      </w:r>
      <w:r w:rsidRPr="00D71FE3">
        <w:t xml:space="preserve">of around </w:t>
      </w:r>
      <w:r>
        <w:t>2</w:t>
      </w:r>
      <w:r w:rsidRPr="00D71FE3">
        <w:t xml:space="preserve"> ¼ percentage points is projected over the long-term (to 6 ½% in 20</w:t>
      </w:r>
      <w:r>
        <w:t>7</w:t>
      </w:r>
      <w:r w:rsidRPr="00D71FE3">
        <w:t xml:space="preserve">0). A slightly larger fall of </w:t>
      </w:r>
      <w:r>
        <w:t>2 ¾ pps</w:t>
      </w:r>
      <w:r w:rsidRPr="00D71FE3">
        <w:t xml:space="preserve"> is projected for the euro area (to 6</w:t>
      </w:r>
      <w:r>
        <w:t xml:space="preserve"> ½%</w:t>
      </w:r>
      <w:r w:rsidRPr="00D71FE3">
        <w:t xml:space="preserve"> in 20</w:t>
      </w:r>
      <w:r>
        <w:t>7</w:t>
      </w:r>
      <w:r w:rsidRPr="00D71FE3">
        <w:t>0).</w:t>
      </w:r>
    </w:p>
  </w:footnote>
  <w:footnote w:id="6">
    <w:p w14:paraId="008CCEDF" w14:textId="77777777" w:rsidR="00460C69" w:rsidRPr="00305806" w:rsidRDefault="00460C69" w:rsidP="00460C69">
      <w:pPr>
        <w:pStyle w:val="Tekstfusnote"/>
      </w:pPr>
      <w:r w:rsidRPr="00403C18">
        <w:t>(</w:t>
      </w:r>
      <w:r w:rsidRPr="00403C18">
        <w:rPr>
          <w:rStyle w:val="Referencafusnote"/>
        </w:rPr>
        <w:footnoteRef/>
      </w:r>
      <w:r w:rsidRPr="00403C18">
        <w:t>)</w:t>
      </w:r>
      <w:r w:rsidRPr="00305806">
        <w:tab/>
      </w:r>
      <w:r w:rsidRPr="00050ADF">
        <w:t>The</w:t>
      </w:r>
      <w:r>
        <w:t>se</w:t>
      </w:r>
      <w:r w:rsidRPr="00050ADF">
        <w:t xml:space="preserve"> pension projections are made on the basis of current pension policies</w:t>
      </w:r>
      <w:r>
        <w:t xml:space="preserve"> under the ‘no policy change’ assumption</w:t>
      </w:r>
      <w:r w:rsidRPr="00050ADF">
        <w:t>. If pension</w:t>
      </w:r>
      <w:r>
        <w:t>s</w:t>
      </w:r>
      <w:r w:rsidRPr="00050ADF">
        <w:t xml:space="preserve"> were to be perceived as 'too low' in the future, policy changes could occur (through measures increasing pension expenditure i.e. via higher indexation or changes to eligibility requirements).</w:t>
      </w:r>
    </w:p>
  </w:footnote>
  <w:footnote w:id="7">
    <w:p w14:paraId="34E8EB6C" w14:textId="77777777" w:rsidR="00460C69" w:rsidRPr="007D3FBE" w:rsidRDefault="00460C69" w:rsidP="00460C69">
      <w:pPr>
        <w:pStyle w:val="Tekstfusnote"/>
      </w:pPr>
      <w:r w:rsidRPr="00403C18">
        <w:t>(</w:t>
      </w:r>
      <w:r w:rsidRPr="00403C18">
        <w:rPr>
          <w:rStyle w:val="Referencafusnote"/>
        </w:rPr>
        <w:footnoteRef/>
      </w:r>
      <w:r w:rsidRPr="00403C18">
        <w:t>)</w:t>
      </w:r>
      <w:r w:rsidRPr="007D3FBE">
        <w:tab/>
      </w:r>
      <w:r>
        <w:t xml:space="preserve">Private pension projections are available for nine Member States (DK, EE, HR, LV, LT, NL, PT, RO and SE). </w:t>
      </w:r>
    </w:p>
  </w:footnote>
  <w:footnote w:id="8">
    <w:p w14:paraId="669C60BB" w14:textId="77777777" w:rsidR="00460C69" w:rsidRPr="005C1542" w:rsidRDefault="00460C69" w:rsidP="00460C69">
      <w:pPr>
        <w:pStyle w:val="Tekstfusnote"/>
      </w:pPr>
      <w:r w:rsidRPr="00403C18">
        <w:t>(</w:t>
      </w:r>
      <w:r w:rsidRPr="00403C18">
        <w:rPr>
          <w:rStyle w:val="Referencafusnote"/>
        </w:rPr>
        <w:footnoteRef/>
      </w:r>
      <w:r w:rsidRPr="00403C18">
        <w:t>)</w:t>
      </w:r>
      <w:r w:rsidRPr="005C1542">
        <w:tab/>
      </w:r>
      <w:r>
        <w:t>In addition, even when this is not the case, in the projections for minimum pensions it is assumed that they are indexed to wages after ten years at the most, so as to retain the principle of those pension schemes to provide a minimum income also in the future.</w:t>
      </w:r>
    </w:p>
  </w:footnote>
  <w:footnote w:id="9">
    <w:p w14:paraId="1837CAC1" w14:textId="77777777" w:rsidR="00460C69" w:rsidRPr="005C1542" w:rsidRDefault="00460C69" w:rsidP="00460C69">
      <w:pPr>
        <w:pStyle w:val="Tekstfusnote"/>
      </w:pPr>
      <w:r w:rsidRPr="00403C18">
        <w:t>(</w:t>
      </w:r>
      <w:r w:rsidRPr="00403C18">
        <w:rPr>
          <w:rStyle w:val="Referencafusnote"/>
        </w:rPr>
        <w:footnoteRef/>
      </w:r>
      <w:r w:rsidRPr="00403C18">
        <w:t>)</w:t>
      </w:r>
      <w:r w:rsidRPr="005C1542">
        <w:tab/>
        <w:t xml:space="preserve">Minimum pension projections are </w:t>
      </w:r>
      <w:r>
        <w:t xml:space="preserve">available </w:t>
      </w:r>
      <w:r w:rsidRPr="005C1542">
        <w:t xml:space="preserve">for all </w:t>
      </w:r>
      <w:r>
        <w:t xml:space="preserve">but nine </w:t>
      </w:r>
      <w:r w:rsidRPr="005C1542">
        <w:t>Member States</w:t>
      </w:r>
      <w:r>
        <w:t xml:space="preserve"> (CZ, DE, EL, HR, CY, LU, NL, AT and SI). </w:t>
      </w:r>
    </w:p>
  </w:footnote>
  <w:footnote w:id="10">
    <w:p w14:paraId="2F69FD9F" w14:textId="77777777" w:rsidR="00460C69" w:rsidRPr="00DA6659" w:rsidRDefault="00460C69" w:rsidP="00460C69">
      <w:pPr>
        <w:pStyle w:val="Tekstfusnote"/>
      </w:pPr>
      <w:r w:rsidRPr="00403C18">
        <w:t>(</w:t>
      </w:r>
      <w:r w:rsidRPr="00403C18">
        <w:rPr>
          <w:rStyle w:val="Referencafusnote"/>
        </w:rPr>
        <w:footnoteRef/>
      </w:r>
      <w:r w:rsidRPr="00403C18">
        <w:t>)</w:t>
      </w:r>
      <w:r w:rsidRPr="00DA6659">
        <w:tab/>
      </w:r>
      <w:r>
        <w:t>With an impact on the projections for pensions, health care and long-term care.</w:t>
      </w:r>
    </w:p>
  </w:footnote>
  <w:footnote w:id="11">
    <w:p w14:paraId="10337663" w14:textId="77777777" w:rsidR="00460C69" w:rsidRPr="00DA6659" w:rsidRDefault="00460C69" w:rsidP="00460C69">
      <w:pPr>
        <w:pStyle w:val="Tekstfusnote"/>
      </w:pPr>
      <w:r w:rsidRPr="00403C18">
        <w:t>(</w:t>
      </w:r>
      <w:r w:rsidRPr="00403C18">
        <w:rPr>
          <w:rStyle w:val="Referencafusnote"/>
        </w:rPr>
        <w:footnoteRef/>
      </w:r>
      <w:r w:rsidRPr="00403C18">
        <w:t>)</w:t>
      </w:r>
      <w:r w:rsidRPr="00DA6659">
        <w:tab/>
      </w:r>
      <w:r>
        <w:t>With an impact on the projections for health care and long-term care.</w:t>
      </w:r>
    </w:p>
  </w:footnote>
  <w:footnote w:id="12">
    <w:p w14:paraId="21515B3B" w14:textId="77777777" w:rsidR="00460C69" w:rsidRPr="00125371" w:rsidRDefault="00460C69" w:rsidP="00460C69">
      <w:pPr>
        <w:pStyle w:val="Tekstfusnote"/>
      </w:pPr>
      <w:r w:rsidRPr="00403C18">
        <w:t>(</w:t>
      </w:r>
      <w:r w:rsidRPr="00403C18">
        <w:rPr>
          <w:rStyle w:val="Referencafusnote"/>
        </w:rPr>
        <w:footnoteRef/>
      </w:r>
      <w:r w:rsidRPr="00403C18">
        <w:t>)</w:t>
      </w:r>
      <w:r w:rsidRPr="00125371">
        <w:tab/>
      </w:r>
      <w:r w:rsidRPr="000A525D">
        <w:t>As in previous long-term projection exercises, the baseline scenario focuses on the budgetary impact mostly due to demographic developments.</w:t>
      </w:r>
    </w:p>
  </w:footnote>
  <w:footnote w:id="13">
    <w:p w14:paraId="4925A0CD" w14:textId="77777777" w:rsidR="00460C69" w:rsidRDefault="00460C69" w:rsidP="00460C69">
      <w:pPr>
        <w:pStyle w:val="Tekstfusnote"/>
      </w:pPr>
      <w:r w:rsidRPr="00403C18">
        <w:t>(</w:t>
      </w:r>
      <w:r w:rsidRPr="00403C18">
        <w:rPr>
          <w:rStyle w:val="Referencafusnote"/>
        </w:rPr>
        <w:footnoteRef/>
      </w:r>
      <w:r w:rsidRPr="00403C18">
        <w:t>)</w:t>
      </w:r>
      <w:r w:rsidRPr="00B317F5">
        <w:tab/>
      </w:r>
      <w:r>
        <w:t xml:space="preserve">Pension reforms implemented and having been subject to a peer review by the EPC after the 2015 Ageing Report was published are included in the 2015 AR projections in Graph </w:t>
      </w:r>
      <w:r>
        <w:fldChar w:fldCharType="begin"/>
      </w:r>
      <w:r w:rsidRPr="00B56667">
        <w:instrText xml:space="preserve"> QUOTE "9"</w:instrText>
      </w:r>
      <w:r w:rsidRPr="00B56667">
        <w:fldChar w:fldCharType="begin">
          <w:fldData xml:space="preserve">QwBSAE8AUwBTAFIARQBGAEUAUgBFAE4AQwBFACoAQwBMAFUAUwBUAEUAUgAgAE8ARgAgAEcAUgBB
AFAASABTACoAMgBjADYAYgBjADEAMwBmAC0AZAAwAGYAZAAtADQAMgBjADAALQBiAGIANQA1AC0A
NQBkADgAMAAxADIANgBkADYAOAA2AGMA
</w:fldData>
        </w:fldChar>
      </w:r>
      <w:r w:rsidRPr="00B56667">
        <w:instrText xml:space="preserve"> ADDIN </w:instrText>
      </w:r>
      <w:r w:rsidRPr="00B56667">
        <w:fldChar w:fldCharType="end"/>
      </w:r>
      <w:r w:rsidRPr="00B56667">
        <w:instrText xml:space="preserve"> </w:instrText>
      </w:r>
      <w:r>
        <w:fldChar w:fldCharType="separate"/>
      </w:r>
      <w:r w:rsidRPr="00B56667">
        <w:t>9</w:t>
      </w:r>
      <w:r>
        <w:fldChar w:fldCharType="end"/>
      </w:r>
      <w:r>
        <w:t xml:space="preserve">. </w:t>
      </w:r>
    </w:p>
  </w:footnote>
  <w:footnote w:id="14">
    <w:p w14:paraId="4396C56B" w14:textId="77777777" w:rsidR="00460C69" w:rsidRDefault="00460C69" w:rsidP="00460C69">
      <w:pPr>
        <w:pStyle w:val="Tekstfusnote"/>
      </w:pPr>
      <w:r w:rsidRPr="00554B02">
        <w:t>(</w:t>
      </w:r>
      <w:r w:rsidRPr="00554B02">
        <w:rPr>
          <w:rStyle w:val="Referencafusnote"/>
        </w:rPr>
        <w:footnoteRef/>
      </w:r>
      <w:r w:rsidRPr="00554B02">
        <w:t>)</w:t>
      </w:r>
      <w:r>
        <w:tab/>
        <w:t xml:space="preserve">Eurostat's dedicated website on population projections can be found at </w:t>
      </w:r>
      <w:hyperlink r:id="rId1" w:history="1">
        <w:r w:rsidRPr="00554B02">
          <w:rPr>
            <w:rStyle w:val="Hiperveza"/>
          </w:rPr>
          <w:t>http://ec.europa.eu/eurostat/web/population-demography-migration-projections/population-projections-data</w:t>
        </w:r>
      </w:hyperlink>
      <w:r>
        <w:t xml:space="preserve">; the datasets can be found on </w:t>
      </w:r>
      <w:hyperlink r:id="rId2" w:history="1">
        <w:r w:rsidRPr="00554B02">
          <w:rPr>
            <w:rStyle w:val="Hiperveza"/>
          </w:rPr>
          <w:t>http://ec.europa.eu/eurostat/data/database?node_code=proj</w:t>
        </w:r>
      </w:hyperlink>
      <w:r>
        <w:t>;  Eurostat(2017): '</w:t>
      </w:r>
      <w:r w:rsidRPr="00AD27D8">
        <w:t>Summary methodology of the 2015-based population projections</w:t>
      </w:r>
      <w:r>
        <w:t xml:space="preserve">', is available at </w:t>
      </w:r>
      <w:hyperlink r:id="rId3" w:history="1">
        <w:r w:rsidRPr="00554B02">
          <w:rPr>
            <w:rStyle w:val="Hiperveza"/>
          </w:rPr>
          <w:t>http://ec.europa.eu/eurostat/cache/metadata/Annexes/proj_esms_an1.pdf</w:t>
        </w:r>
      </w:hyperlink>
      <w:r>
        <w:t>.</w:t>
      </w:r>
      <w:r>
        <w:tab/>
      </w:r>
    </w:p>
  </w:footnote>
  <w:footnote w:id="15">
    <w:p w14:paraId="0A2077C3" w14:textId="77777777" w:rsidR="00460C69" w:rsidRDefault="00460C69" w:rsidP="00460C69">
      <w:pPr>
        <w:pStyle w:val="Tekstfusnote"/>
      </w:pPr>
      <w:r w:rsidRPr="00554B02">
        <w:t>(</w:t>
      </w:r>
      <w:r w:rsidRPr="00554B02">
        <w:rPr>
          <w:rStyle w:val="Referencafusnote"/>
        </w:rPr>
        <w:footnoteRef/>
      </w:r>
      <w:r w:rsidRPr="00554B02">
        <w:t>)</w:t>
      </w:r>
      <w:r>
        <w:tab/>
        <w:t>T</w:t>
      </w:r>
      <w:r w:rsidRPr="002A2411">
        <w:t>his does not preclude national statistical institutes from having different population projections based on their own assumptions and methodologies</w:t>
      </w:r>
      <w:r w:rsidRPr="00231312">
        <w:t xml:space="preserve">. </w:t>
      </w:r>
    </w:p>
  </w:footnote>
  <w:footnote w:id="16">
    <w:p w14:paraId="1A9F17CF" w14:textId="77777777" w:rsidR="00460C69" w:rsidRPr="00684771" w:rsidRDefault="00460C69" w:rsidP="00460C69">
      <w:pPr>
        <w:pStyle w:val="Tekstfusnote"/>
      </w:pPr>
      <w:r w:rsidRPr="00554B02">
        <w:t>(</w:t>
      </w:r>
      <w:r w:rsidRPr="00554B02">
        <w:rPr>
          <w:rStyle w:val="Referencafusnote"/>
        </w:rPr>
        <w:footnoteRef/>
      </w:r>
      <w:r w:rsidRPr="00554B02">
        <w:t>)</w:t>
      </w:r>
      <w:r>
        <w:tab/>
        <w:t>Fertility rates are reflected by the average number of children a woman would have, should she at each bearing age have the fertility rates of the year under review (this number is obtained by summing the fertility rates by age and is called the Total Fertility Rate, or TFR.</w:t>
      </w:r>
    </w:p>
  </w:footnote>
  <w:footnote w:id="17">
    <w:p w14:paraId="64611ADE" w14:textId="77777777" w:rsidR="00460C69" w:rsidRPr="00B90436" w:rsidRDefault="00460C69" w:rsidP="00460C69">
      <w:pPr>
        <w:pStyle w:val="Tekstfusnote"/>
      </w:pPr>
      <w:r w:rsidRPr="00554B02">
        <w:t>(</w:t>
      </w:r>
      <w:r w:rsidRPr="00554B02">
        <w:rPr>
          <w:rStyle w:val="Referencafusnote"/>
        </w:rPr>
        <w:footnoteRef/>
      </w:r>
      <w:r w:rsidRPr="00554B02">
        <w:t>)</w:t>
      </w:r>
      <w:r>
        <w:tab/>
      </w:r>
      <w:r w:rsidRPr="00B90436">
        <w:t>Due to difficulties in having for each Member State good statistics of the migration flows, net migration is measured as the difference between the total population on 31 December and 1 January for a given calendar year, minus the difference between births and deaths (or natural increase). The approach is different from that of subtracting recorded emigration flows from immigration flows. Notably, when operating like that, the "net migration" not only records errors due to the difficulty of registering the migration moves, it also includes all possible errors and adjustments in other demographic variables.</w:t>
      </w:r>
    </w:p>
  </w:footnote>
  <w:footnote w:id="18">
    <w:p w14:paraId="7C50991A" w14:textId="77777777" w:rsidR="00460C69" w:rsidRPr="00C40FD1" w:rsidRDefault="00460C69" w:rsidP="00460C69">
      <w:pPr>
        <w:pStyle w:val="Tekstfusnote"/>
      </w:pPr>
      <w:r w:rsidRPr="00554B02">
        <w:t>(</w:t>
      </w:r>
      <w:r w:rsidRPr="00554B02">
        <w:rPr>
          <w:rStyle w:val="Referencafusnote"/>
        </w:rPr>
        <w:footnoteRef/>
      </w:r>
      <w:r w:rsidRPr="00554B02">
        <w:t>)</w:t>
      </w:r>
      <w:r w:rsidRPr="00C40FD1">
        <w:tab/>
      </w:r>
      <w:r>
        <w:t xml:space="preserve">For additional information on comparison of the net migration flows in the current population projection with the one used in the 2015 Ageing Report, see Part I, Chapter 1 and Section 1.7 in </w:t>
      </w:r>
      <w:r w:rsidRPr="00120E7F">
        <w:t>European Commission (DG ECFIN) and Economic Policy Committee (Ageing Working Group) (2017)</w:t>
      </w:r>
      <w:r>
        <w:t>.</w:t>
      </w:r>
    </w:p>
  </w:footnote>
  <w:footnote w:id="19">
    <w:p w14:paraId="3B0E6E36" w14:textId="77777777" w:rsidR="00460C69" w:rsidRPr="00B90436" w:rsidRDefault="00460C69" w:rsidP="00460C69">
      <w:pPr>
        <w:pStyle w:val="Tekstfusnote"/>
      </w:pPr>
      <w:r w:rsidRPr="00554B02">
        <w:t>(</w:t>
      </w:r>
      <w:r w:rsidRPr="00554B02">
        <w:rPr>
          <w:rStyle w:val="Referencafusnote"/>
        </w:rPr>
        <w:footnoteRef/>
      </w:r>
      <w:r w:rsidRPr="00554B02">
        <w:t>)</w:t>
      </w:r>
      <w:r>
        <w:tab/>
      </w:r>
      <w:r w:rsidRPr="00B90436">
        <w:t>The United Nations Population Division produces global population projections revised every two years. The latest projections are the 20</w:t>
      </w:r>
      <w:r>
        <w:t>17</w:t>
      </w:r>
      <w:r w:rsidRPr="00B90436">
        <w:t xml:space="preserve"> Revision.</w:t>
      </w:r>
    </w:p>
  </w:footnote>
  <w:footnote w:id="20">
    <w:p w14:paraId="33A6D985" w14:textId="77777777" w:rsidR="00460C69" w:rsidRPr="003574FD" w:rsidRDefault="00460C69" w:rsidP="00460C69">
      <w:pPr>
        <w:pStyle w:val="Tekstfusnote"/>
      </w:pPr>
      <w:r w:rsidRPr="007018A7">
        <w:t>(</w:t>
      </w:r>
      <w:r w:rsidRPr="007018A7">
        <w:rPr>
          <w:rStyle w:val="Referencafusnote"/>
        </w:rPr>
        <w:footnoteRef/>
      </w:r>
      <w:r w:rsidRPr="007018A7">
        <w:t>)</w:t>
      </w:r>
      <w:r w:rsidRPr="003574FD">
        <w:tab/>
      </w:r>
      <w:r>
        <w:t>A</w:t>
      </w:r>
      <w:r w:rsidRPr="009B4581">
        <w:t xml:space="preserve"> standard specification of the Cobb-Douglas production function with constant returns to scale</w:t>
      </w:r>
      <w:r>
        <w:t xml:space="preserve"> is used.</w:t>
      </w:r>
    </w:p>
  </w:footnote>
  <w:footnote w:id="21">
    <w:p w14:paraId="22F39D3C" w14:textId="77777777" w:rsidR="00460C69" w:rsidRPr="003574FD" w:rsidRDefault="00460C69" w:rsidP="00460C69">
      <w:pPr>
        <w:pStyle w:val="Tekstfusnote"/>
      </w:pPr>
      <w:r w:rsidRPr="007018A7">
        <w:t>(</w:t>
      </w:r>
      <w:r w:rsidRPr="007018A7">
        <w:rPr>
          <w:rStyle w:val="Referencafusnote"/>
        </w:rPr>
        <w:footnoteRef/>
      </w:r>
      <w:r w:rsidRPr="007018A7">
        <w:t>)</w:t>
      </w:r>
      <w:r w:rsidRPr="003574FD">
        <w:tab/>
      </w:r>
      <w:r>
        <w:t xml:space="preserve">See Carone et al. (2005). </w:t>
      </w:r>
    </w:p>
  </w:footnote>
  <w:footnote w:id="22">
    <w:p w14:paraId="76E3B912" w14:textId="77777777" w:rsidR="00460C69" w:rsidRPr="00B20CBE" w:rsidRDefault="00460C69" w:rsidP="00460C69">
      <w:pPr>
        <w:pStyle w:val="Tekstfusnote"/>
      </w:pPr>
      <w:r w:rsidRPr="007018A7">
        <w:t>(</w:t>
      </w:r>
      <w:r w:rsidRPr="007018A7">
        <w:rPr>
          <w:rStyle w:val="Referencafusnote"/>
        </w:rPr>
        <w:footnoteRef/>
      </w:r>
      <w:r w:rsidRPr="007018A7">
        <w:t>)</w:t>
      </w:r>
      <w:r w:rsidRPr="00B20CBE">
        <w:tab/>
      </w:r>
      <w:r w:rsidRPr="005E2683">
        <w:t xml:space="preserve">A detailed description of the production function framework and the key assumptions underpinning the long-term GDP projections presented in this section can be found Chapter 3 of the </w:t>
      </w:r>
      <w:r>
        <w:t>'</w:t>
      </w:r>
      <w:r w:rsidRPr="005E2683">
        <w:t>2018 Ageing Report</w:t>
      </w:r>
      <w:r>
        <w:t>:</w:t>
      </w:r>
      <w:r w:rsidRPr="005E2683">
        <w:t xml:space="preserve"> Underlying Assumptions and Projection Methodologies</w:t>
      </w:r>
      <w:r>
        <w:t>'</w:t>
      </w:r>
      <w:r w:rsidRPr="005E2683">
        <w:t>.</w:t>
      </w:r>
    </w:p>
  </w:footnote>
  <w:footnote w:id="23">
    <w:p w14:paraId="193FE32C" w14:textId="77777777" w:rsidR="00460C69" w:rsidRPr="009A0D00" w:rsidRDefault="00460C69" w:rsidP="00460C69">
      <w:pPr>
        <w:pStyle w:val="Tekstfusnote"/>
      </w:pPr>
      <w:r w:rsidRPr="007018A7">
        <w:t>(</w:t>
      </w:r>
      <w:r w:rsidRPr="007018A7">
        <w:rPr>
          <w:rStyle w:val="Referencafusnote"/>
        </w:rPr>
        <w:footnoteRef/>
      </w:r>
      <w:r w:rsidRPr="007018A7">
        <w:t>)</w:t>
      </w:r>
      <w:r w:rsidRPr="009A0D00">
        <w:tab/>
      </w:r>
      <w:r>
        <w:t>For a detailed description of the macro-economic assumptions and projections, see Annex 3 in '</w:t>
      </w:r>
      <w:r w:rsidRPr="005E2683">
        <w:t>2018 Ageing Report</w:t>
      </w:r>
      <w:r>
        <w:t>:</w:t>
      </w:r>
      <w:r w:rsidRPr="005E2683">
        <w:t xml:space="preserve"> Underlying Assumptions and Projection Methodologies</w:t>
      </w:r>
      <w:r>
        <w:t>'.</w:t>
      </w:r>
    </w:p>
  </w:footnote>
  <w:footnote w:id="24">
    <w:p w14:paraId="42FADDBC" w14:textId="77777777" w:rsidR="00460C69" w:rsidRPr="002B720C" w:rsidRDefault="00460C69" w:rsidP="00460C69">
      <w:pPr>
        <w:pStyle w:val="Tekstfusnote"/>
      </w:pPr>
      <w:r w:rsidRPr="007018A7">
        <w:t>(</w:t>
      </w:r>
      <w:r w:rsidRPr="007018A7">
        <w:rPr>
          <w:rStyle w:val="Referencafusnote"/>
        </w:rPr>
        <w:footnoteRef/>
      </w:r>
      <w:r w:rsidRPr="007018A7">
        <w:t>)</w:t>
      </w:r>
      <w:r w:rsidRPr="002B720C">
        <w:tab/>
      </w:r>
      <w:r>
        <w:t xml:space="preserve">Assumptions on interest rates are described in Part I, Chapter 4 of </w:t>
      </w:r>
      <w:r w:rsidRPr="00120E7F">
        <w:t>European Commission (DG ECFIN) and Economic Policy Committee (Ageing Working Group) (2017)</w:t>
      </w:r>
      <w:r>
        <w:t>.</w:t>
      </w:r>
    </w:p>
  </w:footnote>
  <w:footnote w:id="25">
    <w:p w14:paraId="2D194B77" w14:textId="77777777" w:rsidR="00460C69" w:rsidRPr="00B20CBE" w:rsidRDefault="00460C69" w:rsidP="00460C69">
      <w:pPr>
        <w:pStyle w:val="Tekstfusnote"/>
      </w:pPr>
      <w:r w:rsidRPr="007018A7">
        <w:t>(</w:t>
      </w:r>
      <w:r w:rsidRPr="007018A7">
        <w:rPr>
          <w:rStyle w:val="Referencafusnote"/>
        </w:rPr>
        <w:footnoteRef/>
      </w:r>
      <w:r w:rsidRPr="007018A7">
        <w:t>)</w:t>
      </w:r>
      <w:r w:rsidRPr="00B20CBE">
        <w:tab/>
      </w:r>
      <w:r w:rsidRPr="005E2683">
        <w:t xml:space="preserve">A description of past legislated pension reforms that have an impact on future participation rates of workers for </w:t>
      </w:r>
      <w:r>
        <w:t xml:space="preserve">the </w:t>
      </w:r>
      <w:r w:rsidRPr="005E2683">
        <w:t>EU Member States is provided in Box I.2.2</w:t>
      </w:r>
      <w:r>
        <w:t xml:space="preserve"> of t</w:t>
      </w:r>
      <w:r w:rsidRPr="005E2683">
        <w:t xml:space="preserve">he </w:t>
      </w:r>
      <w:r>
        <w:t>'</w:t>
      </w:r>
      <w:r w:rsidRPr="005E2683">
        <w:t>2018 Ageing Report</w:t>
      </w:r>
      <w:r>
        <w:t>:</w:t>
      </w:r>
      <w:r w:rsidRPr="005E2683">
        <w:t xml:space="preserve"> Underlying Assumptions and Projection Methodologies</w:t>
      </w:r>
      <w:r>
        <w:t>'</w:t>
      </w:r>
      <w:r w:rsidRPr="005E2683">
        <w:t>.</w:t>
      </w:r>
    </w:p>
  </w:footnote>
  <w:footnote w:id="26">
    <w:p w14:paraId="3E70E9B9" w14:textId="77777777" w:rsidR="00460C69" w:rsidRDefault="00460C69" w:rsidP="00460C69">
      <w:pPr>
        <w:pStyle w:val="Tekstfusnote"/>
      </w:pPr>
      <w:r w:rsidRPr="007018A7">
        <w:t>(</w:t>
      </w:r>
      <w:r w:rsidRPr="007018A7">
        <w:rPr>
          <w:rStyle w:val="Referencafusnote"/>
        </w:rPr>
        <w:footnoteRef/>
      </w:r>
      <w:r w:rsidRPr="007018A7">
        <w:t>)</w:t>
      </w:r>
      <w:r w:rsidRPr="00BF7815">
        <w:tab/>
        <w:t>Non-weighted average of the 26 Member States considered.</w:t>
      </w:r>
    </w:p>
  </w:footnote>
  <w:footnote w:id="27">
    <w:p w14:paraId="0CC341B7" w14:textId="77777777" w:rsidR="00460C69" w:rsidRDefault="00460C69" w:rsidP="00460C69">
      <w:pPr>
        <w:pStyle w:val="Tekstfusnote"/>
      </w:pPr>
      <w:r w:rsidRPr="007018A7">
        <w:t>(</w:t>
      </w:r>
      <w:r w:rsidRPr="007018A7">
        <w:rPr>
          <w:rStyle w:val="Referencafusnote"/>
        </w:rPr>
        <w:footnoteRef/>
      </w:r>
      <w:r w:rsidRPr="007018A7">
        <w:t>)</w:t>
      </w:r>
      <w:r w:rsidRPr="00363F99">
        <w:tab/>
      </w:r>
      <w:r>
        <w:t>Excluding Luxembourg, Sweden and Norway.</w:t>
      </w:r>
    </w:p>
  </w:footnote>
  <w:footnote w:id="28">
    <w:p w14:paraId="39BCC559" w14:textId="77777777" w:rsidR="00460C69" w:rsidRDefault="00460C69" w:rsidP="00460C69">
      <w:pPr>
        <w:pStyle w:val="Tekstfusnote"/>
      </w:pPr>
      <w:r w:rsidRPr="007018A7">
        <w:t>(</w:t>
      </w:r>
      <w:r w:rsidRPr="007018A7">
        <w:rPr>
          <w:rStyle w:val="Referencafusnote"/>
        </w:rPr>
        <w:footnoteRef/>
      </w:r>
      <w:r w:rsidRPr="007018A7">
        <w:t>)</w:t>
      </w:r>
      <w:r w:rsidRPr="00545543">
        <w:tab/>
      </w:r>
      <w:r>
        <w:t>Non-weighted average of the 26 Member States considered.</w:t>
      </w:r>
    </w:p>
  </w:footnote>
  <w:footnote w:id="29">
    <w:p w14:paraId="19EBC632" w14:textId="77777777" w:rsidR="00460C69" w:rsidRDefault="00460C69" w:rsidP="00460C69">
      <w:pPr>
        <w:pStyle w:val="Tekstfusnote"/>
      </w:pPr>
      <w:r w:rsidRPr="007018A7">
        <w:t>(</w:t>
      </w:r>
      <w:r w:rsidRPr="007018A7">
        <w:rPr>
          <w:rStyle w:val="Referencafusnote"/>
        </w:rPr>
        <w:footnoteRef/>
      </w:r>
      <w:r w:rsidRPr="007018A7">
        <w:t>)</w:t>
      </w:r>
      <w:r w:rsidRPr="00242944">
        <w:tab/>
      </w:r>
      <w:r>
        <w:t xml:space="preserve">In addition, if the estimated NAWRU ten years ahead (2026) is lower than the country specific anchor, the former is assumed to replace the "Anchor". The gradual convergence, for countries whose NAWRU's is higher than the EU median, is assumed to be completed by 2050. </w:t>
      </w:r>
    </w:p>
  </w:footnote>
  <w:footnote w:id="30">
    <w:p w14:paraId="051F1DFF" w14:textId="77777777" w:rsidR="00460C69" w:rsidRDefault="00460C69" w:rsidP="00460C69">
      <w:pPr>
        <w:pStyle w:val="Tekstfusnote"/>
      </w:pPr>
      <w:r w:rsidRPr="007018A7">
        <w:t>(</w:t>
      </w:r>
      <w:r w:rsidRPr="007018A7">
        <w:rPr>
          <w:rStyle w:val="Referencafusnote"/>
        </w:rPr>
        <w:footnoteRef/>
      </w:r>
      <w:r w:rsidRPr="007018A7">
        <w:t>)</w:t>
      </w:r>
      <w:r w:rsidRPr="00542EE3">
        <w:tab/>
      </w:r>
      <w:r>
        <w:t>Under the guidance of the EPC-OGWG and with the twin objectives of improving the medium</w:t>
      </w:r>
      <w:r>
        <w:noBreakHyphen/>
        <w:t>term framework for fiscal surveillance up to T+10 (currently 2026), DG ECFIN carried out some econometric work (Orlandi, 2012) leading to the estimation of "</w:t>
      </w:r>
      <w:r w:rsidRPr="00D242B5">
        <w:t>Anchor</w:t>
      </w:r>
      <w:r>
        <w:t>" values for the NAWRU. The median of the national anchors was estimated at 7.9%.</w:t>
      </w:r>
    </w:p>
  </w:footnote>
  <w:footnote w:id="31">
    <w:p w14:paraId="15CE6B19" w14:textId="77777777" w:rsidR="00460C69" w:rsidRDefault="00460C69" w:rsidP="00460C69">
      <w:pPr>
        <w:pStyle w:val="Tekstfusnote"/>
      </w:pPr>
      <w:r w:rsidRPr="007018A7">
        <w:t>(</w:t>
      </w:r>
      <w:r w:rsidRPr="007018A7">
        <w:rPr>
          <w:rStyle w:val="Referencafusnote"/>
        </w:rPr>
        <w:footnoteRef/>
      </w:r>
      <w:r w:rsidRPr="007018A7">
        <w:t>)</w:t>
      </w:r>
      <w:r w:rsidRPr="00003AF5">
        <w:tab/>
      </w:r>
      <w:r w:rsidRPr="009B4581">
        <w:t>Anchors values are country-specific values for the NAWRU that are calculated on the basis of the coefficients of a panel estimation model in which the short term NAWRU for EU old member states is regressed on a set of structural variables together with a set of cyclical variables. To derive country specific anchors, it is assumed then that the non-structural variables are set at their average values</w:t>
      </w:r>
      <w:r>
        <w:t>. For details, see Box I.2.3 in "The 2018 Ageing Report: Underlying Assumptions and Projection Methodologies", European Economy, No. 065/2017, European Commission.</w:t>
      </w:r>
    </w:p>
  </w:footnote>
  <w:footnote w:id="32">
    <w:p w14:paraId="2AEF5F0C" w14:textId="77777777" w:rsidR="00460C69" w:rsidRDefault="00460C69" w:rsidP="00460C69">
      <w:pPr>
        <w:pStyle w:val="Tekstfusnote"/>
      </w:pPr>
      <w:r w:rsidRPr="007018A7">
        <w:t>(</w:t>
      </w:r>
      <w:r w:rsidRPr="007018A7">
        <w:rPr>
          <w:rStyle w:val="Referencafusnote"/>
        </w:rPr>
        <w:footnoteRef/>
      </w:r>
      <w:r w:rsidRPr="007018A7">
        <w:t>)</w:t>
      </w:r>
      <w:r w:rsidRPr="00B46864">
        <w:tab/>
        <w:t>The total number of hours worked is the product between employment and hours worked per person. Regarding hours worked, the following assumptions are made: i) total amount of hours worked per person (in 201</w:t>
      </w:r>
      <w:r>
        <w:t>6</w:t>
      </w:r>
      <w:r w:rsidRPr="00B46864">
        <w:t>) are kept constant by gender and type of work (part-time versus full time); and ii) the part-time share of total work by gender and age groups (15-24, 25-54 and 55-74) are kept constant over the entire projection period.</w:t>
      </w:r>
    </w:p>
  </w:footnote>
  <w:footnote w:id="33">
    <w:p w14:paraId="3C1E1558" w14:textId="77777777" w:rsidR="00460C69" w:rsidRDefault="00460C69" w:rsidP="00460C69">
      <w:pPr>
        <w:pStyle w:val="Tekstfusnote"/>
      </w:pPr>
      <w:r w:rsidRPr="007018A7">
        <w:t>(</w:t>
      </w:r>
      <w:r w:rsidRPr="007018A7">
        <w:rPr>
          <w:rStyle w:val="Referencafusnote"/>
        </w:rPr>
        <w:footnoteRef/>
      </w:r>
      <w:r w:rsidRPr="007018A7">
        <w:t>)</w:t>
      </w:r>
      <w:r w:rsidRPr="003A7A10">
        <w:tab/>
      </w:r>
      <w:r>
        <w:t>In making actual and potential GDP growth rate projections, the general rule is that the output gap is closed at the latest three years after the end of the Commission services economic forecast of spring 2017, namely 2021. For the years 2017-2026, medium-term potential growth estimates are based on the T+10 methodology (for more details see Chapter 3, "The 2018 Ageing Report, Underlying Assumptions and Projection Methodologies", European Economy No. 065/2017).</w:t>
      </w:r>
    </w:p>
  </w:footnote>
  <w:footnote w:id="34">
    <w:p w14:paraId="69259D78" w14:textId="77777777" w:rsidR="00460C69" w:rsidRPr="00831321" w:rsidRDefault="00460C69" w:rsidP="00460C69">
      <w:pPr>
        <w:pStyle w:val="Tekstfusnote"/>
      </w:pPr>
      <w:r w:rsidRPr="007018A7">
        <w:t>(</w:t>
      </w:r>
      <w:r w:rsidRPr="007018A7">
        <w:rPr>
          <w:rStyle w:val="Referencafusnote"/>
        </w:rPr>
        <w:footnoteRef/>
      </w:r>
      <w:r w:rsidRPr="007018A7">
        <w:t>)</w:t>
      </w:r>
      <w:r w:rsidRPr="00831321">
        <w:tab/>
      </w:r>
      <w:r>
        <w:t xml:space="preserve">For details on the assumptions for TFP growth, see Box I.3.1 in </w:t>
      </w:r>
      <w:r w:rsidRPr="00120E7F">
        <w:t>European Commission (DG ECFIN) and Economic Policy Committee (Ageing Working Group) (2017)</w:t>
      </w:r>
      <w:r>
        <w:t xml:space="preserve">. </w:t>
      </w:r>
    </w:p>
  </w:footnote>
  <w:footnote w:id="35">
    <w:p w14:paraId="6316EFE4" w14:textId="77777777" w:rsidR="00460C69" w:rsidRDefault="00460C69" w:rsidP="00460C69">
      <w:pPr>
        <w:pStyle w:val="Tekstfusnote"/>
      </w:pPr>
      <w:r w:rsidRPr="007018A7">
        <w:t>(</w:t>
      </w:r>
      <w:r w:rsidRPr="007018A7">
        <w:rPr>
          <w:rStyle w:val="Referencafusnote"/>
        </w:rPr>
        <w:footnoteRef/>
      </w:r>
      <w:r w:rsidRPr="007018A7">
        <w:t>)</w:t>
      </w:r>
      <w:r>
        <w:tab/>
        <w:t xml:space="preserve">As noted above, labour input will make a </w:t>
      </w:r>
      <w:r w:rsidRPr="005F2B0D">
        <w:t xml:space="preserve">positive contribution </w:t>
      </w:r>
      <w:r>
        <w:t xml:space="preserve">to GDP growth between 2013-2020, and then make a negative contribution for the remaining period. </w:t>
      </w:r>
    </w:p>
  </w:footnote>
  <w:footnote w:id="36">
    <w:p w14:paraId="01FDDBDE" w14:textId="77777777" w:rsidR="00460C69" w:rsidRDefault="00460C69" w:rsidP="00460C69">
      <w:pPr>
        <w:pStyle w:val="Tekstfusnote"/>
      </w:pPr>
      <w:r w:rsidRPr="007018A7">
        <w:t>(</w:t>
      </w:r>
      <w:r w:rsidRPr="007018A7">
        <w:rPr>
          <w:rStyle w:val="Referencafusnote"/>
        </w:rPr>
        <w:footnoteRef/>
      </w:r>
      <w:r w:rsidRPr="007018A7">
        <w:t>)</w:t>
      </w:r>
      <w:r w:rsidRPr="000A5288">
        <w:tab/>
      </w:r>
      <w:r>
        <w:t xml:space="preserve">For a detailed presentation of all sensitivity tests and policy scenarios see Part I, Chapter 3, of this report. </w:t>
      </w:r>
    </w:p>
  </w:footnote>
  <w:footnote w:id="37">
    <w:p w14:paraId="02E8858E" w14:textId="77777777" w:rsidR="009F3ED8" w:rsidRDefault="009F3ED8" w:rsidP="00B131B3">
      <w:pPr>
        <w:pStyle w:val="Tekstfusnote"/>
      </w:pPr>
      <w:r w:rsidRPr="00B131B3">
        <w:t>(</w:t>
      </w:r>
      <w:r w:rsidRPr="00B131B3">
        <w:rPr>
          <w:rStyle w:val="Referencafusnote"/>
        </w:rPr>
        <w:footnoteRef/>
      </w:r>
      <w:r w:rsidRPr="00B131B3">
        <w:t>)</w:t>
      </w:r>
      <w:r w:rsidRPr="004757BF">
        <w:tab/>
        <w:t>Public pension expenditure include all public expenditure</w:t>
      </w:r>
      <w:r>
        <w:t xml:space="preserve"> </w:t>
      </w:r>
      <w:r w:rsidRPr="004757BF">
        <w:t>on pension and equivalent cash benefits granted for a long</w:t>
      </w:r>
      <w:r>
        <w:t xml:space="preserve"> </w:t>
      </w:r>
      <w:r w:rsidRPr="004757BF">
        <w:t xml:space="preserve">period, see Annex </w:t>
      </w:r>
      <w:r>
        <w:t>II</w:t>
      </w:r>
      <w:r w:rsidRPr="004757BF">
        <w:t xml:space="preserve"> for details on the coverage of the</w:t>
      </w:r>
      <w:r>
        <w:t xml:space="preserve"> </w:t>
      </w:r>
      <w:r w:rsidRPr="004757BF">
        <w:t>projections of public pension expenditure.</w:t>
      </w:r>
    </w:p>
  </w:footnote>
  <w:footnote w:id="38">
    <w:p w14:paraId="2D584B04" w14:textId="77777777" w:rsidR="009F3ED8" w:rsidRPr="006067F5" w:rsidRDefault="009F3ED8" w:rsidP="00B131B3">
      <w:pPr>
        <w:pStyle w:val="Tekstfusnote"/>
      </w:pPr>
      <w:r w:rsidRPr="00B131B3">
        <w:t>(</w:t>
      </w:r>
      <w:r w:rsidRPr="00B131B3">
        <w:rPr>
          <w:rStyle w:val="Referencafusnote"/>
        </w:rPr>
        <w:footnoteRef/>
      </w:r>
      <w:r w:rsidRPr="00B131B3">
        <w:t>)</w:t>
      </w:r>
      <w:r w:rsidRPr="006067F5">
        <w:tab/>
        <w:t xml:space="preserve">For a complete description of pension schemes in the EU Member States, please </w:t>
      </w:r>
      <w:r>
        <w:t>consult</w:t>
      </w:r>
      <w:r w:rsidRPr="006067F5">
        <w:t xml:space="preserve"> the PENSREF database, available at: https://ec.europa.eu/info/business-economy-euro/indicators-statistics/economic-databases_en</w:t>
      </w:r>
      <w:r>
        <w:t>.</w:t>
      </w:r>
    </w:p>
  </w:footnote>
  <w:footnote w:id="39">
    <w:p w14:paraId="2F42AC4B" w14:textId="77777777" w:rsidR="009F3ED8" w:rsidRDefault="009F3ED8" w:rsidP="00B131B3">
      <w:pPr>
        <w:pStyle w:val="Tekstfusnote"/>
      </w:pPr>
      <w:r w:rsidRPr="00B131B3">
        <w:t>(</w:t>
      </w:r>
      <w:r w:rsidRPr="00B131B3">
        <w:rPr>
          <w:rStyle w:val="Referencafusnote"/>
        </w:rPr>
        <w:footnoteRef/>
      </w:r>
      <w:r w:rsidRPr="00B131B3">
        <w:t>)</w:t>
      </w:r>
      <w:r w:rsidRPr="004757BF">
        <w:tab/>
      </w:r>
      <w:r>
        <w:rPr>
          <w:lang w:eastAsia="en-GB"/>
        </w:rPr>
        <w:t>These arrangements are separate from obligations the government may have as an employer under systems that cover government employees.</w:t>
      </w:r>
    </w:p>
  </w:footnote>
  <w:footnote w:id="40">
    <w:p w14:paraId="2BD89542" w14:textId="77777777" w:rsidR="009F3ED8" w:rsidRDefault="009F3ED8" w:rsidP="00B131B3">
      <w:pPr>
        <w:pStyle w:val="Tekstfusnote"/>
      </w:pPr>
      <w:r w:rsidRPr="00B131B3">
        <w:t>(</w:t>
      </w:r>
      <w:r w:rsidRPr="00B131B3">
        <w:rPr>
          <w:rStyle w:val="Referencafusnote"/>
        </w:rPr>
        <w:footnoteRef/>
      </w:r>
      <w:r w:rsidRPr="00B131B3">
        <w:t>)</w:t>
      </w:r>
      <w:r w:rsidRPr="001C2CE2">
        <w:tab/>
      </w:r>
      <w:r w:rsidRPr="003B684E">
        <w:rPr>
          <w:lang w:eastAsia="en-GB"/>
        </w:rPr>
        <w:t>For details on the legislation in place see</w:t>
      </w:r>
      <w:r>
        <w:rPr>
          <w:lang w:eastAsia="en-GB"/>
        </w:rPr>
        <w:t xml:space="preserve"> PENSREF database </w:t>
      </w:r>
      <w:hyperlink r:id="rId4" w:history="1">
        <w:r w:rsidRPr="00B131B3">
          <w:rPr>
            <w:rStyle w:val="Hiperveza"/>
          </w:rPr>
          <w:t>https://ec.europa.eu/info/business-economy-euro/indicators-statistics/economic-databases/pensref-pension-reform-database_en</w:t>
        </w:r>
      </w:hyperlink>
      <w:r>
        <w:rPr>
          <w:rStyle w:val="Hiperveza"/>
        </w:rPr>
        <w:t xml:space="preserve"> </w:t>
      </w:r>
      <w:r>
        <w:t>and</w:t>
      </w:r>
      <w:r w:rsidRPr="003B684E">
        <w:rPr>
          <w:lang w:eastAsia="en-GB"/>
        </w:rPr>
        <w:t xml:space="preserve"> EC</w:t>
      </w:r>
      <w:r>
        <w:rPr>
          <w:lang w:eastAsia="en-GB"/>
        </w:rPr>
        <w:t>-</w:t>
      </w:r>
      <w:r w:rsidRPr="003B684E">
        <w:rPr>
          <w:lang w:eastAsia="en-GB"/>
        </w:rPr>
        <w:t>EPC, The 2018 Ageing Report: Underlying Assumptions and Projection Methodologies, European Economy No. 065</w:t>
      </w:r>
      <w:r>
        <w:rPr>
          <w:lang w:eastAsia="en-GB"/>
        </w:rPr>
        <w:t>-</w:t>
      </w:r>
      <w:r w:rsidRPr="003B684E">
        <w:rPr>
          <w:lang w:eastAsia="en-GB"/>
        </w:rPr>
        <w:t xml:space="preserve">2017, </w:t>
      </w:r>
      <w:hyperlink r:id="rId5" w:history="1">
        <w:r w:rsidRPr="00B131B3">
          <w:rPr>
            <w:rStyle w:val="Hiperveza"/>
          </w:rPr>
          <w:t>https://ec.europa.eu/info/publications/economy-finance/2018-ageing-report-underlying-assumptions-and-projection-methodologies_en</w:t>
        </w:r>
      </w:hyperlink>
      <w:r>
        <w:rPr>
          <w:lang w:eastAsia="en-GB"/>
        </w:rPr>
        <w:t xml:space="preserve"> for the</w:t>
      </w:r>
      <w:r>
        <w:t xml:space="preserve"> main features of the pension system (Annex 2) and</w:t>
      </w:r>
      <w:r>
        <w:rPr>
          <w:lang w:eastAsia="en-GB"/>
        </w:rPr>
        <w:t xml:space="preserve"> recent reforms (Box I.2.2.)</w:t>
      </w:r>
    </w:p>
  </w:footnote>
  <w:footnote w:id="41">
    <w:p w14:paraId="2EE2E0EA" w14:textId="77777777" w:rsidR="009F3ED8" w:rsidRDefault="009F3ED8" w:rsidP="00B131B3">
      <w:pPr>
        <w:pStyle w:val="Tekstfusnote"/>
      </w:pPr>
      <w:r w:rsidRPr="00B131B3">
        <w:t>(</w:t>
      </w:r>
      <w:r w:rsidRPr="00B131B3">
        <w:rPr>
          <w:rStyle w:val="Referencafusnote"/>
        </w:rPr>
        <w:footnoteRef/>
      </w:r>
      <w:r w:rsidRPr="00B131B3">
        <w:t>)</w:t>
      </w:r>
      <w:r w:rsidRPr="00154291">
        <w:tab/>
      </w:r>
      <w:r>
        <w:t>S</w:t>
      </w:r>
      <w:r w:rsidRPr="008C14CE">
        <w:t xml:space="preserve">ocial </w:t>
      </w:r>
      <w:r>
        <w:t>assistance is excluded from the projections in Slovenia; see for details Slovenia's country fiche.</w:t>
      </w:r>
    </w:p>
  </w:footnote>
  <w:footnote w:id="42">
    <w:p w14:paraId="50DB45FA" w14:textId="77777777" w:rsidR="009F3ED8" w:rsidRDefault="009F3ED8" w:rsidP="00B131B3">
      <w:pPr>
        <w:pStyle w:val="Tekstfusnote"/>
      </w:pPr>
      <w:r w:rsidRPr="00B131B3">
        <w:t>(</w:t>
      </w:r>
      <w:r w:rsidRPr="00B131B3">
        <w:rPr>
          <w:rStyle w:val="Referencafusnote"/>
        </w:rPr>
        <w:footnoteRef/>
      </w:r>
      <w:r w:rsidRPr="00B131B3">
        <w:t>)</w:t>
      </w:r>
      <w:r w:rsidRPr="000B1224">
        <w:tab/>
      </w:r>
      <w:r>
        <w:rPr>
          <w:lang w:eastAsia="en-GB"/>
        </w:rPr>
        <w:t>The accrual rate and the contributory period are the other determinants of the pension benefit in an earnings-related system.</w:t>
      </w:r>
    </w:p>
  </w:footnote>
  <w:footnote w:id="43">
    <w:p w14:paraId="071860EA" w14:textId="77777777" w:rsidR="009F3ED8" w:rsidRDefault="009F3ED8" w:rsidP="00B131B3">
      <w:pPr>
        <w:pStyle w:val="Tekstfusnote"/>
      </w:pPr>
      <w:r w:rsidRPr="00B131B3">
        <w:t>(</w:t>
      </w:r>
      <w:r w:rsidRPr="00B131B3">
        <w:rPr>
          <w:rStyle w:val="Referencafusnote"/>
        </w:rPr>
        <w:footnoteRef/>
      </w:r>
      <w:r w:rsidRPr="00B131B3">
        <w:t>)</w:t>
      </w:r>
      <w:r w:rsidRPr="002A4345">
        <w:tab/>
      </w:r>
      <w:r w:rsidRPr="006067F5">
        <w:t>See Sections 1.6.2 and 1.6.3 of this chapter for a more detailed analysis of the indicators.</w:t>
      </w:r>
    </w:p>
  </w:footnote>
  <w:footnote w:id="44">
    <w:p w14:paraId="4D4AA35C" w14:textId="77777777" w:rsidR="009F3ED8" w:rsidRDefault="009F3ED8" w:rsidP="00B131B3">
      <w:pPr>
        <w:pStyle w:val="Tekstfusnote"/>
      </w:pPr>
      <w:r w:rsidRPr="00B131B3">
        <w:t>(</w:t>
      </w:r>
      <w:r w:rsidRPr="00B131B3">
        <w:rPr>
          <w:rStyle w:val="Referencafusnote"/>
        </w:rPr>
        <w:footnoteRef/>
      </w:r>
      <w:r w:rsidRPr="00B131B3">
        <w:t>)</w:t>
      </w:r>
      <w:r w:rsidRPr="002A4345">
        <w:tab/>
      </w:r>
      <w:r>
        <w:t>Till 2030, then price indexation.</w:t>
      </w:r>
    </w:p>
  </w:footnote>
  <w:footnote w:id="45">
    <w:p w14:paraId="4369DCA9" w14:textId="77777777" w:rsidR="009F3ED8" w:rsidRDefault="009F3ED8" w:rsidP="00B131B3">
      <w:pPr>
        <w:pStyle w:val="Tekstfusnote"/>
      </w:pPr>
      <w:r w:rsidRPr="00B131B3">
        <w:t>(</w:t>
      </w:r>
      <w:r w:rsidRPr="00B131B3">
        <w:rPr>
          <w:rStyle w:val="Referencafusnote"/>
        </w:rPr>
        <w:footnoteRef/>
      </w:r>
      <w:r w:rsidRPr="00B131B3">
        <w:t>)</w:t>
      </w:r>
      <w:r w:rsidRPr="004245C8">
        <w:tab/>
      </w:r>
      <w:r>
        <w:rPr>
          <w:lang w:eastAsia="en-GB"/>
        </w:rPr>
        <w:t>The exit from the labour market is also influenced by other policies and institutional factors such as the adoption of active labour market policy, active ageing etc.</w:t>
      </w:r>
    </w:p>
  </w:footnote>
  <w:footnote w:id="46">
    <w:p w14:paraId="4F4309DF" w14:textId="77777777" w:rsidR="009F3ED8" w:rsidRDefault="009F3ED8" w:rsidP="00B131B3">
      <w:pPr>
        <w:pStyle w:val="Tekstfusnote"/>
      </w:pPr>
      <w:r w:rsidRPr="00B131B3">
        <w:t>(</w:t>
      </w:r>
      <w:r w:rsidRPr="00B131B3">
        <w:rPr>
          <w:rStyle w:val="Referencafusnote"/>
        </w:rPr>
        <w:footnoteRef/>
      </w:r>
      <w:r w:rsidRPr="00B131B3">
        <w:t>)</w:t>
      </w:r>
      <w:r w:rsidRPr="004245C8">
        <w:tab/>
      </w:r>
      <w:r>
        <w:t xml:space="preserve">The statutory retirement ages are applied as such in the projections. Figures </w:t>
      </w:r>
      <w:r w:rsidRPr="00C91496">
        <w:t>concerning the average effective exit age from the labour market for 2017 - 2070 are projected based on th</w:t>
      </w:r>
      <w:r>
        <w:t xml:space="preserve">is round's </w:t>
      </w:r>
      <w:r w:rsidRPr="00C91496">
        <w:t xml:space="preserve">commonly agreed macroeconomic assumptions </w:t>
      </w:r>
      <w:r>
        <w:t>and the Cohort Simulation Model.</w:t>
      </w:r>
    </w:p>
  </w:footnote>
  <w:footnote w:id="47">
    <w:p w14:paraId="59DE9EFB" w14:textId="77777777" w:rsidR="009F3ED8" w:rsidRDefault="009F3ED8" w:rsidP="00B131B3">
      <w:pPr>
        <w:pStyle w:val="Tekstfusnote"/>
        <w:rPr>
          <w:lang w:eastAsia="en-GB"/>
        </w:rPr>
      </w:pPr>
      <w:r w:rsidRPr="00B131B3">
        <w:t>(</w:t>
      </w:r>
      <w:r w:rsidRPr="00B131B3">
        <w:rPr>
          <w:rStyle w:val="Referencafusnote"/>
        </w:rPr>
        <w:footnoteRef/>
      </w:r>
      <w:r w:rsidRPr="00B131B3">
        <w:t>)</w:t>
      </w:r>
      <w:r w:rsidRPr="004245C8">
        <w:tab/>
      </w:r>
      <w:r>
        <w:rPr>
          <w:lang w:eastAsia="en-GB"/>
        </w:rPr>
        <w:t xml:space="preserve">Duration of retirement is measured as remaining years of life at average effective exit age from the labour market as from life expectancy data calculated in the </w:t>
      </w:r>
      <w:r>
        <w:t>Eurostat 2015-based population projections</w:t>
      </w:r>
      <w:r>
        <w:rPr>
          <w:lang w:eastAsia="en-GB"/>
        </w:rPr>
        <w:t>.</w:t>
      </w:r>
    </w:p>
    <w:p w14:paraId="4C85DD66" w14:textId="77777777" w:rsidR="009F3ED8" w:rsidRDefault="009F3ED8" w:rsidP="00A252F1">
      <w:pPr>
        <w:pStyle w:val="Tekstfusnote"/>
      </w:pPr>
    </w:p>
  </w:footnote>
  <w:footnote w:id="48">
    <w:p w14:paraId="468B6034" w14:textId="77777777" w:rsidR="009F3ED8" w:rsidRDefault="009F3ED8" w:rsidP="00B131B3">
      <w:pPr>
        <w:pStyle w:val="Tekstfusnote"/>
      </w:pPr>
      <w:r w:rsidRPr="00B131B3">
        <w:t>(</w:t>
      </w:r>
      <w:r w:rsidRPr="00B131B3">
        <w:rPr>
          <w:rStyle w:val="Referencafusnote"/>
        </w:rPr>
        <w:footnoteRef/>
      </w:r>
      <w:r w:rsidRPr="00B131B3">
        <w:t>)</w:t>
      </w:r>
      <w:r w:rsidRPr="00A853E5">
        <w:tab/>
      </w:r>
      <w:r>
        <w:rPr>
          <w:lang w:eastAsia="en-GB"/>
        </w:rPr>
        <w:t xml:space="preserve">For example, in Germany, contributions evolve in line with expenditure </w:t>
      </w:r>
      <w:r w:rsidRPr="005F71BA">
        <w:rPr>
          <w:lang w:eastAsia="en-GB"/>
        </w:rPr>
        <w:t>developments (Section 1.5). The</w:t>
      </w:r>
      <w:r>
        <w:rPr>
          <w:lang w:eastAsia="en-GB"/>
        </w:rPr>
        <w:t xml:space="preserve"> contribution rate is automatically </w:t>
      </w:r>
      <w:r w:rsidRPr="00A322F7">
        <w:rPr>
          <w:lang w:eastAsia="en-GB"/>
        </w:rPr>
        <w:t xml:space="preserve">adjusted to ensure the financial sustainability of the public pension system (Table </w:t>
      </w:r>
      <w:r w:rsidRPr="00A322F7">
        <w:rPr>
          <w:lang w:eastAsia="en-GB"/>
        </w:rPr>
        <w:fldChar w:fldCharType="begin"/>
      </w:r>
      <w:r w:rsidRPr="00A322F7">
        <w:instrText xml:space="preserve"> QUOTE "II.1.8"</w:instrText>
      </w:r>
      <w:r w:rsidRPr="00A322F7">
        <w:fldChar w:fldCharType="begin">
          <w:fldData xml:space="preserve">QwBSAE8AUwBTAFIARQBGAEUAUgBFAE4AQwBFACoAVABBAEIATABFACoAYgA5ADUANAA2ADkAZQA5
AC0ANQA5ADMANwAtADQANQA1ADkALQBhAGUAYwAwAC0AZgBkAGMAMQA3ADMAYwA0AGEAMgA4AGIA
</w:fldData>
        </w:fldChar>
      </w:r>
      <w:r w:rsidRPr="00A322F7">
        <w:instrText xml:space="preserve"> ADDIN </w:instrText>
      </w:r>
      <w:r w:rsidRPr="00A322F7">
        <w:fldChar w:fldCharType="end"/>
      </w:r>
      <w:r w:rsidRPr="00A322F7">
        <w:instrText xml:space="preserve"> </w:instrText>
      </w:r>
      <w:r w:rsidRPr="00A322F7">
        <w:rPr>
          <w:lang w:eastAsia="en-GB"/>
        </w:rPr>
        <w:fldChar w:fldCharType="separate"/>
      </w:r>
      <w:r w:rsidRPr="00A322F7">
        <w:rPr>
          <w:lang w:eastAsia="en-GB"/>
        </w:rPr>
        <w:t>II.1.7</w:t>
      </w:r>
      <w:r w:rsidRPr="00A322F7">
        <w:rPr>
          <w:lang w:eastAsia="en-GB"/>
        </w:rPr>
        <w:fldChar w:fldCharType="end"/>
      </w:r>
      <w:r w:rsidRPr="00A322F7">
        <w:rPr>
          <w:lang w:eastAsia="en-GB"/>
        </w:rPr>
        <w:t>). In Cyprus, several future increases of contribution</w:t>
      </w:r>
      <w:r>
        <w:rPr>
          <w:lang w:eastAsia="en-GB"/>
        </w:rPr>
        <w:t xml:space="preserve"> rates by 2070 have been legislated. In Ireland, State contributions are projected to rise as a share of GDP, due to the State's obligation to cover any remaining financial gap.</w:t>
      </w:r>
    </w:p>
  </w:footnote>
  <w:footnote w:id="49">
    <w:p w14:paraId="6BF69609" w14:textId="77777777" w:rsidR="009F3ED8" w:rsidRDefault="009F3ED8" w:rsidP="00B131B3">
      <w:pPr>
        <w:pStyle w:val="Tekstfusnote"/>
      </w:pPr>
      <w:r w:rsidRPr="00B131B3">
        <w:t>(</w:t>
      </w:r>
      <w:r w:rsidRPr="00B131B3">
        <w:rPr>
          <w:rStyle w:val="Referencafusnote"/>
        </w:rPr>
        <w:footnoteRef/>
      </w:r>
      <w:r w:rsidRPr="00B131B3">
        <w:t>)</w:t>
      </w:r>
      <w:r w:rsidRPr="004115C6">
        <w:tab/>
      </w:r>
      <w:r>
        <w:rPr>
          <w:lang w:eastAsia="en-GB"/>
        </w:rPr>
        <w:t>In the case of Portugal, this reduction partially captures a base year effect due to extraordinary solidarity contributions at the beginning of the projection period.</w:t>
      </w:r>
    </w:p>
  </w:footnote>
  <w:footnote w:id="50">
    <w:p w14:paraId="6DE6CDBB" w14:textId="77777777" w:rsidR="009F3ED8" w:rsidRDefault="009F3ED8" w:rsidP="00B131B3">
      <w:pPr>
        <w:pStyle w:val="Tekstfusnote"/>
        <w:rPr>
          <w:lang w:eastAsia="en-GB"/>
        </w:rPr>
      </w:pPr>
      <w:r w:rsidRPr="00B131B3">
        <w:t>(</w:t>
      </w:r>
      <w:r w:rsidRPr="00B131B3">
        <w:rPr>
          <w:rStyle w:val="Referencafusnote"/>
        </w:rPr>
        <w:footnoteRef/>
      </w:r>
      <w:r w:rsidRPr="00B131B3">
        <w:t>)</w:t>
      </w:r>
      <w:r w:rsidRPr="00281293">
        <w:tab/>
      </w:r>
      <w:r>
        <w:rPr>
          <w:lang w:eastAsia="en-GB"/>
        </w:rPr>
        <w:t>The negative State contributions in 2016 and during most of the projection period correspond to the contributions provided by the State pension fund (SPF) to financing government (pension and other) expenditures.</w:t>
      </w:r>
    </w:p>
  </w:footnote>
  <w:footnote w:id="51">
    <w:p w14:paraId="4A6F5F84" w14:textId="77777777" w:rsidR="009F3ED8" w:rsidRPr="00E119DC" w:rsidRDefault="009F3ED8" w:rsidP="00B131B3">
      <w:pPr>
        <w:pStyle w:val="Tekstfusnote"/>
      </w:pPr>
      <w:r w:rsidRPr="00B131B3">
        <w:t>(</w:t>
      </w:r>
      <w:r w:rsidRPr="00B131B3">
        <w:rPr>
          <w:rStyle w:val="Referencafusnote"/>
        </w:rPr>
        <w:footnoteRef/>
      </w:r>
      <w:r w:rsidRPr="00B131B3">
        <w:t>)</w:t>
      </w:r>
      <w:r w:rsidRPr="00EE52B6">
        <w:tab/>
      </w:r>
      <w:r>
        <w:t xml:space="preserve">This reflects the fact that </w:t>
      </w:r>
      <w:r w:rsidRPr="00E119DC">
        <w:t>disability pensions are being replaced</w:t>
      </w:r>
      <w:r>
        <w:t xml:space="preserve"> by </w:t>
      </w:r>
      <w:r w:rsidRPr="00E119DC">
        <w:t>a</w:t>
      </w:r>
      <w:r>
        <w:t xml:space="preserve">n unemployment benefit scheme until recipients reach the statutory retirement age. These new benefits were included under 'other pensions' to allow for comparison of total pension costs with other countries. They would amount to 0.8% of GDP in 2070, compared to 1.3% of GDP in disability pensions in 2016, i.e. a decrease of 0.5 pps. of GDP. </w:t>
      </w:r>
    </w:p>
  </w:footnote>
  <w:footnote w:id="52">
    <w:p w14:paraId="2DB02A0A" w14:textId="77777777" w:rsidR="009F3ED8" w:rsidRPr="00644604" w:rsidRDefault="009F3ED8" w:rsidP="00B131B3">
      <w:pPr>
        <w:pStyle w:val="Tekstfusnote"/>
      </w:pPr>
      <w:r w:rsidRPr="00B131B3">
        <w:t>(</w:t>
      </w:r>
      <w:r w:rsidRPr="00B131B3">
        <w:rPr>
          <w:rStyle w:val="Referencafusnote"/>
        </w:rPr>
        <w:footnoteRef/>
      </w:r>
      <w:r w:rsidRPr="00B131B3">
        <w:t>)</w:t>
      </w:r>
      <w:r w:rsidRPr="00597AC4">
        <w:tab/>
      </w:r>
      <w:r>
        <w:t>EL, ES, HR, FR, IT, PL, PT and SE.</w:t>
      </w:r>
    </w:p>
  </w:footnote>
  <w:footnote w:id="53">
    <w:p w14:paraId="5A49885D" w14:textId="77777777" w:rsidR="009F3ED8" w:rsidRPr="00A4072D" w:rsidRDefault="009F3ED8" w:rsidP="00B131B3">
      <w:pPr>
        <w:pStyle w:val="Tekstfusnote"/>
      </w:pPr>
      <w:r w:rsidRPr="00B131B3">
        <w:t>(</w:t>
      </w:r>
      <w:r w:rsidRPr="00B131B3">
        <w:rPr>
          <w:rStyle w:val="Referencafusnote"/>
        </w:rPr>
        <w:footnoteRef/>
      </w:r>
      <w:r w:rsidRPr="00B131B3">
        <w:t>)</w:t>
      </w:r>
      <w:r w:rsidRPr="0083446B">
        <w:tab/>
        <w:t xml:space="preserve">Such links </w:t>
      </w:r>
      <w:r>
        <w:t>are applied</w:t>
      </w:r>
      <w:r w:rsidRPr="0083446B">
        <w:t xml:space="preserve"> in IT, FI, PT, EL, DK, NL, CY</w:t>
      </w:r>
      <w:r>
        <w:t xml:space="preserve"> and</w:t>
      </w:r>
      <w:r w:rsidRPr="0083446B">
        <w:t xml:space="preserve"> SK. See Table </w:t>
      </w:r>
      <w:r w:rsidRPr="0083446B">
        <w:fldChar w:fldCharType="begin"/>
      </w:r>
      <w:r w:rsidRPr="0083446B">
        <w:instrText xml:space="preserve"> QUOTE "II.1.2"</w:instrText>
      </w:r>
      <w:r w:rsidRPr="0083446B">
        <w:fldChar w:fldCharType="begin">
          <w:fldData xml:space="preserve">QwBSAE8AUwBTAFIARQBGAEUAUgBFAE4AQwBFACoAVABBAEIATABFACoAYgAwAGQAZgAxADYAZgBk
AC0AMwA2ADkANwAtADQAYwA0AGQALQA4ADQAZgAzAC0AZAAzADcAMQA0ADQAZgAxADgAZQAwADMA
</w:fldData>
        </w:fldChar>
      </w:r>
      <w:r w:rsidRPr="0083446B">
        <w:instrText xml:space="preserve"> ADDIN </w:instrText>
      </w:r>
      <w:r w:rsidRPr="0083446B">
        <w:fldChar w:fldCharType="end"/>
      </w:r>
      <w:r w:rsidRPr="0083446B">
        <w:instrText xml:space="preserve"> </w:instrText>
      </w:r>
      <w:r w:rsidRPr="0083446B">
        <w:fldChar w:fldCharType="separate"/>
      </w:r>
      <w:r w:rsidRPr="0083446B">
        <w:t>II.1.2</w:t>
      </w:r>
      <w:r w:rsidRPr="0083446B">
        <w:fldChar w:fldCharType="end"/>
      </w:r>
      <w:r w:rsidRPr="0083446B">
        <w:t>.</w:t>
      </w:r>
    </w:p>
  </w:footnote>
  <w:footnote w:id="54">
    <w:p w14:paraId="5201439B" w14:textId="77777777" w:rsidR="009F3ED8" w:rsidRPr="002E7E35" w:rsidRDefault="009F3ED8" w:rsidP="00B131B3">
      <w:pPr>
        <w:pStyle w:val="Tekstfusnote"/>
      </w:pPr>
      <w:r w:rsidRPr="00B131B3">
        <w:t>(</w:t>
      </w:r>
      <w:r w:rsidRPr="00B131B3">
        <w:rPr>
          <w:rStyle w:val="Referencafusnote"/>
        </w:rPr>
        <w:footnoteRef/>
      </w:r>
      <w:r w:rsidRPr="00B131B3">
        <w:t>)</w:t>
      </w:r>
      <w:r w:rsidRPr="002E7E35">
        <w:tab/>
      </w:r>
      <w:r>
        <w:t>This ignores the very limited increase in the -54 age group for Malta, which would still have one of the lowest shares for this age group of all Member States.</w:t>
      </w:r>
    </w:p>
  </w:footnote>
  <w:footnote w:id="55">
    <w:p w14:paraId="158B79C3" w14:textId="77777777" w:rsidR="009F3ED8" w:rsidRPr="006F323F" w:rsidRDefault="009F3ED8" w:rsidP="00B131B3">
      <w:pPr>
        <w:pStyle w:val="Tekstfusnote"/>
      </w:pPr>
      <w:r w:rsidRPr="00B131B3">
        <w:t>(</w:t>
      </w:r>
      <w:r w:rsidRPr="00B131B3">
        <w:rPr>
          <w:rStyle w:val="Referencafusnote"/>
        </w:rPr>
        <w:footnoteRef/>
      </w:r>
      <w:r w:rsidRPr="00B131B3">
        <w:t>)</w:t>
      </w:r>
      <w:r w:rsidRPr="006F323F">
        <w:tab/>
        <w:t>While pension contributions will be completely exempted from tax by 2025 (partial</w:t>
      </w:r>
      <w:r>
        <w:t>ly</w:t>
      </w:r>
      <w:r w:rsidRPr="006F323F">
        <w:t xml:space="preserve"> tax</w:t>
      </w:r>
      <w:r>
        <w:t>ed</w:t>
      </w:r>
      <w:r w:rsidRPr="006F323F">
        <w:t xml:space="preserve"> in the past), pension benefits will be fully taxed by 2040 (practically non-existent in the past).</w:t>
      </w:r>
    </w:p>
  </w:footnote>
  <w:footnote w:id="56">
    <w:p w14:paraId="22CAE943" w14:textId="77777777" w:rsidR="009F3ED8" w:rsidRPr="00A52A31" w:rsidRDefault="009F3ED8" w:rsidP="00B131B3">
      <w:pPr>
        <w:pStyle w:val="Tekstfusnote"/>
      </w:pPr>
      <w:r w:rsidRPr="00B131B3">
        <w:t>(</w:t>
      </w:r>
      <w:r w:rsidRPr="00B131B3">
        <w:rPr>
          <w:rStyle w:val="Referencafusnote"/>
        </w:rPr>
        <w:footnoteRef/>
      </w:r>
      <w:r w:rsidRPr="00B131B3">
        <w:t>)</w:t>
      </w:r>
      <w:r w:rsidRPr="00A52A31">
        <w:tab/>
      </w:r>
      <w:r>
        <w:t>For an overview, see Annex II, Table II.AII.1.</w:t>
      </w:r>
    </w:p>
  </w:footnote>
  <w:footnote w:id="57">
    <w:p w14:paraId="5D636463" w14:textId="77777777" w:rsidR="009F3ED8" w:rsidRPr="009A5BB7" w:rsidRDefault="009F3ED8" w:rsidP="00B131B3">
      <w:pPr>
        <w:pStyle w:val="Tekstfusnote"/>
      </w:pPr>
      <w:r w:rsidRPr="00B131B3">
        <w:t>(</w:t>
      </w:r>
      <w:r w:rsidRPr="00B131B3">
        <w:rPr>
          <w:rStyle w:val="Referencafusnote"/>
        </w:rPr>
        <w:footnoteRef/>
      </w:r>
      <w:r w:rsidRPr="00B131B3">
        <w:t>)</w:t>
      </w:r>
      <w:r w:rsidRPr="009A5BB7">
        <w:tab/>
      </w:r>
      <w:r>
        <w:t>1.4 pps. of GDP in the alternative breakdown.</w:t>
      </w:r>
    </w:p>
  </w:footnote>
  <w:footnote w:id="58">
    <w:p w14:paraId="490F1AE2" w14:textId="77777777" w:rsidR="009F3ED8" w:rsidRPr="008F3C26" w:rsidRDefault="009F3ED8" w:rsidP="00B131B3">
      <w:pPr>
        <w:pStyle w:val="Tekstfusnote"/>
      </w:pPr>
      <w:r w:rsidRPr="00B131B3">
        <w:t>(</w:t>
      </w:r>
      <w:r w:rsidRPr="00B131B3">
        <w:rPr>
          <w:rStyle w:val="Referencafusnote"/>
        </w:rPr>
        <w:footnoteRef/>
      </w:r>
      <w:r w:rsidRPr="00B131B3">
        <w:t>)</w:t>
      </w:r>
      <w:r w:rsidRPr="008F3C26">
        <w:tab/>
      </w:r>
      <w:r>
        <w:t>2.9</w:t>
      </w:r>
      <w:r w:rsidRPr="008F3C26">
        <w:t xml:space="preserve"> pps. of GDP in the alternative breakdown.</w:t>
      </w:r>
    </w:p>
  </w:footnote>
  <w:footnote w:id="59">
    <w:p w14:paraId="63871FAC" w14:textId="77777777" w:rsidR="009F3ED8" w:rsidRPr="008F3C26" w:rsidRDefault="009F3ED8" w:rsidP="00B131B3">
      <w:pPr>
        <w:pStyle w:val="Tekstfusnote"/>
      </w:pPr>
      <w:r w:rsidRPr="00B131B3">
        <w:t>(</w:t>
      </w:r>
      <w:r w:rsidRPr="00B131B3">
        <w:rPr>
          <w:rStyle w:val="Referencafusnote"/>
        </w:rPr>
        <w:footnoteRef/>
      </w:r>
      <w:r w:rsidRPr="00B131B3">
        <w:t>)</w:t>
      </w:r>
      <w:r w:rsidRPr="008F3C26">
        <w:tab/>
      </w:r>
      <w:r>
        <w:t>2.0 pps. of GDP in the alternative breakdown.</w:t>
      </w:r>
    </w:p>
  </w:footnote>
  <w:footnote w:id="60">
    <w:p w14:paraId="51D705F1" w14:textId="77777777" w:rsidR="009F3ED8" w:rsidRPr="00D30A29" w:rsidRDefault="009F3ED8" w:rsidP="00B131B3">
      <w:pPr>
        <w:pStyle w:val="Tekstfusnote"/>
      </w:pPr>
      <w:r w:rsidRPr="00B131B3">
        <w:t>(</w:t>
      </w:r>
      <w:r w:rsidRPr="00B131B3">
        <w:rPr>
          <w:rStyle w:val="Referencafusnote"/>
        </w:rPr>
        <w:footnoteRef/>
      </w:r>
      <w:r w:rsidRPr="00B131B3">
        <w:t>)</w:t>
      </w:r>
      <w:r w:rsidRPr="00D30A29">
        <w:tab/>
      </w:r>
      <w:r>
        <w:t>The higher benefit ratio results from a projected</w:t>
      </w:r>
      <w:r w:rsidRPr="00D30A29">
        <w:t xml:space="preserve"> increase of the </w:t>
      </w:r>
      <w:r>
        <w:t>'</w:t>
      </w:r>
      <w:r w:rsidRPr="00D30A29">
        <w:t>Index for Pension Revaluation</w:t>
      </w:r>
      <w:r>
        <w:t xml:space="preserve">' after 2057. </w:t>
      </w:r>
    </w:p>
  </w:footnote>
  <w:footnote w:id="61">
    <w:p w14:paraId="410BBD13" w14:textId="77777777" w:rsidR="009F3ED8" w:rsidRPr="004D58FA" w:rsidRDefault="009F3ED8" w:rsidP="00B131B3">
      <w:pPr>
        <w:pStyle w:val="Tekstfusnote"/>
      </w:pPr>
      <w:r w:rsidRPr="00B131B3">
        <w:t>(</w:t>
      </w:r>
      <w:r w:rsidRPr="00B131B3">
        <w:rPr>
          <w:rStyle w:val="Referencafusnote"/>
        </w:rPr>
        <w:footnoteRef/>
      </w:r>
      <w:r w:rsidRPr="00B131B3">
        <w:t>)</w:t>
      </w:r>
      <w:r w:rsidRPr="004D58FA">
        <w:tab/>
      </w:r>
      <w:r>
        <w:t>This is a joint triennial report from the Social Protection Committee and the European Commission.</w:t>
      </w:r>
      <w:r w:rsidRPr="004D58FA">
        <w:t xml:space="preserve"> </w:t>
      </w:r>
      <w:r>
        <w:t>The 2018 edition [</w:t>
      </w:r>
      <w:r w:rsidRPr="007E56D6">
        <w:rPr>
          <w:highlight w:val="yellow"/>
        </w:rPr>
        <w:t>was published in April 2018</w:t>
      </w:r>
      <w:r>
        <w:t>].</w:t>
      </w:r>
    </w:p>
  </w:footnote>
  <w:footnote w:id="62">
    <w:p w14:paraId="7A616986" w14:textId="77777777" w:rsidR="009F3ED8" w:rsidRPr="002D1C4F" w:rsidRDefault="009F3ED8" w:rsidP="00B131B3">
      <w:pPr>
        <w:pStyle w:val="Tekstfusnote"/>
      </w:pPr>
      <w:r w:rsidRPr="00B131B3">
        <w:t>(</w:t>
      </w:r>
      <w:r w:rsidRPr="00B131B3">
        <w:rPr>
          <w:rStyle w:val="Referencafusnote"/>
        </w:rPr>
        <w:footnoteRef/>
      </w:r>
      <w:r w:rsidRPr="00B131B3">
        <w:t>)</w:t>
      </w:r>
      <w:r w:rsidRPr="002D1C4F">
        <w:tab/>
        <w:t>DE, EE, HR, LV, LT, NL, PT, RO &amp; SE.</w:t>
      </w:r>
    </w:p>
  </w:footnote>
  <w:footnote w:id="63">
    <w:p w14:paraId="061A41E7" w14:textId="77777777" w:rsidR="009F3ED8" w:rsidRPr="00156349" w:rsidRDefault="009F3ED8" w:rsidP="00B131B3">
      <w:pPr>
        <w:pStyle w:val="Tekstfusnote"/>
      </w:pPr>
      <w:r w:rsidRPr="00B131B3">
        <w:t>(</w:t>
      </w:r>
      <w:r w:rsidRPr="00B131B3">
        <w:rPr>
          <w:rStyle w:val="Referencafusnote"/>
        </w:rPr>
        <w:footnoteRef/>
      </w:r>
      <w:r w:rsidRPr="00B131B3">
        <w:t>)</w:t>
      </w:r>
      <w:r w:rsidRPr="00156349">
        <w:tab/>
      </w:r>
      <w:r>
        <w:t>Social assistance benefits are included in the projections if they are equivalent to minimum pensions and targeted to people over 55.</w:t>
      </w:r>
    </w:p>
  </w:footnote>
  <w:footnote w:id="64">
    <w:p w14:paraId="385EF716" w14:textId="77777777" w:rsidR="009F3ED8" w:rsidRPr="00EE46B0" w:rsidRDefault="009F3ED8" w:rsidP="00B131B3">
      <w:pPr>
        <w:pStyle w:val="Tekstfusnote"/>
      </w:pPr>
      <w:r w:rsidRPr="00B131B3">
        <w:t>(</w:t>
      </w:r>
      <w:r w:rsidRPr="00B131B3">
        <w:rPr>
          <w:rStyle w:val="Referencafusnote"/>
        </w:rPr>
        <w:footnoteRef/>
      </w:r>
      <w:r w:rsidRPr="00B131B3">
        <w:t>)</w:t>
      </w:r>
      <w:r w:rsidRPr="00EE46B0">
        <w:tab/>
      </w:r>
      <w:r>
        <w:t>In Norway, t</w:t>
      </w:r>
      <w:r w:rsidRPr="00497E36">
        <w:t>he notable drop in spending on minimum pensions by 2070 reflects the reform of the public old-age pension system. Fixed basic pensions are being phased out as pensions become more income-related. The reformed system will still have a minimum guaranteed pension, though, representing 0.9% of GDP in 2070.</w:t>
      </w:r>
    </w:p>
  </w:footnote>
  <w:footnote w:id="65">
    <w:p w14:paraId="2E39DB5D" w14:textId="77777777" w:rsidR="009F3ED8" w:rsidRPr="004E7502" w:rsidRDefault="009F3ED8" w:rsidP="00B131B3">
      <w:pPr>
        <w:pStyle w:val="Tekstfusnote"/>
      </w:pPr>
      <w:r w:rsidRPr="00B131B3">
        <w:t>(</w:t>
      </w:r>
      <w:r w:rsidRPr="00B131B3">
        <w:rPr>
          <w:rStyle w:val="Referencafusnote"/>
        </w:rPr>
        <w:footnoteRef/>
      </w:r>
      <w:r w:rsidRPr="00B131B3">
        <w:t>)</w:t>
      </w:r>
      <w:r w:rsidRPr="004E7502">
        <w:tab/>
      </w:r>
      <w:r>
        <w:t>This relative reduction is phased in by 2030 and kept constant thereafter in the simulations. The same applies for the scenario of higher overall employment.</w:t>
      </w:r>
    </w:p>
  </w:footnote>
  <w:footnote w:id="66">
    <w:p w14:paraId="7CA1467D" w14:textId="77777777" w:rsidR="009F3ED8" w:rsidRPr="00B86264" w:rsidRDefault="009F3ED8" w:rsidP="00B131B3">
      <w:pPr>
        <w:pStyle w:val="Tekstfusnote"/>
      </w:pPr>
      <w:r w:rsidRPr="00B131B3">
        <w:t>(</w:t>
      </w:r>
      <w:r w:rsidRPr="00B131B3">
        <w:rPr>
          <w:rStyle w:val="Referencafusnote"/>
        </w:rPr>
        <w:footnoteRef/>
      </w:r>
      <w:r w:rsidRPr="00B131B3">
        <w:t>)</w:t>
      </w:r>
      <w:r w:rsidRPr="00662453">
        <w:tab/>
      </w:r>
      <w:r>
        <w:t>By drawing on people that are assumed to be inactive under the baseline scenario.</w:t>
      </w:r>
    </w:p>
  </w:footnote>
  <w:footnote w:id="67">
    <w:p w14:paraId="521A2318" w14:textId="77777777" w:rsidR="009F3ED8" w:rsidRPr="00554DFA" w:rsidRDefault="009F3ED8" w:rsidP="00B131B3">
      <w:pPr>
        <w:pStyle w:val="Tekstfusnote"/>
      </w:pPr>
      <w:r w:rsidRPr="00B131B3">
        <w:t>(</w:t>
      </w:r>
      <w:r w:rsidRPr="00B131B3">
        <w:rPr>
          <w:rStyle w:val="Referencafusnote"/>
        </w:rPr>
        <w:footnoteRef/>
      </w:r>
      <w:r w:rsidRPr="00B131B3">
        <w:t>)</w:t>
      </w:r>
      <w:r w:rsidRPr="00554DFA">
        <w:tab/>
      </w:r>
      <w:r>
        <w:t>O</w:t>
      </w:r>
      <w:r w:rsidRPr="00554DFA">
        <w:t xml:space="preserve">ther </w:t>
      </w:r>
      <w:r>
        <w:t>favourable effects such as on</w:t>
      </w:r>
      <w:r w:rsidRPr="00554DFA">
        <w:t xml:space="preserve"> social contributions </w:t>
      </w:r>
      <w:r>
        <w:t>are not accounted for in the simulations.</w:t>
      </w:r>
      <w:r w:rsidRPr="00554DFA">
        <w:t xml:space="preserve"> </w:t>
      </w:r>
    </w:p>
  </w:footnote>
  <w:footnote w:id="68">
    <w:p w14:paraId="4FC128F5" w14:textId="77777777" w:rsidR="009F3ED8" w:rsidRPr="000A2D73" w:rsidRDefault="009F3ED8" w:rsidP="00B131B3">
      <w:pPr>
        <w:pStyle w:val="Tekstfusnote"/>
      </w:pPr>
      <w:r w:rsidRPr="00B131B3">
        <w:t>(</w:t>
      </w:r>
      <w:r w:rsidRPr="00B131B3">
        <w:rPr>
          <w:rStyle w:val="Referencafusnote"/>
        </w:rPr>
        <w:footnoteRef/>
      </w:r>
      <w:r w:rsidRPr="00B131B3">
        <w:t>)</w:t>
      </w:r>
      <w:r w:rsidRPr="000A2D73">
        <w:tab/>
      </w:r>
      <w:r>
        <w:t>This link translates into a rise of the effective retirement age compared to the baseline. To account for the fact that the baseline scenario incorporates already legislated changes in the retirement age, the highest effective retirement age (baseline vs. policy-change scenario) is assumed at every point in time over the projection horizon. Therefore, differences may occur also in case of countries where the legislated statutory retirement age develops in line with life expectancy.</w:t>
      </w:r>
    </w:p>
  </w:footnote>
  <w:footnote w:id="69">
    <w:p w14:paraId="404D25A8" w14:textId="77777777" w:rsidR="009F3ED8" w:rsidRPr="00805D76" w:rsidRDefault="009F3ED8" w:rsidP="00B131B3">
      <w:pPr>
        <w:pStyle w:val="Tekstfusnote"/>
      </w:pPr>
      <w:r w:rsidRPr="00B131B3">
        <w:t>(</w:t>
      </w:r>
      <w:r w:rsidRPr="00B131B3">
        <w:rPr>
          <w:rStyle w:val="Referencafusnote"/>
        </w:rPr>
        <w:footnoteRef/>
      </w:r>
      <w:r w:rsidRPr="00B131B3">
        <w:t>)</w:t>
      </w:r>
      <w:r w:rsidRPr="00805D76">
        <w:tab/>
        <w:t xml:space="preserve">Considering that </w:t>
      </w:r>
      <w:r>
        <w:t xml:space="preserve">projections in </w:t>
      </w:r>
      <w:r w:rsidRPr="00805D76">
        <w:t xml:space="preserve">the 2015 </w:t>
      </w:r>
      <w:r>
        <w:t>Ageing Report ran</w:t>
      </w:r>
      <w:r w:rsidRPr="00805D76">
        <w:t xml:space="preserve"> </w:t>
      </w:r>
      <w:r>
        <w:t>until 2060, comparisons in this section cover the period 2016-2060. The base year in the 2015 projection exercise was 2013.</w:t>
      </w:r>
    </w:p>
  </w:footnote>
  <w:footnote w:id="70">
    <w:p w14:paraId="6AAA7206" w14:textId="77777777" w:rsidR="009F3ED8" w:rsidRPr="00ED2628" w:rsidRDefault="009F3ED8" w:rsidP="00B131B3">
      <w:pPr>
        <w:pStyle w:val="Tekstfusnote"/>
      </w:pPr>
      <w:r w:rsidRPr="00B131B3">
        <w:t>(</w:t>
      </w:r>
      <w:r w:rsidRPr="00B131B3">
        <w:rPr>
          <w:rStyle w:val="Referencafusnote"/>
        </w:rPr>
        <w:footnoteRef/>
      </w:r>
      <w:r w:rsidRPr="00B131B3">
        <w:t>)</w:t>
      </w:r>
      <w:r w:rsidRPr="00ED2628">
        <w:tab/>
      </w:r>
      <w:r>
        <w:t>Also for Luxembourg the coverage ratio effect amounts to +1 pp. of GDP. However, a</w:t>
      </w:r>
      <w:r w:rsidRPr="00ED2628">
        <w:t xml:space="preserve">s cross-border workers in Luxembourg are not covered in the labour force projections for the pension projection exercise, </w:t>
      </w:r>
      <w:r>
        <w:t>deriving conclusions from</w:t>
      </w:r>
      <w:r w:rsidRPr="00ED2628">
        <w:t xml:space="preserve"> the coverage ratio</w:t>
      </w:r>
      <w:r>
        <w:t xml:space="preserve"> </w:t>
      </w:r>
      <w:r w:rsidRPr="00ED2628">
        <w:t>is not meaningful.</w:t>
      </w:r>
    </w:p>
  </w:footnote>
  <w:footnote w:id="71">
    <w:p w14:paraId="27E541C6" w14:textId="77777777" w:rsidR="009F3ED8" w:rsidRPr="0003300F" w:rsidRDefault="009F3ED8" w:rsidP="00B131B3">
      <w:pPr>
        <w:pStyle w:val="Tekstfusnote"/>
      </w:pPr>
      <w:r w:rsidRPr="00B131B3">
        <w:t>(</w:t>
      </w:r>
      <w:r w:rsidRPr="00B131B3">
        <w:rPr>
          <w:rStyle w:val="Referencafusnote"/>
        </w:rPr>
        <w:footnoteRef/>
      </w:r>
      <w:r w:rsidRPr="00B131B3">
        <w:t>)</w:t>
      </w:r>
      <w:r w:rsidRPr="0003300F">
        <w:tab/>
      </w:r>
      <w:r>
        <w:t>For Belgium and Bulgaria certain reforms since 2015 are already reflected in the baseline: 'Ageing Report 2015' refers to the updated projections for these countries.</w:t>
      </w:r>
    </w:p>
  </w:footnote>
  <w:footnote w:id="72">
    <w:p w14:paraId="21190A7F" w14:textId="77777777" w:rsidR="00460C69" w:rsidRDefault="00460C69" w:rsidP="00460C69">
      <w:pPr>
        <w:pStyle w:val="Tekstfusnote"/>
      </w:pPr>
      <w:r w:rsidRPr="00AB3524">
        <w:t>(</w:t>
      </w:r>
      <w:r w:rsidRPr="00AB3524">
        <w:rPr>
          <w:rStyle w:val="Referencafusnote"/>
        </w:rPr>
        <w:footnoteRef/>
      </w:r>
      <w:r w:rsidRPr="00AB3524">
        <w:t>)</w:t>
      </w:r>
      <w:r w:rsidRPr="00A123B8">
        <w:tab/>
      </w:r>
      <w:r>
        <w:t xml:space="preserve">The averages presented in this chapter are weighted according to GDP. Additionally, non-weighted averages for EU28 are displayed in all tables indicated by the symbol </w:t>
      </w:r>
      <w:r w:rsidRPr="002425C1">
        <w:rPr>
          <w:i/>
        </w:rPr>
        <w:t>EU* s</w:t>
      </w:r>
      <w:r>
        <w:t>.</w:t>
      </w:r>
    </w:p>
  </w:footnote>
  <w:footnote w:id="73">
    <w:p w14:paraId="58B45B23" w14:textId="77777777" w:rsidR="00460C69" w:rsidRPr="009D3BB0" w:rsidRDefault="00460C69" w:rsidP="00460C69">
      <w:pPr>
        <w:pStyle w:val="Tekstfusnote"/>
      </w:pPr>
      <w:r w:rsidRPr="00AB3524">
        <w:t>(</w:t>
      </w:r>
      <w:r w:rsidRPr="00AB3524">
        <w:rPr>
          <w:rStyle w:val="Referencafusnote"/>
        </w:rPr>
        <w:footnoteRef/>
      </w:r>
      <w:r w:rsidRPr="00AB3524">
        <w:t>)</w:t>
      </w:r>
      <w:r>
        <w:tab/>
        <w:t>See Heger</w:t>
      </w:r>
      <w:r w:rsidRPr="009D3BB0">
        <w:t xml:space="preserve"> </w:t>
      </w:r>
      <w:r>
        <w:t>D. and</w:t>
      </w:r>
      <w:r w:rsidRPr="009D3BB0">
        <w:t xml:space="preserve"> I</w:t>
      </w:r>
      <w:r>
        <w:t>.</w:t>
      </w:r>
      <w:r w:rsidRPr="009D3BB0">
        <w:t xml:space="preserve">W.K. </w:t>
      </w:r>
      <w:r>
        <w:t>Kolodziej</w:t>
      </w:r>
      <w:r w:rsidRPr="009D3BB0">
        <w:t xml:space="preserve"> </w:t>
      </w:r>
      <w:r>
        <w:t>(2016)</w:t>
      </w:r>
      <w:r w:rsidRPr="009D3BB0">
        <w:t xml:space="preserve"> </w:t>
      </w:r>
      <w:r>
        <w:t>"</w:t>
      </w:r>
      <w:r w:rsidRPr="009D3BB0">
        <w:t>Changes in morbidity over time: Evidence from Europe</w:t>
      </w:r>
      <w:r>
        <w:t>"</w:t>
      </w:r>
      <w:r w:rsidRPr="009D3BB0">
        <w:t>, Ruhr Economic Paper</w:t>
      </w:r>
      <w:r>
        <w:t>s, No. 640.</w:t>
      </w:r>
    </w:p>
  </w:footnote>
  <w:footnote w:id="74">
    <w:p w14:paraId="1A1945FA" w14:textId="77777777" w:rsidR="00460C69" w:rsidRDefault="00460C69" w:rsidP="00460C69">
      <w:pPr>
        <w:pStyle w:val="Tekstfusnote"/>
      </w:pPr>
      <w:r w:rsidRPr="00AB3524">
        <w:t>(</w:t>
      </w:r>
      <w:r w:rsidRPr="00AB3524">
        <w:rPr>
          <w:rStyle w:val="Referencafusnote"/>
        </w:rPr>
        <w:footnoteRef/>
      </w:r>
      <w:r w:rsidRPr="00AB3524">
        <w:rPr>
          <w:lang w:val="da-DK"/>
        </w:rPr>
        <w:t>)</w:t>
      </w:r>
      <w:r w:rsidRPr="009A0146">
        <w:rPr>
          <w:lang w:val="da-DK"/>
        </w:rPr>
        <w:tab/>
        <w:t xml:space="preserve">See Chatterji S. et al. </w:t>
      </w:r>
      <w:r w:rsidRPr="009A0146">
        <w:t>(2015) "Health, functioning, and disability in older adults—present status and future implications"; Cutler et al. (2013) "Evidence for Significant Compression of Morbidity in the Elderly U.S. Population" and Salomon et al. (2012) "Healthy life expectancy for 187 countries, 1990—2010: a systematic analysis for the Global Burden Disease Study 2010".</w:t>
      </w:r>
    </w:p>
  </w:footnote>
  <w:footnote w:id="75">
    <w:p w14:paraId="569E4FC0" w14:textId="77777777" w:rsidR="00460C69" w:rsidRDefault="00460C69" w:rsidP="00460C69">
      <w:pPr>
        <w:pStyle w:val="Tekstfusnote"/>
      </w:pPr>
      <w:r w:rsidRPr="00AB3524">
        <w:t>(</w:t>
      </w:r>
      <w:r w:rsidRPr="00AB3524">
        <w:rPr>
          <w:rStyle w:val="Referencafusnote"/>
        </w:rPr>
        <w:footnoteRef/>
      </w:r>
      <w:r w:rsidRPr="00AB3524">
        <w:t>)</w:t>
      </w:r>
      <w:r>
        <w:tab/>
      </w:r>
      <w:r w:rsidRPr="00266763">
        <w:t>Health care markets</w:t>
      </w:r>
      <w:r>
        <w:t xml:space="preserve"> may</w:t>
      </w:r>
      <w:r w:rsidRPr="00266763">
        <w:t xml:space="preserve"> suffer from adverse selection (higher health risks have difficulty in obtaining affordable coverage), moral hazard (insured people have an incentive to over consume health care services as they do not bear the full cost) and asymmetric information (physicians have more information than patients, which could lead to supply-induced demand and economic rents, depending on the type of remuneration of physicians: capitation, fee-for-service, pay-for-performance). These market failures are the economic rationale for public sector involvement (financing and regulations) in health care markets based on efficiency and equity considerations.</w:t>
      </w:r>
    </w:p>
  </w:footnote>
  <w:footnote w:id="76">
    <w:p w14:paraId="126660FA" w14:textId="77777777" w:rsidR="00460C69" w:rsidRDefault="00460C69" w:rsidP="00460C69">
      <w:pPr>
        <w:pStyle w:val="Tekstfusnote"/>
      </w:pPr>
      <w:r w:rsidRPr="00AB3524">
        <w:t>(</w:t>
      </w:r>
      <w:r w:rsidRPr="00AB3524">
        <w:rPr>
          <w:rStyle w:val="Referencafusnote"/>
        </w:rPr>
        <w:footnoteRef/>
      </w:r>
      <w:r w:rsidRPr="00AB3524">
        <w:t>)</w:t>
      </w:r>
      <w:r>
        <w:tab/>
      </w:r>
      <w:r w:rsidRPr="00266763">
        <w:t>Uncertainty relates to three factors. First, public expenditure on health care are determined by an interrelated play of numerous demand and supply-related factors, often not fully observed or quantifiable. Second, ad hoc policy reforms may change their relevance and impact upon future health care spending. Third, the long-term horizon of the projections increases the uncertainty of the results.</w:t>
      </w:r>
    </w:p>
  </w:footnote>
  <w:footnote w:id="77">
    <w:p w14:paraId="7CA323B2" w14:textId="77777777" w:rsidR="00460C69" w:rsidRDefault="00460C69" w:rsidP="00460C69">
      <w:pPr>
        <w:pStyle w:val="Tekstfusnote"/>
      </w:pPr>
      <w:r w:rsidRPr="00AB3524">
        <w:t>(</w:t>
      </w:r>
      <w:r w:rsidRPr="00AB3524">
        <w:rPr>
          <w:rStyle w:val="Referencafusnote"/>
        </w:rPr>
        <w:footnoteRef/>
      </w:r>
      <w:r w:rsidRPr="00AB3524">
        <w:t>)</w:t>
      </w:r>
      <w:r>
        <w:tab/>
        <w:t>Public expenditure on health in this publication (with the exception of table II.2.1, which includes SHA category HC.3) is defined as the "core" health care categories (SHA categories HC.1 to HC.9), excluding long-term nursing care category (HC.3), but including capital investment in health (</w:t>
      </w:r>
      <w:r w:rsidRPr="00AE4DB1">
        <w:t xml:space="preserve">COFOG </w:t>
      </w:r>
      <w:r>
        <w:t>gross capital formation for GF07 excluding</w:t>
      </w:r>
      <w:r w:rsidRPr="00AE4DB1">
        <w:t xml:space="preserve"> GF0705</w:t>
      </w:r>
      <w:r>
        <w:t xml:space="preserve">). </w:t>
      </w:r>
      <w:r w:rsidRPr="00266763">
        <w:t xml:space="preserve">The </w:t>
      </w:r>
      <w:r>
        <w:t xml:space="preserve">data and </w:t>
      </w:r>
      <w:r w:rsidRPr="00266763">
        <w:t>methodology for running the long-term expenditure projections is explained in detail in the "201</w:t>
      </w:r>
      <w:r>
        <w:t>8</w:t>
      </w:r>
      <w:r w:rsidRPr="00266763">
        <w:t xml:space="preserve"> Ageing Report</w:t>
      </w:r>
      <w:r>
        <w:t xml:space="preserve"> -</w:t>
      </w:r>
      <w:r w:rsidRPr="00266763">
        <w:t xml:space="preserve"> Underlying assumptions and projection methodologies": </w:t>
      </w:r>
    </w:p>
    <w:p w14:paraId="199D4B71" w14:textId="77777777" w:rsidR="00460C69" w:rsidRDefault="00460C69" w:rsidP="00460C69">
      <w:pPr>
        <w:pStyle w:val="Tekstfusnote"/>
      </w:pPr>
      <w:r w:rsidRPr="003E6EE9">
        <w:t>https://ec.europa.eu/info/sites/info/files/economy-finance/ip065_en.pdf</w:t>
      </w:r>
      <w:r w:rsidRPr="00266763">
        <w:t xml:space="preserve">. </w:t>
      </w:r>
    </w:p>
  </w:footnote>
  <w:footnote w:id="78">
    <w:p w14:paraId="4263F78E" w14:textId="77777777" w:rsidR="00460C69" w:rsidRDefault="00460C69" w:rsidP="00460C69">
      <w:pPr>
        <w:pStyle w:val="Tekstfusnote"/>
      </w:pPr>
      <w:r w:rsidRPr="00AB3524">
        <w:t>(</w:t>
      </w:r>
      <w:r w:rsidRPr="00AB3524">
        <w:rPr>
          <w:rStyle w:val="Referencafusnote"/>
        </w:rPr>
        <w:footnoteRef/>
      </w:r>
      <w:r w:rsidRPr="00AB3524">
        <w:t>)</w:t>
      </w:r>
      <w:r>
        <w:tab/>
        <w:t xml:space="preserve">A detailed account of the projection methods is given in EC– EPC (2017), "The 2018 Ageing Report: Underlying Assumptions and Projection Methodologies": </w:t>
      </w:r>
      <w:r w:rsidRPr="002B67A1">
        <w:t>https://ec.europa.eu/info/publications/economy-finance/2018-ageing-report-underlying-assumptions-and-projection-methodologies_en</w:t>
      </w:r>
      <w:r>
        <w:t>.</w:t>
      </w:r>
    </w:p>
  </w:footnote>
  <w:footnote w:id="79">
    <w:p w14:paraId="101CE3B2" w14:textId="77777777" w:rsidR="00460C69" w:rsidRDefault="00460C69" w:rsidP="00460C69">
      <w:pPr>
        <w:pStyle w:val="Tekstfusnote"/>
      </w:pPr>
      <w:r w:rsidRPr="00AB3524">
        <w:t>(</w:t>
      </w:r>
      <w:r w:rsidRPr="00AB3524">
        <w:rPr>
          <w:rStyle w:val="Referencafusnote"/>
        </w:rPr>
        <w:footnoteRef/>
      </w:r>
      <w:r w:rsidRPr="00AB3524">
        <w:t>)</w:t>
      </w:r>
      <w:r>
        <w:tab/>
        <w:t>Strictly speaking, age-expenditure profiles are not a measure of health status or morbidity. However, given the lack of a reliable and comparable data on the latter, it is plausible to assume that the shape of the profiles follows the evolution of health status over the lifespan.</w:t>
      </w:r>
    </w:p>
  </w:footnote>
  <w:footnote w:id="80">
    <w:p w14:paraId="3F57E6BA" w14:textId="77777777" w:rsidR="00460C69" w:rsidRDefault="00460C69" w:rsidP="00460C69">
      <w:pPr>
        <w:pStyle w:val="Tekstfusnote"/>
      </w:pPr>
      <w:r w:rsidRPr="00AB3524">
        <w:t>(</w:t>
      </w:r>
      <w:r w:rsidRPr="00AB3524">
        <w:rPr>
          <w:rStyle w:val="Referencafusnote"/>
        </w:rPr>
        <w:footnoteRef/>
      </w:r>
      <w:r w:rsidRPr="00AB3524">
        <w:t>)</w:t>
      </w:r>
      <w:r>
        <w:tab/>
        <w:t>Since GDP data also captures the impact of changes in life expectancy through their impact on labour forces.</w:t>
      </w:r>
    </w:p>
  </w:footnote>
  <w:footnote w:id="81">
    <w:p w14:paraId="2A3B36DA" w14:textId="77777777" w:rsidR="00460C69" w:rsidRDefault="00460C69" w:rsidP="00460C69">
      <w:pPr>
        <w:pStyle w:val="Tekstfusnote"/>
      </w:pPr>
      <w:r w:rsidRPr="00AB3524">
        <w:t>(</w:t>
      </w:r>
      <w:r w:rsidRPr="00AB3524">
        <w:rPr>
          <w:rStyle w:val="Referencafusnote"/>
        </w:rPr>
        <w:footnoteRef/>
      </w:r>
      <w:r w:rsidRPr="00AB3524">
        <w:t>)</w:t>
      </w:r>
      <w:r>
        <w:tab/>
      </w:r>
      <w:r w:rsidRPr="0017629D">
        <w:t>The</w:t>
      </w:r>
      <w:r>
        <w:t xml:space="preserve"> method is applied to those age-</w:t>
      </w:r>
      <w:r w:rsidRPr="0017629D">
        <w:t>gender groups where expenditure per capita is growing.</w:t>
      </w:r>
      <w:r>
        <w:t xml:space="preserve"> </w:t>
      </w:r>
      <w:r w:rsidRPr="0017629D">
        <w:t>For the</w:t>
      </w:r>
      <w:r>
        <w:t xml:space="preserve"> young and the oldest old, the age-</w:t>
      </w:r>
      <w:r w:rsidRPr="0017629D">
        <w:t>gender per capita public expenditure profile remains the same over the whole projection period.</w:t>
      </w:r>
    </w:p>
  </w:footnote>
  <w:footnote w:id="82">
    <w:p w14:paraId="3CB41566" w14:textId="77777777" w:rsidR="00460C69" w:rsidRDefault="00460C69" w:rsidP="00460C69">
      <w:pPr>
        <w:pStyle w:val="Tekstfusnote"/>
      </w:pPr>
      <w:r w:rsidRPr="00AB3524">
        <w:t>(</w:t>
      </w:r>
      <w:r w:rsidRPr="00AB3524">
        <w:rPr>
          <w:rStyle w:val="Referencafusnote"/>
        </w:rPr>
        <w:footnoteRef/>
      </w:r>
      <w:r w:rsidRPr="00AB3524">
        <w:t>)</w:t>
      </w:r>
      <w:r w:rsidRPr="00956AE6">
        <w:tab/>
      </w:r>
      <w:r>
        <w:t>The authors find that population ageing does not add anything to growth in health expenditure once proximity to death is accounted for. As a consequence, the effects of ageing on health expenditure growth might be estimated as too high, whilst the high costs of medical care at the end of life are probably underestimated.</w:t>
      </w:r>
    </w:p>
  </w:footnote>
  <w:footnote w:id="83">
    <w:p w14:paraId="63A5B97A" w14:textId="77777777" w:rsidR="00460C69" w:rsidRDefault="00460C69" w:rsidP="00460C69">
      <w:pPr>
        <w:pStyle w:val="Tekstfusnote"/>
      </w:pPr>
      <w:r w:rsidRPr="00AB3524">
        <w:t>(</w:t>
      </w:r>
      <w:r w:rsidRPr="00AB3524">
        <w:rPr>
          <w:rStyle w:val="Referencafusnote"/>
        </w:rPr>
        <w:footnoteRef/>
      </w:r>
      <w:r w:rsidRPr="00AB3524">
        <w:t>)</w:t>
      </w:r>
      <w:r w:rsidRPr="00BC7A0D">
        <w:tab/>
      </w:r>
      <w:r>
        <w:t>Data was provided by 17 Member States: Belgium, Bulgaria, Czech Republic, Denmark, Germany, Spain, France, Italy, Hungary, the Netherlands, Austria, Poland, Slovenia, Slovakia, Finland, Sweden and the UK. For countries that did not provide this data, no projections for this scenario were done.</w:t>
      </w:r>
    </w:p>
  </w:footnote>
  <w:footnote w:id="84">
    <w:p w14:paraId="67C96BD6" w14:textId="77777777" w:rsidR="00460C69" w:rsidRDefault="00460C69" w:rsidP="00460C69">
      <w:pPr>
        <w:pStyle w:val="Tekstfusnote"/>
      </w:pPr>
      <w:r w:rsidRPr="00AB3524">
        <w:t>(</w:t>
      </w:r>
      <w:r w:rsidRPr="00AB3524">
        <w:rPr>
          <w:rStyle w:val="Referencafusnote"/>
        </w:rPr>
        <w:footnoteRef/>
      </w:r>
      <w:r w:rsidRPr="00AB3524">
        <w:t>)</w:t>
      </w:r>
      <w:r w:rsidRPr="00DD2E64">
        <w:tab/>
        <w:t>In the 2015 Ageing Report t</w:t>
      </w:r>
      <w:r>
        <w:t>he expenditure on health care was</w:t>
      </w:r>
      <w:r w:rsidRPr="00DD2E64">
        <w:t xml:space="preserve"> disaggregated in the following inputs: staff, to which c</w:t>
      </w:r>
      <w:r>
        <w:t>orresponds expenditure on wages;</w:t>
      </w:r>
      <w:r w:rsidRPr="00DD2E64">
        <w:t xml:space="preserve"> </w:t>
      </w:r>
      <w:r>
        <w:t>pharmaceuticals;</w:t>
      </w:r>
      <w:r w:rsidRPr="00DD2E64">
        <w:t xml:space="preserve"> </w:t>
      </w:r>
      <w:r>
        <w:t>therapeutic appliances;</w:t>
      </w:r>
      <w:r w:rsidRPr="00DD2E64">
        <w:t xml:space="preserve"> </w:t>
      </w:r>
      <w:r>
        <w:t>capital investment; and other factors.</w:t>
      </w:r>
    </w:p>
  </w:footnote>
  <w:footnote w:id="85">
    <w:p w14:paraId="353AEDE0" w14:textId="77777777" w:rsidR="00460C69" w:rsidRDefault="00460C69" w:rsidP="00460C69">
      <w:pPr>
        <w:pStyle w:val="Tekstfusnote"/>
      </w:pPr>
      <w:r w:rsidRPr="00AB3524">
        <w:t>(</w:t>
      </w:r>
      <w:r w:rsidRPr="00AB3524">
        <w:rPr>
          <w:rStyle w:val="Referencafusnote"/>
        </w:rPr>
        <w:footnoteRef/>
      </w:r>
      <w:r w:rsidRPr="00AB3524">
        <w:t>)</w:t>
      </w:r>
      <w:r w:rsidRPr="00D60177">
        <w:tab/>
        <w:t>The relative growth rates were calculated on the basis of COFOG data</w:t>
      </w:r>
      <w:r>
        <w:t xml:space="preserve"> for the past 10 years. For more information on the sector-specific composite indexation calculation method see Annex III.</w:t>
      </w:r>
    </w:p>
  </w:footnote>
  <w:footnote w:id="86">
    <w:p w14:paraId="30C46AE4" w14:textId="77777777" w:rsidR="00460C69" w:rsidRDefault="00460C69" w:rsidP="00460C69">
      <w:pPr>
        <w:pStyle w:val="Tekstfusnote"/>
      </w:pPr>
      <w:r w:rsidRPr="00AB3524">
        <w:t>(</w:t>
      </w:r>
      <w:r w:rsidRPr="00AB3524">
        <w:rPr>
          <w:rStyle w:val="Referencafusnote"/>
        </w:rPr>
        <w:footnoteRef/>
      </w:r>
      <w:r w:rsidRPr="00AB3524">
        <w:t>)</w:t>
      </w:r>
      <w:r w:rsidRPr="0017629D">
        <w:tab/>
        <w:t xml:space="preserve">In practice, the effect of demographic changes – captured using the above mentioned econometric analysis – is subtracted from the total increase in expenditure and the remaining part (i.e. the residual) is attributed to the impact of </w:t>
      </w:r>
      <w:r>
        <w:t>non-demographic determinants</w:t>
      </w:r>
      <w:r w:rsidRPr="0017629D">
        <w:t>.</w:t>
      </w:r>
    </w:p>
  </w:footnote>
  <w:footnote w:id="87">
    <w:p w14:paraId="7A456F5C" w14:textId="77777777" w:rsidR="00460C69" w:rsidRDefault="00460C69" w:rsidP="00460C69">
      <w:pPr>
        <w:pStyle w:val="Tekstfusnote"/>
      </w:pPr>
      <w:r w:rsidRPr="00AB3524">
        <w:t>(</w:t>
      </w:r>
      <w:r w:rsidRPr="00AB3524">
        <w:rPr>
          <w:rStyle w:val="Referencafusnote"/>
        </w:rPr>
        <w:footnoteRef/>
      </w:r>
      <w:r w:rsidRPr="00AB3524">
        <w:t>)</w:t>
      </w:r>
      <w:r w:rsidRPr="00A341C3">
        <w:tab/>
        <w:t>Medeiros J. and Schwierz C. (2013), "Estimating the drivers and projecting long-term public health expenditure in the European Union: Baumol's 'cost disease' revisited", Europ</w:t>
      </w:r>
      <w:r>
        <w:t>ean Economy, Economic Papers No</w:t>
      </w:r>
      <w:r w:rsidRPr="00A341C3">
        <w:t xml:space="preserve"> 507.</w:t>
      </w:r>
    </w:p>
  </w:footnote>
  <w:footnote w:id="88">
    <w:p w14:paraId="54CE2803" w14:textId="77777777" w:rsidR="00460C69" w:rsidRDefault="00460C69" w:rsidP="00460C69">
      <w:pPr>
        <w:pStyle w:val="Tekstfusnote"/>
      </w:pPr>
      <w:r w:rsidRPr="00AB3524">
        <w:t>(</w:t>
      </w:r>
      <w:r w:rsidRPr="00AB3524">
        <w:rPr>
          <w:rStyle w:val="Referencafusnote"/>
        </w:rPr>
        <w:footnoteRef/>
      </w:r>
      <w:r w:rsidRPr="00AB3524">
        <w:t>)</w:t>
      </w:r>
      <w:r>
        <w:tab/>
        <w:t>It should be noted that the reduction of SHI coverage should also be expected in the projection of future social security contributions.</w:t>
      </w:r>
    </w:p>
  </w:footnote>
  <w:footnote w:id="89">
    <w:p w14:paraId="03E1E438" w14:textId="77777777" w:rsidR="00460C69" w:rsidRDefault="00460C69" w:rsidP="00460C69">
      <w:pPr>
        <w:pStyle w:val="Tekstfusnote"/>
      </w:pPr>
      <w:r w:rsidRPr="00AB3524">
        <w:t>(</w:t>
      </w:r>
      <w:r w:rsidRPr="00AB3524">
        <w:rPr>
          <w:rStyle w:val="Referencafusnote"/>
        </w:rPr>
        <w:footnoteRef/>
      </w:r>
      <w:r w:rsidRPr="00AB3524">
        <w:t>)</w:t>
      </w:r>
      <w:r>
        <w:tab/>
        <w:t xml:space="preserve">Note that in the current projections exercise the methodology behind the death-related costs scenario does not perfectly illustrate the underlying theoretical concept. In particular, the period of time defined as 'close to death' is limited to one year, due to the characteristics of the data as provided by Member States, while several studies argue that the health care costs of decedents are higher than those of survivors up to six years before death. </w:t>
      </w:r>
    </w:p>
  </w:footnote>
  <w:footnote w:id="90">
    <w:p w14:paraId="0BFCE5C1" w14:textId="77777777" w:rsidR="00460C69" w:rsidRDefault="00460C69" w:rsidP="00460C69">
      <w:pPr>
        <w:pStyle w:val="Tekstfusnote"/>
      </w:pPr>
      <w:r w:rsidRPr="00AB3524">
        <w:t>(</w:t>
      </w:r>
      <w:r w:rsidRPr="00AB3524">
        <w:rPr>
          <w:rStyle w:val="Referencafusnote"/>
        </w:rPr>
        <w:footnoteRef/>
      </w:r>
      <w:r w:rsidRPr="00AB3524">
        <w:t>)</w:t>
      </w:r>
      <w:r w:rsidRPr="00040224">
        <w:tab/>
      </w:r>
      <w:r>
        <w:t>In fact, using this methodological approach does not reduce the overall amount of expenditure devoted to health care. Instead, it spreads the costs of health care over time by assuming that with a decline in mortality rate the share of decedents in each age cohort is decreasing.</w:t>
      </w:r>
    </w:p>
  </w:footnote>
  <w:footnote w:id="91">
    <w:p w14:paraId="0006D371" w14:textId="77777777" w:rsidR="00460C69" w:rsidRDefault="00460C69" w:rsidP="00460C69">
      <w:pPr>
        <w:pStyle w:val="Tekstfusnote"/>
      </w:pPr>
      <w:r w:rsidRPr="00AB3524">
        <w:t>(</w:t>
      </w:r>
      <w:r w:rsidRPr="00AB3524">
        <w:rPr>
          <w:rStyle w:val="Referencafusnote"/>
        </w:rPr>
        <w:footnoteRef/>
      </w:r>
      <w:r w:rsidRPr="00AB3524">
        <w:t>)</w:t>
      </w:r>
      <w:r w:rsidRPr="00033E76">
        <w:tab/>
      </w:r>
      <w:r>
        <w:t xml:space="preserve">See </w:t>
      </w:r>
      <w:r w:rsidRPr="001C1171">
        <w:t>Medeiros J. and C. Schwierz (2013)</w:t>
      </w:r>
      <w:r>
        <w:t>.</w:t>
      </w:r>
    </w:p>
  </w:footnote>
  <w:footnote w:id="92">
    <w:p w14:paraId="20EA3D9D" w14:textId="77777777" w:rsidR="00460C69" w:rsidRDefault="00460C69" w:rsidP="00460C69">
      <w:pPr>
        <w:pStyle w:val="Tekstfusnote"/>
      </w:pPr>
      <w:r w:rsidRPr="00AB3524">
        <w:t>(</w:t>
      </w:r>
      <w:r w:rsidRPr="00AB3524">
        <w:rPr>
          <w:rStyle w:val="Referencafusnote"/>
        </w:rPr>
        <w:footnoteRef/>
      </w:r>
      <w:r w:rsidRPr="00AB3524">
        <w:t>)</w:t>
      </w:r>
      <w:r>
        <w:tab/>
        <w:t>Please note that the "cost convergence" scenario does not assume convergence in absolute costs but in relative costs, that is in per capita public expenditure relative to GDP per capita.</w:t>
      </w:r>
    </w:p>
  </w:footnote>
  <w:footnote w:id="93">
    <w:p w14:paraId="554A8647" w14:textId="77777777" w:rsidR="00460C69" w:rsidRDefault="00460C69" w:rsidP="00460C69">
      <w:pPr>
        <w:pStyle w:val="Tekstfusnote"/>
      </w:pPr>
      <w:r w:rsidRPr="00AB3524">
        <w:t>(</w:t>
      </w:r>
      <w:r w:rsidRPr="00AB3524">
        <w:rPr>
          <w:rStyle w:val="Referencafusnote"/>
        </w:rPr>
        <w:footnoteRef/>
      </w:r>
      <w:r w:rsidRPr="00AB3524">
        <w:t>)</w:t>
      </w:r>
      <w:r>
        <w:tab/>
        <w:t xml:space="preserve">See comparison of results between the Ageing Report 2015 and 2018 </w:t>
      </w:r>
      <w:r w:rsidRPr="001610F4">
        <w:t>in Section 2.5</w:t>
      </w:r>
      <w:r>
        <w:t>.</w:t>
      </w:r>
    </w:p>
  </w:footnote>
  <w:footnote w:id="94">
    <w:p w14:paraId="270E3BE5" w14:textId="77777777" w:rsidR="00460C69" w:rsidRDefault="00460C69" w:rsidP="00460C69">
      <w:pPr>
        <w:pStyle w:val="Tekstfusnote"/>
      </w:pPr>
      <w:r w:rsidRPr="00AB3524">
        <w:t>(</w:t>
      </w:r>
      <w:r w:rsidRPr="00AB3524">
        <w:rPr>
          <w:rStyle w:val="Referencafusnote"/>
        </w:rPr>
        <w:footnoteRef/>
      </w:r>
      <w:r w:rsidRPr="00AB3524">
        <w:t>)</w:t>
      </w:r>
      <w:r>
        <w:tab/>
        <w:t xml:space="preserve">For details see EC/EPC (2017) "The 2018 Ageing Report "Underlying assumptions and projection methodologies", </w:t>
      </w:r>
      <w:r w:rsidRPr="00883BEB">
        <w:t>https://ec.europa.eu/info/sites/info/files/economy-finance/ip065_en.pdf</w:t>
      </w:r>
      <w:r>
        <w:t>.</w:t>
      </w:r>
    </w:p>
  </w:footnote>
  <w:footnote w:id="95">
    <w:p w14:paraId="681C7B75" w14:textId="77777777" w:rsidR="00460C69" w:rsidRDefault="00460C69" w:rsidP="00460C69">
      <w:pPr>
        <w:pStyle w:val="Tekstfusnote"/>
      </w:pPr>
      <w:r w:rsidRPr="00AB3524">
        <w:t>(</w:t>
      </w:r>
      <w:r w:rsidRPr="00AB3524">
        <w:rPr>
          <w:rStyle w:val="Referencafusnote"/>
        </w:rPr>
        <w:footnoteRef/>
      </w:r>
      <w:r w:rsidRPr="00AB3524">
        <w:t>)</w:t>
      </w:r>
      <w:r w:rsidRPr="000E370E">
        <w:tab/>
      </w:r>
      <w:r>
        <w:t>For the decomposition</w:t>
      </w:r>
      <w:r w:rsidRPr="000E370E">
        <w:t>, departing from the level of expenditure in 2016</w:t>
      </w:r>
      <w:r>
        <w:t>,</w:t>
      </w:r>
      <w:r w:rsidRPr="000E370E">
        <w:t xml:space="preserve"> each driver's impact is estimated by replacing </w:t>
      </w:r>
      <w:r w:rsidRPr="000E370E">
        <w:rPr>
          <w:i/>
        </w:rPr>
        <w:t>ceteris paribus</w:t>
      </w:r>
      <w:r w:rsidRPr="000E370E">
        <w:t xml:space="preserve"> its current value with the 2015 Ageing Report data. This is done subsequently for the age-cost profiles, GDP per capita growth and population data.</w:t>
      </w:r>
    </w:p>
  </w:footnote>
  <w:footnote w:id="96">
    <w:p w14:paraId="27B92B58" w14:textId="77777777" w:rsidR="00460C69" w:rsidRDefault="00460C69" w:rsidP="00460C69">
      <w:pPr>
        <w:pStyle w:val="Tekstfusnote"/>
      </w:pPr>
      <w:r w:rsidRPr="00AB3524">
        <w:t>(</w:t>
      </w:r>
      <w:r w:rsidRPr="00AB3524">
        <w:rPr>
          <w:rStyle w:val="Referencafusnote"/>
        </w:rPr>
        <w:footnoteRef/>
      </w:r>
      <w:r w:rsidRPr="00AB3524">
        <w:t>)</w:t>
      </w:r>
      <w:r w:rsidRPr="00BF4B6D">
        <w:tab/>
        <w:t>The "health</w:t>
      </w:r>
      <w:r>
        <w:t>y ageing</w:t>
      </w:r>
      <w:r w:rsidRPr="00BF4B6D">
        <w:t xml:space="preserve"> scenario" is identical </w:t>
      </w:r>
      <w:r>
        <w:t>to</w:t>
      </w:r>
      <w:r w:rsidRPr="00BF4B6D">
        <w:t xml:space="preserve"> the "constant health scenario" from previous Ageing Reports.</w:t>
      </w:r>
    </w:p>
  </w:footnote>
  <w:footnote w:id="97">
    <w:p w14:paraId="05C0A1C5" w14:textId="77777777" w:rsidR="00460C69" w:rsidRDefault="00460C69" w:rsidP="00460C69">
      <w:pPr>
        <w:pStyle w:val="Tekstfusnote"/>
      </w:pPr>
      <w:r w:rsidRPr="00AB3524">
        <w:t>(</w:t>
      </w:r>
      <w:r w:rsidRPr="00AB3524">
        <w:rPr>
          <w:rStyle w:val="Referencafusnote"/>
        </w:rPr>
        <w:footnoteRef/>
      </w:r>
      <w:r w:rsidRPr="00AB3524">
        <w:t>)</w:t>
      </w:r>
      <w:r>
        <w:tab/>
        <w:t>In the past decade there was an increase in the expenditure associated with old age diseases such as Alzheimer or dementia for example.</w:t>
      </w:r>
    </w:p>
  </w:footnote>
  <w:footnote w:id="98">
    <w:p w14:paraId="4A0AAB07" w14:textId="77777777" w:rsidR="00460C69" w:rsidRDefault="00460C69" w:rsidP="00460C69">
      <w:pPr>
        <w:pStyle w:val="Tekstfusnote"/>
      </w:pPr>
      <w:r w:rsidRPr="00617176">
        <w:t>(</w:t>
      </w:r>
      <w:r w:rsidRPr="00617176">
        <w:rPr>
          <w:rStyle w:val="Referencafusnote"/>
        </w:rPr>
        <w:footnoteRef/>
      </w:r>
      <w:r w:rsidRPr="00617176">
        <w:t>)</w:t>
      </w:r>
      <w:r w:rsidRPr="00932999">
        <w:tab/>
      </w:r>
      <w:r>
        <w:t xml:space="preserve">Data and methodology are briefly summarised in Annex IV to the Chapter. The detailed methodology for running the long-term expenditure projections is explained in detail in the Joint Report prepared by the European Commission (DG ECFIN) and the Economic Policy Committee (AWG): </w:t>
      </w:r>
      <w:r w:rsidRPr="00E44BBB">
        <w:t>"The 2018 Ageing Report: Underlying Assumptions and Projection Methodologies", European Economy 24. November 2017. Brussels: https://ec.europa.eu/info/publications/economy-finance/2018-ageing-report-underlying-assumptions-and-projection-methodologies_en</w:t>
      </w:r>
      <w:r>
        <w:t>.</w:t>
      </w:r>
    </w:p>
  </w:footnote>
  <w:footnote w:id="99">
    <w:p w14:paraId="165008AF" w14:textId="77777777" w:rsidR="00460C69" w:rsidRDefault="00460C69" w:rsidP="00460C69">
      <w:pPr>
        <w:pStyle w:val="Tekstfusnote"/>
      </w:pPr>
      <w:r w:rsidRPr="00617176">
        <w:t>(</w:t>
      </w:r>
      <w:r w:rsidRPr="00617176">
        <w:rPr>
          <w:rStyle w:val="Referencafusnote"/>
        </w:rPr>
        <w:footnoteRef/>
      </w:r>
      <w:r w:rsidRPr="00617176">
        <w:t>)</w:t>
      </w:r>
      <w:r w:rsidRPr="007A5055">
        <w:tab/>
      </w:r>
      <w:r>
        <w:t>I</w:t>
      </w:r>
      <w:r w:rsidRPr="007A5055">
        <w:t>ncluding by international institu</w:t>
      </w:r>
      <w:r>
        <w:t>tions,</w:t>
      </w:r>
      <w:r w:rsidRPr="007A5055">
        <w:t xml:space="preserve"> such as OECD, Eurostat and WHO</w:t>
      </w:r>
      <w:r>
        <w:t>.</w:t>
      </w:r>
    </w:p>
  </w:footnote>
  <w:footnote w:id="100">
    <w:p w14:paraId="1769CC96" w14:textId="77777777" w:rsidR="00460C69" w:rsidRDefault="00460C69" w:rsidP="00460C69">
      <w:pPr>
        <w:pStyle w:val="Tekstfusnote"/>
      </w:pPr>
      <w:r w:rsidRPr="00617176">
        <w:t>(</w:t>
      </w:r>
      <w:r w:rsidRPr="00617176">
        <w:rPr>
          <w:rStyle w:val="Referencafusnote"/>
        </w:rPr>
        <w:footnoteRef/>
      </w:r>
      <w:r w:rsidRPr="00617176">
        <w:t>)</w:t>
      </w:r>
      <w:r w:rsidRPr="00485D7C">
        <w:tab/>
        <w:t xml:space="preserve">ADL </w:t>
      </w:r>
      <w:r>
        <w:t>are</w:t>
      </w:r>
      <w:r w:rsidRPr="00485D7C">
        <w:t>: eating, bathing, washing, dressing, getting in and out of bed, getting to and from the toilet and continence management.</w:t>
      </w:r>
    </w:p>
  </w:footnote>
  <w:footnote w:id="101">
    <w:p w14:paraId="50DA5402" w14:textId="77777777" w:rsidR="00460C69" w:rsidRDefault="00460C69" w:rsidP="00460C69">
      <w:pPr>
        <w:pStyle w:val="Tekstfusnote"/>
      </w:pPr>
      <w:r w:rsidRPr="00617176">
        <w:t>(</w:t>
      </w:r>
      <w:r w:rsidRPr="00617176">
        <w:rPr>
          <w:rStyle w:val="Referencafusnote"/>
        </w:rPr>
        <w:footnoteRef/>
      </w:r>
      <w:r w:rsidRPr="00617176">
        <w:t>)</w:t>
      </w:r>
      <w:r w:rsidRPr="00485D7C">
        <w:tab/>
      </w:r>
      <w:r>
        <w:t xml:space="preserve">IADL are: </w:t>
      </w:r>
      <w:r w:rsidRPr="00485D7C">
        <w:t>shopping, laundry, vacuuming, cooking and performing housework, managing finances, using the telephone, etc.</w:t>
      </w:r>
    </w:p>
  </w:footnote>
  <w:footnote w:id="102">
    <w:p w14:paraId="62D5AF6F" w14:textId="77777777" w:rsidR="00460C69" w:rsidRDefault="00460C69" w:rsidP="00460C69">
      <w:pPr>
        <w:pStyle w:val="Tekstfusnote"/>
      </w:pPr>
      <w:r w:rsidRPr="00617176">
        <w:t>(</w:t>
      </w:r>
      <w:r w:rsidRPr="00617176">
        <w:rPr>
          <w:rStyle w:val="Referencafusnote"/>
        </w:rPr>
        <w:footnoteRef/>
      </w:r>
      <w:r w:rsidRPr="00617176">
        <w:t>)</w:t>
      </w:r>
      <w:r w:rsidRPr="00E266AA">
        <w:tab/>
      </w:r>
      <w:r>
        <w:t>S</w:t>
      </w:r>
      <w:r w:rsidRPr="005C6F59">
        <w:t xml:space="preserve">ee Annex </w:t>
      </w:r>
      <w:r>
        <w:t>IV</w:t>
      </w:r>
      <w:r w:rsidRPr="005C6F59">
        <w:t xml:space="preserve"> for an explanation of how data limitations have been dealt with. </w:t>
      </w:r>
    </w:p>
  </w:footnote>
  <w:footnote w:id="103">
    <w:p w14:paraId="3AB825F1" w14:textId="77777777" w:rsidR="00460C69" w:rsidRDefault="00460C69" w:rsidP="00460C69">
      <w:pPr>
        <w:pStyle w:val="Tekstfusnote"/>
      </w:pPr>
      <w:r w:rsidRPr="00617176">
        <w:t>(</w:t>
      </w:r>
      <w:r w:rsidRPr="00617176">
        <w:rPr>
          <w:rStyle w:val="Referencafusnote"/>
        </w:rPr>
        <w:footnoteRef/>
      </w:r>
      <w:r w:rsidRPr="00617176">
        <w:t>)</w:t>
      </w:r>
      <w:r w:rsidRPr="00544D4E">
        <w:tab/>
      </w:r>
      <w:r>
        <w:t>See the Joint Report on Health Systems and Long-Term Care systems for a more in-depth discussion (European Commission (ECFIN) and EPC (AWG) (2016).</w:t>
      </w:r>
    </w:p>
  </w:footnote>
  <w:footnote w:id="104">
    <w:p w14:paraId="4594689D" w14:textId="77777777" w:rsidR="00460C69" w:rsidRDefault="00460C69" w:rsidP="00460C69">
      <w:pPr>
        <w:pStyle w:val="Tekstfusnote"/>
      </w:pPr>
      <w:r w:rsidRPr="00617176">
        <w:t>(</w:t>
      </w:r>
      <w:r w:rsidRPr="00617176">
        <w:rPr>
          <w:rStyle w:val="Referencafusnote"/>
        </w:rPr>
        <w:footnoteRef/>
      </w:r>
      <w:r w:rsidRPr="00617176">
        <w:t>)</w:t>
      </w:r>
      <w:r w:rsidRPr="00AE3E21">
        <w:tab/>
      </w:r>
      <w:r>
        <w:t>For an example of the link between frailty and need for LTC, see Campitelli, M. et al. (2016), "</w:t>
      </w:r>
      <w:r w:rsidRPr="0009237B">
        <w:t>The prevalence and health consequences of frailty in a population-based older home care cohort: a comparison of different measures</w:t>
      </w:r>
      <w:r>
        <w:t xml:space="preserve">)" </w:t>
      </w:r>
      <w:r w:rsidRPr="0009237B">
        <w:t>BMC Geriatrics, 2016</w:t>
      </w:r>
      <w:r>
        <w:t>;16:133.</w:t>
      </w:r>
    </w:p>
  </w:footnote>
  <w:footnote w:id="105">
    <w:p w14:paraId="697E359C" w14:textId="77777777" w:rsidR="00460C69" w:rsidRDefault="00460C69" w:rsidP="00460C69">
      <w:pPr>
        <w:pStyle w:val="Tekstfusnote"/>
      </w:pPr>
      <w:r w:rsidRPr="00617176">
        <w:t>(</w:t>
      </w:r>
      <w:r w:rsidRPr="00617176">
        <w:rPr>
          <w:rStyle w:val="Referencafusnote"/>
        </w:rPr>
        <w:footnoteRef/>
      </w:r>
      <w:r w:rsidRPr="00617176">
        <w:t>)</w:t>
      </w:r>
      <w:r w:rsidRPr="00C61C47">
        <w:tab/>
        <w:t>People may not report certain socially stigmatised conditions, such as alcohol and drug related conditions, schizophrenia, and mental degeneration.</w:t>
      </w:r>
    </w:p>
  </w:footnote>
  <w:footnote w:id="106">
    <w:p w14:paraId="29DB9510" w14:textId="77777777" w:rsidR="00460C69" w:rsidRDefault="00460C69" w:rsidP="00460C69">
      <w:pPr>
        <w:pStyle w:val="Tekstfusnote"/>
      </w:pPr>
      <w:r w:rsidRPr="00617176">
        <w:t>(</w:t>
      </w:r>
      <w:r w:rsidRPr="00617176">
        <w:rPr>
          <w:rStyle w:val="Referencafusnote"/>
        </w:rPr>
        <w:footnoteRef/>
      </w:r>
      <w:r w:rsidRPr="00617176">
        <w:t>)</w:t>
      </w:r>
      <w:r w:rsidRPr="00AE2E03">
        <w:tab/>
      </w:r>
      <w:r>
        <w:t xml:space="preserve">As this data is based on subjective assessment of care needs. The comparability of cross-country data is more limited, then would be the case for objective measures of care needs, which are ,however, not available on a comparable basis for all EU countries. </w:t>
      </w:r>
    </w:p>
  </w:footnote>
  <w:footnote w:id="107">
    <w:p w14:paraId="67F25629" w14:textId="77777777" w:rsidR="00460C69" w:rsidRDefault="00460C69" w:rsidP="00460C69">
      <w:pPr>
        <w:pStyle w:val="Tekstfusnote"/>
      </w:pPr>
      <w:r w:rsidRPr="00617176">
        <w:t>(</w:t>
      </w:r>
      <w:r w:rsidRPr="00617176">
        <w:rPr>
          <w:rStyle w:val="Referencafusnote"/>
        </w:rPr>
        <w:footnoteRef/>
      </w:r>
      <w:r w:rsidRPr="00617176">
        <w:t>)</w:t>
      </w:r>
      <w:r w:rsidRPr="00F36814">
        <w:tab/>
      </w:r>
      <w:r>
        <w:t xml:space="preserve">Heger, </w:t>
      </w:r>
      <w:r w:rsidRPr="00F36814">
        <w:t>Dörte and Kolodziej</w:t>
      </w:r>
      <w:r>
        <w:t xml:space="preserve">, </w:t>
      </w:r>
      <w:r w:rsidRPr="00F36814">
        <w:t xml:space="preserve">Ingo W.K. </w:t>
      </w:r>
      <w:r>
        <w:t>"Changes in Morbidity over Time – Evidence from Europe", Ruhr Economic Papers #640.</w:t>
      </w:r>
    </w:p>
    <w:p w14:paraId="56E04A72" w14:textId="77777777" w:rsidR="00460C69" w:rsidRDefault="00460C69" w:rsidP="00460C69">
      <w:pPr>
        <w:pStyle w:val="Tekstfusnote"/>
      </w:pPr>
    </w:p>
  </w:footnote>
  <w:footnote w:id="108">
    <w:p w14:paraId="7594D24D" w14:textId="77777777" w:rsidR="00460C69" w:rsidRDefault="00460C69" w:rsidP="00460C69">
      <w:pPr>
        <w:pStyle w:val="Tekstfusnote"/>
      </w:pPr>
      <w:r w:rsidRPr="00617176">
        <w:t>(</w:t>
      </w:r>
      <w:r w:rsidRPr="00617176">
        <w:rPr>
          <w:rStyle w:val="Referencafusnote"/>
        </w:rPr>
        <w:footnoteRef/>
      </w:r>
      <w:r w:rsidRPr="00617176">
        <w:t>)</w:t>
      </w:r>
      <w:r w:rsidRPr="00D86355">
        <w:tab/>
      </w:r>
      <w:r>
        <w:t>According to OECD (2015), dementia is already the second largest cause of disability for the over-70s and costs societies more than half a trillion US dollars every year globally, while ageing populations mean these costs are rising. OECD (2015). "Addressing Dementia: The OECD Response".</w:t>
      </w:r>
    </w:p>
    <w:p w14:paraId="6954BA79" w14:textId="77777777" w:rsidR="00460C69" w:rsidRDefault="00460C69" w:rsidP="00460C69">
      <w:pPr>
        <w:pStyle w:val="Tekstfusnote"/>
      </w:pPr>
    </w:p>
  </w:footnote>
  <w:footnote w:id="109">
    <w:p w14:paraId="7282A060" w14:textId="77777777" w:rsidR="00460C69" w:rsidRDefault="00460C69" w:rsidP="00460C69">
      <w:pPr>
        <w:pStyle w:val="Tekstfusnote"/>
      </w:pPr>
      <w:r w:rsidRPr="00617176">
        <w:t>(</w:t>
      </w:r>
      <w:r w:rsidRPr="00617176">
        <w:rPr>
          <w:rStyle w:val="Referencafusnote"/>
        </w:rPr>
        <w:footnoteRef/>
      </w:r>
      <w:r w:rsidRPr="00617176">
        <w:t>)</w:t>
      </w:r>
      <w:r w:rsidRPr="003B6DC1">
        <w:tab/>
        <w:t>Lindgren</w:t>
      </w:r>
      <w:r>
        <w:t xml:space="preserve">, Bjorn (2016), "The Rise in Life Expectancy, Health Trends among the Elderly, and the Demand for Care - A Selected Literature Review" NBER Working Paper No. 22521. </w:t>
      </w:r>
      <w:r w:rsidRPr="003B6DC1">
        <w:t>http://www.nber.org/papers/w22521</w:t>
      </w:r>
    </w:p>
  </w:footnote>
  <w:footnote w:id="110">
    <w:p w14:paraId="184F7CB6" w14:textId="77777777" w:rsidR="00460C69" w:rsidRDefault="00460C69" w:rsidP="00460C69">
      <w:pPr>
        <w:pStyle w:val="Tekstfusnote"/>
      </w:pPr>
      <w:r w:rsidRPr="00617176">
        <w:t>(</w:t>
      </w:r>
      <w:r w:rsidRPr="00617176">
        <w:rPr>
          <w:rStyle w:val="Referencafusnote"/>
        </w:rPr>
        <w:footnoteRef/>
      </w:r>
      <w:r w:rsidRPr="00617176">
        <w:t>)</w:t>
      </w:r>
      <w:r w:rsidRPr="00E835D2">
        <w:tab/>
      </w:r>
      <w:r>
        <w:t xml:space="preserve">This may be challenged by digitalisation, although its relatively low current use in the field of LTC makes it difficult to make assumptions about future trends.  </w:t>
      </w:r>
    </w:p>
  </w:footnote>
  <w:footnote w:id="111">
    <w:p w14:paraId="3C701315" w14:textId="77777777" w:rsidR="00460C69" w:rsidRDefault="00460C69" w:rsidP="00460C69">
      <w:pPr>
        <w:pStyle w:val="Tekstfusnote"/>
      </w:pPr>
      <w:r w:rsidRPr="00617176">
        <w:t>(</w:t>
      </w:r>
      <w:r w:rsidRPr="00617176">
        <w:rPr>
          <w:rStyle w:val="Referencafusnote"/>
        </w:rPr>
        <w:footnoteRef/>
      </w:r>
      <w:r w:rsidRPr="00617176">
        <w:t>)</w:t>
      </w:r>
      <w:r w:rsidRPr="00540AA4">
        <w:tab/>
        <w:t>FELICIE: or "Future of Elderly Living Conditions in Europe" The goal of this project was to forecast the living arrangements of people aged 75+ in the next thirty years (2000-2030), with the aim to estimate their needs, through an evaluation of the future demand for nursing homes and for informal and formal care.</w:t>
      </w:r>
    </w:p>
  </w:footnote>
  <w:footnote w:id="112">
    <w:p w14:paraId="3298D29D" w14:textId="77777777" w:rsidR="00460C69" w:rsidRDefault="00460C69" w:rsidP="00460C69">
      <w:pPr>
        <w:pStyle w:val="Tekstfusnote"/>
      </w:pPr>
      <w:r w:rsidRPr="00617176">
        <w:t>(</w:t>
      </w:r>
      <w:r w:rsidRPr="00617176">
        <w:rPr>
          <w:rStyle w:val="Referencafusnote"/>
        </w:rPr>
        <w:footnoteRef/>
      </w:r>
      <w:r w:rsidRPr="00617176">
        <w:t>)</w:t>
      </w:r>
      <w:r w:rsidRPr="00540AA4">
        <w:tab/>
        <w:t xml:space="preserve">See </w:t>
      </w:r>
      <w:r>
        <w:t>OECD</w:t>
      </w:r>
      <w:r w:rsidRPr="00540AA4">
        <w:t xml:space="preserve"> (201</w:t>
      </w:r>
      <w:r>
        <w:t>1</w:t>
      </w:r>
      <w:r w:rsidRPr="00540AA4">
        <w:t>).</w:t>
      </w:r>
      <w:r>
        <w:t xml:space="preserve"> "Health-reform: meeting the challenge of ageing and multiple morbidities".</w:t>
      </w:r>
    </w:p>
  </w:footnote>
  <w:footnote w:id="113">
    <w:p w14:paraId="2BD49D8A" w14:textId="77777777" w:rsidR="00460C69" w:rsidRDefault="00460C69" w:rsidP="00460C69">
      <w:pPr>
        <w:pStyle w:val="Tekstfusnote"/>
      </w:pPr>
      <w:r w:rsidRPr="00617176">
        <w:t>(</w:t>
      </w:r>
      <w:r w:rsidRPr="00617176">
        <w:rPr>
          <w:rStyle w:val="Referencafusnote"/>
        </w:rPr>
        <w:footnoteRef/>
      </w:r>
      <w:r w:rsidRPr="00617176">
        <w:t>)</w:t>
      </w:r>
      <w:r w:rsidRPr="00540AA4">
        <w:tab/>
      </w:r>
      <w:r>
        <w:t>Bremer P. et al (2016) "</w:t>
      </w:r>
      <w:r w:rsidRPr="007866E1">
        <w:t>Informal and formal care: Substitutes or complements in care for people with dementia? Empirical ev</w:t>
      </w:r>
      <w:r>
        <w:t xml:space="preserve">idence for 8 European countries". </w:t>
      </w:r>
      <w:r w:rsidRPr="007866E1">
        <w:t>Health Policy. 2017 Jun;121(6):613-622.</w:t>
      </w:r>
    </w:p>
  </w:footnote>
  <w:footnote w:id="114">
    <w:p w14:paraId="16AC7C12" w14:textId="77777777" w:rsidR="00460C69" w:rsidRDefault="00460C69" w:rsidP="00460C69">
      <w:pPr>
        <w:pStyle w:val="Tekstfusnote"/>
      </w:pPr>
      <w:r w:rsidRPr="00617176">
        <w:t>(</w:t>
      </w:r>
      <w:r w:rsidRPr="00617176">
        <w:rPr>
          <w:rStyle w:val="Referencafusnote"/>
        </w:rPr>
        <w:footnoteRef/>
      </w:r>
      <w:r w:rsidRPr="00617176">
        <w:t>)</w:t>
      </w:r>
      <w:r w:rsidRPr="00E61A23">
        <w:tab/>
      </w:r>
      <w:r>
        <w:t xml:space="preserve">The methodology for running the long-term expenditure projections is explained in detail in the Joint Report prepared by the European Commission (DG ECFIN) and the Economic Policy Committee (AWG): "The 2018 Ageing Report: Underlying Assumptions and Projection Methodologies", European Economy. 24. November 2017. Brussels: </w:t>
      </w:r>
      <w:r w:rsidRPr="004E0C51">
        <w:t>https://ec.europa.eu/info/publications/economy-finance/2018-ageing-report-underlying-assumptions-and-projection-methodologies_en</w:t>
      </w:r>
    </w:p>
  </w:footnote>
  <w:footnote w:id="115">
    <w:p w14:paraId="72207635" w14:textId="77777777" w:rsidR="00460C69" w:rsidRDefault="00460C69" w:rsidP="00460C69">
      <w:pPr>
        <w:pStyle w:val="Tekstfusnote"/>
      </w:pPr>
      <w:r w:rsidRPr="00617176">
        <w:t>(</w:t>
      </w:r>
      <w:r w:rsidRPr="00617176">
        <w:rPr>
          <w:rStyle w:val="Referencafusnote"/>
        </w:rPr>
        <w:footnoteRef/>
      </w:r>
      <w:r w:rsidRPr="00617176">
        <w:t>)</w:t>
      </w:r>
      <w:r w:rsidRPr="00E61A23">
        <w:tab/>
      </w:r>
      <w:r>
        <w:t xml:space="preserve">It </w:t>
      </w:r>
      <w:r w:rsidRPr="001E50D7">
        <w:t xml:space="preserve">is implicitly assumed that the eligibility requirements do not change, </w:t>
      </w:r>
      <w:r>
        <w:t>as the</w:t>
      </w:r>
      <w:r w:rsidRPr="001E50D7">
        <w:t xml:space="preserve"> proportion of persons covered is </w:t>
      </w:r>
      <w:r>
        <w:t>kept constant. Therefore,</w:t>
      </w:r>
      <w:r w:rsidRPr="001E50D7">
        <w:t xml:space="preserve"> the supply of LTC will follow any </w:t>
      </w:r>
      <w:r>
        <w:t xml:space="preserve">related </w:t>
      </w:r>
      <w:r w:rsidRPr="001E50D7">
        <w:t>changes in demand</w:t>
      </w:r>
      <w:r>
        <w:t>.</w:t>
      </w:r>
    </w:p>
  </w:footnote>
  <w:footnote w:id="116">
    <w:p w14:paraId="6263CDE2" w14:textId="77777777" w:rsidR="00460C69" w:rsidRDefault="00460C69" w:rsidP="00460C69">
      <w:pPr>
        <w:pStyle w:val="Tekstfusnote"/>
      </w:pPr>
      <w:r w:rsidRPr="00617176">
        <w:t>(</w:t>
      </w:r>
      <w:r w:rsidRPr="00617176">
        <w:rPr>
          <w:rStyle w:val="Referencafusnote"/>
        </w:rPr>
        <w:footnoteRef/>
      </w:r>
      <w:r w:rsidRPr="00617176">
        <w:t>)</w:t>
      </w:r>
      <w:r w:rsidRPr="00FB5F10">
        <w:tab/>
      </w:r>
      <w:r>
        <w:t xml:space="preserve">See Economic </w:t>
      </w:r>
      <w:r w:rsidRPr="004E33AD">
        <w:t>Policy Committee and European Commission (EPC/EC) (20</w:t>
      </w:r>
      <w:r>
        <w:t>15</w:t>
      </w:r>
      <w:r w:rsidRPr="004E33AD">
        <w:t>), The 20</w:t>
      </w:r>
      <w:r>
        <w:t>15</w:t>
      </w:r>
      <w:r w:rsidRPr="004E33AD">
        <w:t xml:space="preserve"> Ageing Report: economic and budgetary projections f</w:t>
      </w:r>
      <w:r>
        <w:t>or the 28 EU Member States (2013</w:t>
      </w:r>
      <w:r w:rsidRPr="004E33AD">
        <w:t xml:space="preserve">-2060), European Economy, No. </w:t>
      </w:r>
      <w:r>
        <w:t>3</w:t>
      </w:r>
      <w:r w:rsidRPr="004E33AD">
        <w:t>/20</w:t>
      </w:r>
      <w:r>
        <w:t>15</w:t>
      </w:r>
      <w:r w:rsidRPr="004E33AD">
        <w:t>, Directorate General Economic and Financial Affairs, European Commission 20</w:t>
      </w:r>
      <w:r>
        <w:t>15</w:t>
      </w:r>
      <w:r w:rsidRPr="004E33AD">
        <w:t xml:space="preserve">. </w:t>
      </w:r>
      <w:r>
        <w:t>Available</w:t>
      </w:r>
      <w:r w:rsidRPr="00B8273A">
        <w:t xml:space="preserve"> </w:t>
      </w:r>
      <w:r w:rsidRPr="004E33AD">
        <w:t xml:space="preserve">at: </w:t>
      </w:r>
      <w:r w:rsidRPr="00EB36A8">
        <w:t>http://ec.europa.eu/economy_finance/publications/european_economy/2015/ee3_en.htm</w:t>
      </w:r>
      <w:r>
        <w:t>.</w:t>
      </w:r>
    </w:p>
  </w:footnote>
  <w:footnote w:id="117">
    <w:p w14:paraId="29DE300B" w14:textId="77777777" w:rsidR="00460C69" w:rsidRDefault="00460C69" w:rsidP="00460C69">
      <w:pPr>
        <w:pStyle w:val="Tekstfusnote"/>
      </w:pPr>
      <w:r w:rsidRPr="00617176">
        <w:t>(</w:t>
      </w:r>
      <w:r w:rsidRPr="00617176">
        <w:rPr>
          <w:rStyle w:val="Referencafusnote"/>
        </w:rPr>
        <w:footnoteRef/>
      </w:r>
      <w:r w:rsidRPr="00617176">
        <w:t>)</w:t>
      </w:r>
      <w:r w:rsidRPr="00395512">
        <w:tab/>
      </w:r>
      <w:r>
        <w:t xml:space="preserve">Reducing </w:t>
      </w:r>
      <w:r w:rsidRPr="00395512">
        <w:t>the number of SHI insurees in working</w:t>
      </w:r>
      <w:r>
        <w:t xml:space="preserve"> age</w:t>
      </w:r>
      <w:r w:rsidRPr="00395512">
        <w:t xml:space="preserve"> </w:t>
      </w:r>
      <w:r>
        <w:t>also implies that</w:t>
      </w:r>
      <w:r w:rsidRPr="00395512">
        <w:t xml:space="preserve"> </w:t>
      </w:r>
      <w:r>
        <w:t>SHI income from insurance contributions will decrease.</w:t>
      </w:r>
    </w:p>
  </w:footnote>
  <w:footnote w:id="118">
    <w:p w14:paraId="4BE5E0C6" w14:textId="77777777" w:rsidR="00460C69" w:rsidRDefault="00460C69" w:rsidP="00460C69">
      <w:pPr>
        <w:pStyle w:val="Tekstfusnote"/>
      </w:pPr>
      <w:r w:rsidRPr="00617176">
        <w:t>(</w:t>
      </w:r>
      <w:r w:rsidRPr="00617176">
        <w:rPr>
          <w:rStyle w:val="Referencafusnote"/>
        </w:rPr>
        <w:footnoteRef/>
      </w:r>
      <w:r w:rsidRPr="00617176">
        <w:t>)</w:t>
      </w:r>
      <w:r w:rsidRPr="004D0648">
        <w:tab/>
      </w:r>
      <w:r>
        <w:t xml:space="preserve">In the 2015 Ageing Report, the standard indexation assumptions were applied to project expenditure for Germany, while for budgetary surveillance purposes, an additional projection was ran that indexed all benefits according to prices. </w:t>
      </w:r>
    </w:p>
  </w:footnote>
  <w:footnote w:id="119">
    <w:p w14:paraId="4CECF068" w14:textId="77777777" w:rsidR="00460C69" w:rsidRPr="00FD1115" w:rsidRDefault="00460C69" w:rsidP="00460C69">
      <w:pPr>
        <w:pStyle w:val="Tekstfusnote"/>
      </w:pPr>
      <w:r w:rsidRPr="00617176">
        <w:t>(</w:t>
      </w:r>
      <w:r w:rsidRPr="00617176">
        <w:rPr>
          <w:rStyle w:val="Referencafusnote"/>
        </w:rPr>
        <w:footnoteRef/>
      </w:r>
      <w:r w:rsidRPr="00617176">
        <w:t>)</w:t>
      </w:r>
      <w:r w:rsidRPr="00FD1115">
        <w:tab/>
      </w:r>
      <w:r>
        <w:t>T</w:t>
      </w:r>
      <w:r w:rsidRPr="00F3206B">
        <w:t>he sensitivity scenarios differ from the AWG reference scenario also in that they do not apply country-specific indexation assumptions for Germany, France and Slovenia</w:t>
      </w:r>
      <w:r>
        <w:t>, as described in 3.4.2 above.</w:t>
      </w:r>
    </w:p>
  </w:footnote>
  <w:footnote w:id="120">
    <w:p w14:paraId="38CFB5E0" w14:textId="77777777" w:rsidR="00460C69" w:rsidRDefault="00460C69" w:rsidP="00460C69">
      <w:pPr>
        <w:pStyle w:val="Tekstfusnote"/>
      </w:pPr>
      <w:r w:rsidRPr="00617176">
        <w:t>(</w:t>
      </w:r>
      <w:r w:rsidRPr="00617176">
        <w:rPr>
          <w:rStyle w:val="Referencafusnote"/>
        </w:rPr>
        <w:footnoteRef/>
      </w:r>
      <w:r w:rsidRPr="00617176">
        <w:t>)</w:t>
      </w:r>
      <w:r>
        <w:tab/>
        <w:t xml:space="preserve">It should be noted that this scenario also includes specific assumptions such as specific indexation assumptions for France, Germany and Slovenia as well as income elasticity of expenditure above unity for those Member States that are below the top quartile of expenditure in 2016. This explains some of the additional differences between this and the other scenarios. </w:t>
      </w:r>
    </w:p>
  </w:footnote>
  <w:footnote w:id="121">
    <w:p w14:paraId="13812207" w14:textId="77777777" w:rsidR="00460C69" w:rsidRPr="00422052" w:rsidRDefault="00460C69" w:rsidP="00460C69">
      <w:pPr>
        <w:pStyle w:val="Tekstfusnote"/>
      </w:pPr>
      <w:r w:rsidRPr="00A43961">
        <w:t>(</w:t>
      </w:r>
      <w:r w:rsidRPr="00A43961">
        <w:rPr>
          <w:rStyle w:val="Referencafusnote"/>
        </w:rPr>
        <w:footnoteRef/>
      </w:r>
      <w:r w:rsidRPr="00A43961">
        <w:t>)</w:t>
      </w:r>
      <w:r w:rsidRPr="00422052">
        <w:tab/>
      </w:r>
      <w:r w:rsidRPr="00E70C96">
        <w:t>See "The 2018 Ageing Report – Underlying Assumptions and Projection Methodologies</w:t>
      </w:r>
      <w:r w:rsidRPr="00FB30D8">
        <w:t>", European Economy, No. 065/2017, European Commission</w:t>
      </w:r>
      <w:r>
        <w:t xml:space="preserve">, Part II, </w:t>
      </w:r>
      <w:r w:rsidRPr="00E70C96">
        <w:t xml:space="preserve">Chapter </w:t>
      </w:r>
      <w:r>
        <w:t>4</w:t>
      </w:r>
      <w:r w:rsidRPr="00E70C96">
        <w:t>"</w:t>
      </w:r>
      <w:r>
        <w:t xml:space="preserve">. </w:t>
      </w:r>
    </w:p>
  </w:footnote>
  <w:footnote w:id="122">
    <w:p w14:paraId="5C031D3D" w14:textId="77777777" w:rsidR="00460C69" w:rsidRPr="00E70C96" w:rsidRDefault="00460C69" w:rsidP="00460C69">
      <w:pPr>
        <w:pStyle w:val="Tekstfusnote"/>
      </w:pPr>
      <w:r w:rsidRPr="00A43961">
        <w:t>(</w:t>
      </w:r>
      <w:r w:rsidRPr="00A43961">
        <w:rPr>
          <w:rStyle w:val="Referencafusnote"/>
        </w:rPr>
        <w:footnoteRef/>
      </w:r>
      <w:r w:rsidRPr="00A43961">
        <w:t>)</w:t>
      </w:r>
      <w:r w:rsidRPr="00D9100C">
        <w:tab/>
      </w:r>
      <w:r w:rsidRPr="00E70C96">
        <w:t>UNESCO-UIS/OECD/EUROSTAT (UOE) data collection on Education Statistics, LFS data, and macroeconomic variables from "The 2018 Ageing Report: Underlying Assumptions and Projection Methodologies", European Economy, No. 065/2017, European Commission.</w:t>
      </w:r>
    </w:p>
  </w:footnote>
  <w:footnote w:id="123">
    <w:p w14:paraId="7E859DEC" w14:textId="77777777" w:rsidR="00460C69" w:rsidRPr="00E70C96" w:rsidRDefault="00460C69" w:rsidP="00460C69">
      <w:pPr>
        <w:pStyle w:val="Tekstfusnote"/>
      </w:pPr>
      <w:r w:rsidRPr="00A43961">
        <w:t>(</w:t>
      </w:r>
      <w:r w:rsidRPr="00A43961">
        <w:rPr>
          <w:rStyle w:val="Referencafusnote"/>
        </w:rPr>
        <w:footnoteRef/>
      </w:r>
      <w:r w:rsidRPr="00A43961">
        <w:t>)</w:t>
      </w:r>
      <w:r w:rsidRPr="00E70C96">
        <w:tab/>
      </w:r>
      <w:r>
        <w:t>See</w:t>
      </w:r>
      <w:r w:rsidRPr="004C2D97">
        <w:t xml:space="preserve"> </w:t>
      </w:r>
      <w:r>
        <w:t>Annex V</w:t>
      </w:r>
      <w:r w:rsidRPr="004C2D97">
        <w:t xml:space="preserve"> </w:t>
      </w:r>
      <w:r>
        <w:t xml:space="preserve">for details on the methodology used. </w:t>
      </w:r>
      <w:r w:rsidRPr="00E70C96">
        <w:t xml:space="preserve">The latest year for which UOE education expenditure data are available is 2014, and they have all been updated according to COFOG growth rates to </w:t>
      </w:r>
      <w:r>
        <w:t>2016</w:t>
      </w:r>
      <w:r w:rsidRPr="00E70C96">
        <w:t xml:space="preserve">. </w:t>
      </w:r>
    </w:p>
    <w:p w14:paraId="67087519" w14:textId="77777777" w:rsidR="00460C69" w:rsidRPr="00E70C96" w:rsidRDefault="00460C69" w:rsidP="00460C69">
      <w:pPr>
        <w:pStyle w:val="Tekstfusnote"/>
      </w:pPr>
    </w:p>
  </w:footnote>
  <w:footnote w:id="124">
    <w:p w14:paraId="4A811E6B" w14:textId="77777777" w:rsidR="00460C69" w:rsidRPr="0003045C" w:rsidRDefault="00460C69" w:rsidP="00460C69">
      <w:pPr>
        <w:pStyle w:val="Tekstfusnote"/>
      </w:pPr>
      <w:r w:rsidRPr="00A43961">
        <w:t>(</w:t>
      </w:r>
      <w:r w:rsidRPr="00A43961">
        <w:rPr>
          <w:rStyle w:val="Referencafusnote"/>
        </w:rPr>
        <w:footnoteRef/>
      </w:r>
      <w:r w:rsidRPr="00A43961">
        <w:t>)</w:t>
      </w:r>
      <w:r w:rsidRPr="0003045C">
        <w:tab/>
      </w:r>
      <w:r>
        <w:t>Hereafter referred to as "High Enrolment Scenario".</w:t>
      </w:r>
    </w:p>
  </w:footnote>
  <w:footnote w:id="125">
    <w:p w14:paraId="5678BCA5" w14:textId="77777777" w:rsidR="00460C69" w:rsidRPr="00E70C96" w:rsidRDefault="00460C69" w:rsidP="00460C69">
      <w:pPr>
        <w:pStyle w:val="Tekstfusnote"/>
      </w:pPr>
      <w:r w:rsidRPr="00A43961">
        <w:t>(</w:t>
      </w:r>
      <w:r w:rsidRPr="00A43961">
        <w:rPr>
          <w:rStyle w:val="Referencafusnote"/>
        </w:rPr>
        <w:footnoteRef/>
      </w:r>
      <w:r w:rsidRPr="00A43961">
        <w:t>)</w:t>
      </w:r>
      <w:r w:rsidRPr="00E70C96">
        <w:tab/>
      </w:r>
      <w:r>
        <w:t xml:space="preserve">Similarly to the current exercise, </w:t>
      </w:r>
      <w:r w:rsidRPr="00E70C96">
        <w:t xml:space="preserve">the </w:t>
      </w:r>
      <w:r>
        <w:t>h</w:t>
      </w:r>
      <w:r w:rsidRPr="00E70C96">
        <w:t xml:space="preserve">igh </w:t>
      </w:r>
      <w:r>
        <w:t>e</w:t>
      </w:r>
      <w:r w:rsidRPr="00E70C96">
        <w:t xml:space="preserve">nrolment rate scenario </w:t>
      </w:r>
      <w:r>
        <w:t>in the 2015 AR</w:t>
      </w:r>
      <w:r w:rsidRPr="00E70C96">
        <w:t xml:space="preserve"> is generated by inflating enrolment rates for ISCED levels 3-4 and 5-8 to the three best performers in the EU plus Norway by 2040. </w:t>
      </w:r>
    </w:p>
  </w:footnote>
  <w:footnote w:id="126">
    <w:p w14:paraId="70E9F49C" w14:textId="77777777" w:rsidR="00460C69" w:rsidRPr="00CF19E4" w:rsidRDefault="00460C69" w:rsidP="00460C69">
      <w:pPr>
        <w:pStyle w:val="Tekstfusnote"/>
      </w:pPr>
      <w:r w:rsidRPr="00A43961">
        <w:t>(</w:t>
      </w:r>
      <w:r w:rsidRPr="00A43961">
        <w:rPr>
          <w:rStyle w:val="Referencafusnote"/>
        </w:rPr>
        <w:footnoteRef/>
      </w:r>
      <w:r w:rsidRPr="00A43961">
        <w:t>)</w:t>
      </w:r>
      <w:r w:rsidRPr="00E70C96">
        <w:tab/>
        <w:t xml:space="preserve">See "The 2018 Ageing Report – Underlying Assumptions and Projection Methodologies, </w:t>
      </w:r>
      <w:r w:rsidRPr="00FB30D8">
        <w:t>", European Economy, No. 065/2017, European Commission</w:t>
      </w:r>
      <w:r>
        <w:t xml:space="preserve">, </w:t>
      </w:r>
      <w:r w:rsidRPr="00F007F9">
        <w:t xml:space="preserve">Part II, </w:t>
      </w:r>
      <w:r>
        <w:t xml:space="preserve"> </w:t>
      </w:r>
      <w:r w:rsidRPr="00E70C96">
        <w:t xml:space="preserve">Chapter </w:t>
      </w:r>
      <w:r>
        <w:t>4</w:t>
      </w:r>
      <w:r w:rsidRPr="00E70C96">
        <w:t>" for detailed explanations.</w:t>
      </w:r>
      <w:r>
        <w:t xml:space="preserve"> </w:t>
      </w:r>
    </w:p>
  </w:footnote>
  <w:footnote w:id="127">
    <w:p w14:paraId="5A59E960" w14:textId="77777777" w:rsidR="00460C69" w:rsidRPr="004C2D97" w:rsidRDefault="00460C69" w:rsidP="00460C69">
      <w:pPr>
        <w:pStyle w:val="Tekstfusnote"/>
      </w:pPr>
      <w:r w:rsidRPr="00A43961">
        <w:t>(</w:t>
      </w:r>
      <w:r w:rsidRPr="00A43961">
        <w:rPr>
          <w:rStyle w:val="Referencafusnote"/>
        </w:rPr>
        <w:footnoteRef/>
      </w:r>
      <w:r w:rsidRPr="00A43961">
        <w:t>)</w:t>
      </w:r>
      <w:r w:rsidRPr="004C2D97">
        <w:tab/>
        <w:t>For d</w:t>
      </w:r>
      <w:r>
        <w:t>etails see Annex V</w:t>
      </w:r>
      <w:r w:rsidRPr="004C2D97">
        <w:t>.</w:t>
      </w:r>
    </w:p>
  </w:footnote>
  <w:footnote w:id="128">
    <w:p w14:paraId="465AE682" w14:textId="77777777" w:rsidR="00460C69" w:rsidRPr="009E36C8" w:rsidRDefault="00460C69" w:rsidP="00460C69">
      <w:pPr>
        <w:pStyle w:val="Tekstfusnote"/>
      </w:pPr>
      <w:r w:rsidRPr="00A43961">
        <w:t>(</w:t>
      </w:r>
      <w:r w:rsidRPr="00A43961">
        <w:rPr>
          <w:rStyle w:val="Referencafusnote"/>
        </w:rPr>
        <w:footnoteRef/>
      </w:r>
      <w:r w:rsidRPr="00A43961">
        <w:t>)</w:t>
      </w:r>
      <w:r w:rsidRPr="009E36C8">
        <w:tab/>
      </w:r>
      <w:r>
        <w:t xml:space="preserve">See </w:t>
      </w:r>
      <w:r w:rsidRPr="00803E72">
        <w:t>Table II.AV.4</w:t>
      </w:r>
      <w:r>
        <w:t xml:space="preserve"> in Annex V for projections over the entire horizon. </w:t>
      </w:r>
    </w:p>
  </w:footnote>
  <w:footnote w:id="129">
    <w:p w14:paraId="2849F2E1" w14:textId="77777777" w:rsidR="00460C69" w:rsidRPr="0090177F" w:rsidRDefault="00460C69" w:rsidP="00460C69">
      <w:pPr>
        <w:pStyle w:val="Tekstfusnote"/>
      </w:pPr>
      <w:r w:rsidRPr="00A43961">
        <w:t>(</w:t>
      </w:r>
      <w:r w:rsidRPr="00A43961">
        <w:rPr>
          <w:rStyle w:val="Referencafusnote"/>
        </w:rPr>
        <w:footnoteRef/>
      </w:r>
      <w:r w:rsidRPr="00A43961">
        <w:t>)</w:t>
      </w:r>
      <w:r w:rsidRPr="0090177F">
        <w:tab/>
      </w:r>
      <w:r>
        <w:t xml:space="preserve">Values for the Baseline scenario in 2060 are used, as data for 2070 are not available in the 2015 AR. </w:t>
      </w:r>
    </w:p>
  </w:footnote>
  <w:footnote w:id="130">
    <w:p w14:paraId="37F75990" w14:textId="77777777" w:rsidR="00460C69" w:rsidRPr="00AA27C2" w:rsidRDefault="00460C69" w:rsidP="00460C69">
      <w:pPr>
        <w:pStyle w:val="Tekstfusnote"/>
      </w:pPr>
      <w:r w:rsidRPr="00A43961">
        <w:t>(</w:t>
      </w:r>
      <w:r w:rsidRPr="00A43961">
        <w:rPr>
          <w:rStyle w:val="Referencafusnote"/>
        </w:rPr>
        <w:footnoteRef/>
      </w:r>
      <w:r w:rsidRPr="00A43961">
        <w:t>)</w:t>
      </w:r>
      <w:r w:rsidRPr="00AA27C2">
        <w:tab/>
      </w:r>
      <w:r>
        <w:t xml:space="preserve">The formula is obtained from Equation (4.6) of </w:t>
      </w:r>
      <w:r w:rsidRPr="00FB30D8">
        <w:t xml:space="preserve"> "The 2018 Ageing Report – Underlying Assumptions and Pro</w:t>
      </w:r>
      <w:r>
        <w:t>jection Methodologies</w:t>
      </w:r>
      <w:r w:rsidRPr="00FB30D8">
        <w:t>", European Economy, No</w:t>
      </w:r>
      <w:r>
        <w:t xml:space="preserve">. 065/2017, European Commission, </w:t>
      </w:r>
      <w:r w:rsidRPr="00F007F9">
        <w:t xml:space="preserve">Part II, </w:t>
      </w:r>
      <w:r>
        <w:t>Chapter 4.</w:t>
      </w:r>
    </w:p>
  </w:footnote>
  <w:footnote w:id="131">
    <w:p w14:paraId="2733A927" w14:textId="77777777" w:rsidR="00460C69" w:rsidRPr="00270814" w:rsidRDefault="00460C69" w:rsidP="00460C69">
      <w:pPr>
        <w:pStyle w:val="Tekstfusnote"/>
      </w:pPr>
      <w:r w:rsidRPr="00A43961">
        <w:t>(</w:t>
      </w:r>
      <w:r w:rsidRPr="00A43961">
        <w:rPr>
          <w:rStyle w:val="Referencafusnote"/>
        </w:rPr>
        <w:footnoteRef/>
      </w:r>
      <w:r w:rsidRPr="00A43961">
        <w:t>)</w:t>
      </w:r>
      <w:r w:rsidRPr="00AE65C5">
        <w:tab/>
      </w:r>
      <w:r w:rsidRPr="00AE1329">
        <w:t>Assuming a constant students-to</w:t>
      </w:r>
      <w:r w:rsidRPr="00AE1329">
        <w:noBreakHyphen/>
      </w:r>
      <w:r>
        <w:t>staff</w:t>
      </w:r>
      <w:r w:rsidRPr="00AE1329">
        <w:t xml:space="preserve"> ratio (i.e. </w:t>
      </w:r>
      <m:oMath>
        <m:sSub>
          <m:sSubPr>
            <m:ctrlPr>
              <w:rPr>
                <w:rFonts w:ascii="Cambria Math" w:hAnsi="Cambria Math"/>
                <w:i/>
                <w:color w:val="auto"/>
                <w:lang w:eastAsia="en-GB"/>
              </w:rPr>
            </m:ctrlPr>
          </m:sSubPr>
          <m:e>
            <m:acc>
              <m:accPr>
                <m:chr m:val="̅"/>
                <m:ctrlPr>
                  <w:rPr>
                    <w:rFonts w:ascii="Cambria Math" w:hAnsi="Cambria Math"/>
                    <w:i/>
                    <w:color w:val="auto"/>
                    <w:lang w:eastAsia="en-GB"/>
                  </w:rPr>
                </m:ctrlPr>
              </m:accPr>
              <m:e>
                <m:r>
                  <w:rPr>
                    <w:rFonts w:ascii="Cambria Math" w:hAnsi="Cambria Math"/>
                    <w:color w:val="auto"/>
                    <w:lang w:eastAsia="en-GB"/>
                  </w:rPr>
                  <m:t>IT</m:t>
                </m:r>
              </m:e>
            </m:acc>
          </m:e>
          <m:sub>
            <m:r>
              <w:rPr>
                <w:rFonts w:ascii="Cambria Math" w:hAnsi="Cambria Math"/>
                <w:color w:val="auto"/>
                <w:lang w:eastAsia="en-GB"/>
              </w:rPr>
              <m:t>i</m:t>
            </m:r>
          </m:sub>
        </m:sSub>
        <m:r>
          <w:rPr>
            <w:rFonts w:ascii="Cambria Math" w:hAnsi="Cambria Math"/>
            <w:color w:val="auto"/>
            <w:lang w:eastAsia="en-GB"/>
          </w:rPr>
          <m:t>=</m:t>
        </m:r>
        <m:sSub>
          <m:sSubPr>
            <m:ctrlPr>
              <w:rPr>
                <w:rFonts w:ascii="Cambria Math" w:hAnsi="Cambria Math"/>
                <w:i/>
                <w:color w:val="auto"/>
                <w:lang w:eastAsia="en-GB"/>
              </w:rPr>
            </m:ctrlPr>
          </m:sSubPr>
          <m:e>
            <m:acc>
              <m:accPr>
                <m:chr m:val="̅"/>
                <m:ctrlPr>
                  <w:rPr>
                    <w:rFonts w:ascii="Cambria Math" w:hAnsi="Cambria Math"/>
                    <w:i/>
                    <w:color w:val="auto"/>
                    <w:lang w:eastAsia="en-GB"/>
                  </w:rPr>
                </m:ctrlPr>
              </m:accPr>
              <m:e>
                <m:r>
                  <w:rPr>
                    <w:rFonts w:ascii="Cambria Math" w:hAnsi="Cambria Math"/>
                    <w:color w:val="auto"/>
                    <w:lang w:eastAsia="en-GB"/>
                  </w:rPr>
                  <m:t>IS</m:t>
                </m:r>
              </m:e>
            </m:acc>
          </m:e>
          <m:sub>
            <m:r>
              <w:rPr>
                <w:rFonts w:ascii="Cambria Math" w:hAnsi="Cambria Math"/>
                <w:color w:val="auto"/>
                <w:lang w:eastAsia="en-GB"/>
              </w:rPr>
              <m:t>i</m:t>
            </m:r>
          </m:sub>
        </m:sSub>
      </m:oMath>
      <w:r w:rsidRPr="00AE1329">
        <w:t>).</w:t>
      </w:r>
      <w:r>
        <w:t xml:space="preserve"> Student and Employment indexes are averaged across all ISCED levels. </w:t>
      </w:r>
    </w:p>
  </w:footnote>
  <w:footnote w:id="132">
    <w:p w14:paraId="03ED0DB8" w14:textId="77777777" w:rsidR="00460C69" w:rsidRPr="00131FBD" w:rsidRDefault="00460C69" w:rsidP="00460C69">
      <w:pPr>
        <w:pStyle w:val="Tekstfusnote"/>
      </w:pPr>
      <w:r w:rsidRPr="007A5B12">
        <w:t>(</w:t>
      </w:r>
      <w:r w:rsidRPr="007A5B12">
        <w:rPr>
          <w:rStyle w:val="Referencafusnote"/>
        </w:rPr>
        <w:footnoteRef/>
      </w:r>
      <w:r w:rsidRPr="007A5B12">
        <w:t>)</w:t>
      </w:r>
      <w:r w:rsidRPr="00131FBD">
        <w:tab/>
      </w:r>
      <w:r>
        <w:t>For details, see Box I.2.3 in Part I, Chapter 2 in European Commission (DG ECFIN)-Economic Policy Committee (AWG) (2017), '2018 Ageing Report: Underlying assumptions and projection methodologies', Institutional Papers 65.</w:t>
      </w:r>
    </w:p>
  </w:footnote>
  <w:footnote w:id="133">
    <w:p w14:paraId="38340970" w14:textId="77777777" w:rsidR="00460C69" w:rsidRDefault="00460C69" w:rsidP="00460C69">
      <w:pPr>
        <w:pStyle w:val="Tekstfusnote"/>
      </w:pPr>
      <w:r w:rsidRPr="007A5B12">
        <w:t>(</w:t>
      </w:r>
      <w:r w:rsidRPr="007A5B12">
        <w:rPr>
          <w:rStyle w:val="Referencafusnote"/>
        </w:rPr>
        <w:footnoteRef/>
      </w:r>
      <w:r w:rsidRPr="007A5B12">
        <w:t>)</w:t>
      </w:r>
      <w:r w:rsidRPr="00A95927">
        <w:tab/>
        <w:t xml:space="preserve">The European System of integrated Social PROtection Statistics (ESSPROS). </w:t>
      </w:r>
    </w:p>
  </w:footnote>
  <w:footnote w:id="134">
    <w:p w14:paraId="3F5ACD01" w14:textId="77777777" w:rsidR="00460C69" w:rsidRPr="002A4C21" w:rsidRDefault="00460C69" w:rsidP="00460C69">
      <w:pPr>
        <w:pStyle w:val="Tekstfusnote"/>
      </w:pPr>
      <w:r w:rsidRPr="007A5B12">
        <w:t>(</w:t>
      </w:r>
      <w:r w:rsidRPr="007A5B12">
        <w:rPr>
          <w:rStyle w:val="Referencafusnote"/>
        </w:rPr>
        <w:footnoteRef/>
      </w:r>
      <w:r w:rsidRPr="007A5B12">
        <w:t>)</w:t>
      </w:r>
      <w:r w:rsidRPr="002A4C21">
        <w:tab/>
      </w:r>
      <w:r>
        <w:t>Data up to 2014 was used for DK, EE, IE, NL, PL, RO, SI, FI.</w:t>
      </w:r>
    </w:p>
  </w:footnote>
  <w:footnote w:id="135">
    <w:p w14:paraId="19776580" w14:textId="77777777" w:rsidR="00460C69" w:rsidRDefault="00460C69" w:rsidP="00460C69">
      <w:pPr>
        <w:pStyle w:val="Tekstfusnote"/>
      </w:pPr>
      <w:r w:rsidRPr="007A5B12">
        <w:t>(</w:t>
      </w:r>
      <w:r w:rsidRPr="007A5B12">
        <w:rPr>
          <w:rStyle w:val="Referencafusnote"/>
        </w:rPr>
        <w:footnoteRef/>
      </w:r>
      <w:r w:rsidRPr="007A5B12">
        <w:t>)</w:t>
      </w:r>
      <w:r w:rsidRPr="00A95927">
        <w:tab/>
      </w:r>
      <w:r>
        <w:t xml:space="preserve">Data on unemployment benefit expenditure for 2015 were provided by </w:t>
      </w:r>
      <w:r w:rsidRPr="00A95927">
        <w:t xml:space="preserve">BE, </w:t>
      </w:r>
      <w:r>
        <w:t xml:space="preserve">BG, </w:t>
      </w:r>
      <w:r w:rsidRPr="00A95927">
        <w:t>ES</w:t>
      </w:r>
      <w:r>
        <w:t>,</w:t>
      </w:r>
      <w:r w:rsidRPr="00A95927">
        <w:t xml:space="preserve"> </w:t>
      </w:r>
      <w:r>
        <w:t>CY, UK, NO, and in addition, for 2016 were provided by BE, BG, CY, AT, UK.</w:t>
      </w:r>
    </w:p>
  </w:footnote>
  <w:footnote w:id="136">
    <w:p w14:paraId="147D9394" w14:textId="77777777" w:rsidR="00460C69" w:rsidRPr="00704C8D" w:rsidRDefault="00460C69" w:rsidP="00460C69">
      <w:pPr>
        <w:pStyle w:val="Tekstfusnote"/>
      </w:pPr>
      <w:r w:rsidRPr="007A5B12">
        <w:t>(</w:t>
      </w:r>
      <w:r w:rsidRPr="007A5B12">
        <w:rPr>
          <w:rStyle w:val="Referencafusnote"/>
        </w:rPr>
        <w:footnoteRef/>
      </w:r>
      <w:r w:rsidRPr="007A5B12">
        <w:t>)</w:t>
      </w:r>
      <w:r w:rsidRPr="00704C8D">
        <w:tab/>
      </w:r>
      <w:r>
        <w:t>For details on the projection methodology, see Chapter I.5 in European Commission (DG ECFIN)-Economic Policy Committee (AWG) (2017), '2018 Ageing Report: Underlying assumptions and projection methodologies', Institutional Papers 65.</w:t>
      </w:r>
    </w:p>
  </w:footnote>
  <w:footnote w:id="137">
    <w:p w14:paraId="30935175" w14:textId="77777777" w:rsidR="00460C69" w:rsidRDefault="00460C69" w:rsidP="00460C69">
      <w:pPr>
        <w:pStyle w:val="Tekstfusnote"/>
      </w:pPr>
      <w:r w:rsidRPr="007A5B12">
        <w:t>(</w:t>
      </w:r>
      <w:r w:rsidRPr="007A5B12">
        <w:rPr>
          <w:rStyle w:val="Referencafusnote"/>
        </w:rPr>
        <w:footnoteRef/>
      </w:r>
      <w:r w:rsidRPr="007A5B12">
        <w:t>)</w:t>
      </w:r>
      <w:r w:rsidRPr="00FF1C66">
        <w:tab/>
      </w:r>
      <w:r>
        <w:t xml:space="preserve">Due to data availability, for DK, EE, IE, NL, PL, RO, SI, FI expenditure data for 2013-14 was used, for CZ, DE, </w:t>
      </w:r>
      <w:r w:rsidRPr="009F614F">
        <w:t>EL,</w:t>
      </w:r>
      <w:r>
        <w:t xml:space="preserve"> ES, </w:t>
      </w:r>
      <w:r w:rsidRPr="009F614F">
        <w:t>FR,</w:t>
      </w:r>
      <w:r>
        <w:t xml:space="preserve"> HR, </w:t>
      </w:r>
      <w:r w:rsidRPr="009F614F">
        <w:t>IT, LV,</w:t>
      </w:r>
      <w:r>
        <w:t xml:space="preserve"> LT, </w:t>
      </w:r>
      <w:r w:rsidRPr="009F614F">
        <w:t>LU,</w:t>
      </w:r>
      <w:r>
        <w:t xml:space="preserve"> HU, </w:t>
      </w:r>
      <w:r w:rsidRPr="009F614F">
        <w:t>MT, PT,</w:t>
      </w:r>
      <w:r>
        <w:t xml:space="preserve"> SK, SE, NO data for 2014-15 was used, for BE, BG, CY, AT, UK data for 2015-16 was used. </w:t>
      </w:r>
    </w:p>
  </w:footnote>
  <w:footnote w:id="138">
    <w:p w14:paraId="1EA8D44A" w14:textId="77777777" w:rsidR="00460C69" w:rsidRPr="007B3F17" w:rsidRDefault="00460C69" w:rsidP="00460C69">
      <w:pPr>
        <w:pStyle w:val="Tekstfusnote"/>
      </w:pPr>
      <w:r w:rsidRPr="007A5B12">
        <w:t>(</w:t>
      </w:r>
      <w:r w:rsidRPr="007A5B12">
        <w:rPr>
          <w:rStyle w:val="Referencafusnote"/>
        </w:rPr>
        <w:footnoteRef/>
      </w:r>
      <w:r w:rsidRPr="007A5B12">
        <w:t>)</w:t>
      </w:r>
      <w:r w:rsidRPr="007B3F17">
        <w:tab/>
      </w:r>
      <w:r>
        <w:t>The unemployment rate projections are based on the Commission's spring 2017 forecast. For details, see Part I, Chapter 2 in European Commission (DG ECFIN)-Economic Policy Committee (AWG) (2017).</w:t>
      </w:r>
    </w:p>
  </w:footnote>
  <w:footnote w:id="139">
    <w:p w14:paraId="4DE4EC1B" w14:textId="77777777" w:rsidR="00460C69" w:rsidRDefault="00460C69" w:rsidP="00460C69">
      <w:pPr>
        <w:pStyle w:val="Tekstfusnote"/>
      </w:pPr>
      <w:r w:rsidRPr="007A5B12">
        <w:t>(</w:t>
      </w:r>
      <w:r w:rsidRPr="007A5B12">
        <w:rPr>
          <w:rStyle w:val="Referencafusnote"/>
        </w:rPr>
        <w:footnoteRef/>
      </w:r>
      <w:r w:rsidRPr="007A5B12">
        <w:t>)</w:t>
      </w:r>
      <w:r w:rsidRPr="00E61E78">
        <w:tab/>
        <w:t xml:space="preserve">Periodic full and partial UB </w:t>
      </w:r>
      <w:r>
        <w:t xml:space="preserve">expenditure </w:t>
      </w:r>
      <w:r w:rsidRPr="00E61E78">
        <w:t xml:space="preserve">were also used in the </w:t>
      </w:r>
      <w:r>
        <w:t>previous</w:t>
      </w:r>
      <w:r w:rsidRPr="00E61E78">
        <w:t xml:space="preserve"> Ageing Reports. </w:t>
      </w:r>
    </w:p>
  </w:footnote>
  <w:footnote w:id="140">
    <w:p w14:paraId="62429DC0" w14:textId="77777777" w:rsidR="00460C69" w:rsidRPr="00131FBD" w:rsidRDefault="00460C69" w:rsidP="00460C69">
      <w:pPr>
        <w:pStyle w:val="Tekstfusnote"/>
      </w:pPr>
      <w:r w:rsidRPr="007A5B12">
        <w:t>(</w:t>
      </w:r>
      <w:r w:rsidRPr="007A5B12">
        <w:rPr>
          <w:rStyle w:val="Referencafusnote"/>
        </w:rPr>
        <w:footnoteRef/>
      </w:r>
      <w:r w:rsidRPr="007A5B12">
        <w:t>)</w:t>
      </w:r>
      <w:r w:rsidRPr="00131FBD">
        <w:tab/>
      </w:r>
      <w:r>
        <w:t>See Box I.2.3 in Part I, Chapter 2 in European Commission (DG ECFIN)-Economic Policy Committee (AWG) (2017), '2018 Ageing Report: Underlying assumptions and projection methodologies', Institutional Papers 65.</w:t>
      </w:r>
    </w:p>
  </w:footnote>
  <w:footnote w:id="141">
    <w:p w14:paraId="30AAB5B4" w14:textId="77777777" w:rsidR="00460C69" w:rsidRDefault="00460C69" w:rsidP="00460C69">
      <w:pPr>
        <w:pStyle w:val="Tekstfusnote"/>
      </w:pPr>
      <w:r w:rsidRPr="007A5B12">
        <w:t>(</w:t>
      </w:r>
      <w:r w:rsidRPr="007A5B12">
        <w:rPr>
          <w:rStyle w:val="Referencafusnote"/>
        </w:rPr>
        <w:footnoteRef/>
      </w:r>
      <w:r w:rsidRPr="007A5B12">
        <w:t>)</w:t>
      </w:r>
      <w:r w:rsidRPr="00242944">
        <w:tab/>
      </w:r>
      <w:r>
        <w:t xml:space="preserve">In addition, if the estimated NAWRU ten years ahead (2026) is lower than the country specific anchor, the former is assumed to replace the anchor. The gradual convergence, for countries whose NAWRU's is higher than the EU median, is assumed to be completed by 2050. </w:t>
      </w:r>
    </w:p>
  </w:footnote>
  <w:footnote w:id="142">
    <w:p w14:paraId="200983E6" w14:textId="77777777" w:rsidR="00460C69" w:rsidRDefault="00460C69" w:rsidP="00460C69">
      <w:pPr>
        <w:pStyle w:val="Tekstfusnote"/>
      </w:pPr>
      <w:r w:rsidRPr="007A5B12">
        <w:t>(</w:t>
      </w:r>
      <w:r w:rsidRPr="007A5B12">
        <w:rPr>
          <w:rStyle w:val="Referencafusnote"/>
        </w:rPr>
        <w:footnoteRef/>
      </w:r>
      <w:r w:rsidRPr="007A5B12">
        <w:t>)</w:t>
      </w:r>
      <w:r w:rsidRPr="00542EE3">
        <w:tab/>
      </w:r>
      <w:r>
        <w:t>Under the guidance of the EPC-OGWG and with the twin objectives of improving the medium</w:t>
      </w:r>
      <w:r>
        <w:noBreakHyphen/>
        <w:t xml:space="preserve">term framework for fiscal surveillance up to T+10 (currently 2026), DG ECFIN carried out some econometric work (Orlandi, 2012) leading to the estimation of </w:t>
      </w:r>
      <w:r w:rsidRPr="00FD2002">
        <w:rPr>
          <w:i/>
        </w:rPr>
        <w:t>Anchor</w:t>
      </w:r>
      <w:r>
        <w:t xml:space="preserve"> values for the NAWRU. </w:t>
      </w:r>
    </w:p>
  </w:footnote>
  <w:footnote w:id="143">
    <w:p w14:paraId="2815C94D" w14:textId="77777777" w:rsidR="00460C69" w:rsidRDefault="00460C69" w:rsidP="00460C69">
      <w:pPr>
        <w:pStyle w:val="Tekstfusnote"/>
      </w:pPr>
      <w:r w:rsidRPr="007A5B12">
        <w:t>(</w:t>
      </w:r>
      <w:r w:rsidRPr="007A5B12">
        <w:rPr>
          <w:rStyle w:val="Referencafusnote"/>
        </w:rPr>
        <w:footnoteRef/>
      </w:r>
      <w:r w:rsidRPr="007A5B12">
        <w:t>)</w:t>
      </w:r>
      <w:r w:rsidRPr="001E3B93">
        <w:tab/>
      </w:r>
      <w:r>
        <w:t>Over the estimation sample.</w:t>
      </w:r>
    </w:p>
  </w:footnote>
  <w:footnote w:id="144">
    <w:p w14:paraId="66D85208" w14:textId="77777777" w:rsidR="00460C69" w:rsidRDefault="00460C69" w:rsidP="00460C69">
      <w:pPr>
        <w:pStyle w:val="Tekstfusnote"/>
      </w:pPr>
      <w:r w:rsidRPr="00CC5639">
        <w:t>(</w:t>
      </w:r>
      <w:r w:rsidRPr="00CC5639">
        <w:rPr>
          <w:rStyle w:val="Referencafusnote"/>
        </w:rPr>
        <w:footnoteRef/>
      </w:r>
      <w:r w:rsidRPr="00CC5639">
        <w:t>)</w:t>
      </w:r>
      <w:r w:rsidRPr="0043649D">
        <w:tab/>
      </w:r>
      <w:r>
        <w:t xml:space="preserve">Commission Regulation (EU) 2015/359 on healthcare expenditure and financing statistics, available at: </w:t>
      </w:r>
      <w:hyperlink r:id="rId6" w:history="1">
        <w:r w:rsidRPr="00CC5639">
          <w:rPr>
            <w:rStyle w:val="Hiperveza"/>
          </w:rPr>
          <w:t>http://eur-lex.europa.eu/legal-content/EN/TXT/PDF/?uri=CELEX:32015R0359&amp;from=EN</w:t>
        </w:r>
      </w:hyperlink>
    </w:p>
  </w:footnote>
  <w:footnote w:id="145">
    <w:p w14:paraId="13CFEC8D" w14:textId="77777777" w:rsidR="00460C69" w:rsidRDefault="00460C69" w:rsidP="00460C69">
      <w:pPr>
        <w:pStyle w:val="Tekstfusnote"/>
      </w:pPr>
      <w:r w:rsidRPr="0091483C">
        <w:t>(</w:t>
      </w:r>
      <w:r w:rsidRPr="0091483C">
        <w:rPr>
          <w:rStyle w:val="Referencafusnote"/>
        </w:rPr>
        <w:footnoteRef/>
      </w:r>
      <w:r w:rsidRPr="0091483C">
        <w:t>)</w:t>
      </w:r>
      <w:r w:rsidRPr="0092178D">
        <w:tab/>
      </w:r>
      <w:r>
        <w:t>European Commission (EFCIN) and EPC (Ageing Working Group) (2016) "Joint Report on Health Care and Long-Term Care systems &amp; Fiscal sustainability. Volume 2 country Documents", Institutional Paper 037, October 2016.</w:t>
      </w:r>
    </w:p>
  </w:footnote>
  <w:footnote w:id="146">
    <w:p w14:paraId="2AB2A96D" w14:textId="77777777" w:rsidR="00460C69" w:rsidRPr="005A7C20" w:rsidRDefault="00460C69" w:rsidP="00460C69">
      <w:pPr>
        <w:pStyle w:val="Tekstfusnote"/>
      </w:pPr>
      <w:r w:rsidRPr="00036021">
        <w:t>(</w:t>
      </w:r>
      <w:r w:rsidRPr="00036021">
        <w:rPr>
          <w:rStyle w:val="Referencafusnote"/>
        </w:rPr>
        <w:footnoteRef/>
      </w:r>
      <w:r w:rsidRPr="00036021">
        <w:t>)</w:t>
      </w:r>
      <w:r w:rsidRPr="005A7C20">
        <w:tab/>
      </w:r>
      <w:r>
        <w:t xml:space="preserve">UOE education expenditure data is available until 2014, and they have been updated until 2016 using COFOG data. </w:t>
      </w:r>
    </w:p>
  </w:footnote>
  <w:footnote w:id="147">
    <w:p w14:paraId="231A8A06" w14:textId="77777777" w:rsidR="00460C69" w:rsidRPr="005A7C20" w:rsidRDefault="00460C69" w:rsidP="00460C69">
      <w:pPr>
        <w:pStyle w:val="Tekstfusnote"/>
      </w:pPr>
      <w:r w:rsidRPr="00036021">
        <w:t>(</w:t>
      </w:r>
      <w:r w:rsidRPr="00036021">
        <w:rPr>
          <w:rStyle w:val="Referencafusnote"/>
        </w:rPr>
        <w:footnoteRef/>
      </w:r>
      <w:r w:rsidRPr="00036021">
        <w:t>)</w:t>
      </w:r>
      <w:r w:rsidRPr="005A7C20">
        <w:tab/>
        <w:t>For a more detailed presentation o</w:t>
      </w:r>
      <w:r>
        <w:t xml:space="preserve">f the methodology see: </w:t>
      </w:r>
      <w:r w:rsidRPr="005A7C20">
        <w:t>"The 2018 Ageing Report: Underlying Assumptions and Projection Methodologies", European Economy, No. 065/2017, European Commission.</w:t>
      </w:r>
    </w:p>
  </w:footnote>
  <w:footnote w:id="148">
    <w:p w14:paraId="4C2DD056" w14:textId="77777777" w:rsidR="00460C69" w:rsidRPr="003D6419" w:rsidRDefault="00460C69" w:rsidP="00460C69">
      <w:pPr>
        <w:pStyle w:val="Tekstfusnote"/>
      </w:pPr>
      <w:r w:rsidRPr="00036021">
        <w:t>(</w:t>
      </w:r>
      <w:r w:rsidRPr="00036021">
        <w:rPr>
          <w:rStyle w:val="Referencafusnote"/>
        </w:rPr>
        <w:footnoteRef/>
      </w:r>
      <w:r w:rsidRPr="00036021">
        <w:t>)</w:t>
      </w:r>
      <w:r w:rsidRPr="003D6419">
        <w:tab/>
      </w:r>
      <w:r>
        <w:t>see Part II, Chapter 5 in European Commission (DG ECFIN)-Economic Policy Committee (AWG) (2017).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6E2213" w14:textId="77777777" w:rsidR="00460C69" w:rsidRPr="0025266B" w:rsidRDefault="00460C69" w:rsidP="00460C69">
    <w:pPr>
      <w:pStyle w:val="Zaglavlj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DB0E60" w14:textId="77777777" w:rsidR="00460C69" w:rsidRPr="006057F5" w:rsidRDefault="00460C69" w:rsidP="00460C69">
    <w:pPr>
      <w:pStyle w:val="Zaglavlje"/>
    </w:pP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012AD4" w14:textId="77777777" w:rsidR="00460C69" w:rsidRDefault="00460C69" w:rsidP="00460C69">
    <w:pPr>
      <w:pStyle w:val="HeaderTitleLeft"/>
    </w:pPr>
    <w:r>
      <w:t>European Commission</w:t>
    </w:r>
  </w:p>
  <w:p w14:paraId="73D4D04B" w14:textId="77777777" w:rsidR="00460C69" w:rsidRPr="002F6D88" w:rsidRDefault="00460C69" w:rsidP="00460C69">
    <w:pPr>
      <w:pStyle w:val="HeaderTitleLeft"/>
    </w:pPr>
    <w:r>
      <w:t>The 2018 Ageing Report: Economic and Budgetary Projections for the EU Member States (2016-2070)</w:t>
    </w: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965E10" w14:textId="77777777" w:rsidR="00460C69" w:rsidRDefault="00460C69" w:rsidP="00460C69">
    <w:pPr>
      <w:pStyle w:val="HeaderTitleRight"/>
    </w:pPr>
    <w:r>
      <w:t>Part IV</w:t>
    </w:r>
  </w:p>
  <w:p w14:paraId="28A35AF0" w14:textId="77777777" w:rsidR="00460C69" w:rsidRPr="002F6D88" w:rsidRDefault="00460C69" w:rsidP="00460C69">
    <w:pPr>
      <w:pStyle w:val="HeaderSubtitleRight"/>
    </w:pPr>
    <w:r>
      <w:t>Statistical Annex  – COUNTRY FICHES, Cyprus</w:t>
    </w: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BD3D5D" w14:textId="77777777" w:rsidR="00460C69" w:rsidRDefault="00460C69" w:rsidP="00460C69">
    <w:pPr>
      <w:pStyle w:val="SectionTitle"/>
    </w:pPr>
    <w:r w:rsidRPr="002F6D88">
      <w:rPr>
        <w:rStyle w:val="SectionNumber"/>
      </w:rPr>
      <w:t>13.</w:t>
    </w:r>
    <w:r w:rsidRPr="002F6D88">
      <w:tab/>
      <w:t>Cyprus</w:t>
    </w:r>
  </w:p>
  <w:p w14:paraId="4CE7E73C" w14:textId="77777777" w:rsidR="00460C69" w:rsidRPr="002F6D88" w:rsidRDefault="00460C69" w:rsidP="00460C69">
    <w:pPr>
      <w:pStyle w:val="SectionSubtitle"/>
    </w:pP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93C33D" w14:textId="77777777" w:rsidR="00460C69" w:rsidRDefault="00460C69" w:rsidP="00460C69">
    <w:pPr>
      <w:pStyle w:val="HeaderTitleLeft"/>
    </w:pPr>
    <w:r>
      <w:t>European Commission</w:t>
    </w:r>
  </w:p>
  <w:p w14:paraId="1FB5F2AC" w14:textId="77777777" w:rsidR="00460C69" w:rsidRPr="00135B0D" w:rsidRDefault="00460C69" w:rsidP="00460C69">
    <w:pPr>
      <w:pStyle w:val="HeaderTitleLeft"/>
    </w:pPr>
    <w:r>
      <w:t>The 2018 Ageing Report: Economic and Budgetary Projections for the EU Member States (2016-2070)</w:t>
    </w: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C59693" w14:textId="77777777" w:rsidR="00460C69" w:rsidRDefault="00460C69" w:rsidP="00460C69">
    <w:pPr>
      <w:pStyle w:val="HeaderTitleRight"/>
    </w:pPr>
    <w:r>
      <w:t>Part IV</w:t>
    </w:r>
  </w:p>
  <w:p w14:paraId="2C2E74E6" w14:textId="77777777" w:rsidR="00460C69" w:rsidRPr="00135B0D" w:rsidRDefault="00460C69" w:rsidP="00460C69">
    <w:pPr>
      <w:pStyle w:val="HeaderSubtitleRight"/>
    </w:pPr>
    <w:r>
      <w:t>Statistical Annex  – COUNTRY FICHES, Latvia</w:t>
    </w: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FE6610" w14:textId="77777777" w:rsidR="00460C69" w:rsidRDefault="00460C69" w:rsidP="00460C69">
    <w:pPr>
      <w:pStyle w:val="SectionTitle"/>
    </w:pPr>
    <w:r w:rsidRPr="00135B0D">
      <w:rPr>
        <w:rStyle w:val="SectionNumber"/>
      </w:rPr>
      <w:t>14.</w:t>
    </w:r>
    <w:r w:rsidRPr="00135B0D">
      <w:tab/>
      <w:t>Latvia</w:t>
    </w:r>
  </w:p>
  <w:p w14:paraId="189E5B37" w14:textId="77777777" w:rsidR="00460C69" w:rsidRPr="00135B0D" w:rsidRDefault="00460C69" w:rsidP="00460C69">
    <w:pPr>
      <w:pStyle w:val="SectionSubtitle"/>
    </w:pP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BFCAAD" w14:textId="77777777" w:rsidR="00460C69" w:rsidRDefault="00460C69" w:rsidP="00460C69">
    <w:pPr>
      <w:pStyle w:val="HeaderTitleLeft"/>
    </w:pPr>
    <w:r>
      <w:t>European Commission</w:t>
    </w:r>
  </w:p>
  <w:p w14:paraId="23CF2983" w14:textId="77777777" w:rsidR="00460C69" w:rsidRPr="00507039" w:rsidRDefault="00460C69" w:rsidP="00460C69">
    <w:pPr>
      <w:pStyle w:val="HeaderTitleLeft"/>
    </w:pPr>
    <w:r>
      <w:t>The 2018 Ageing Report: Economic and Budgetary Projections for the EU Member States (2016-2070)</w:t>
    </w: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DBFBDB" w14:textId="77777777" w:rsidR="00460C69" w:rsidRDefault="00460C69" w:rsidP="00460C69">
    <w:pPr>
      <w:pStyle w:val="HeaderTitleRight"/>
    </w:pPr>
    <w:r>
      <w:t>Part IV</w:t>
    </w:r>
  </w:p>
  <w:p w14:paraId="4E59F944" w14:textId="77777777" w:rsidR="00460C69" w:rsidRPr="00507039" w:rsidRDefault="00460C69" w:rsidP="00460C69">
    <w:pPr>
      <w:pStyle w:val="HeaderSubtitleRight"/>
    </w:pPr>
    <w:r>
      <w:t>Statistical Annex  – COUNTRY FICHES, Lithuania</w:t>
    </w: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ED9FE8" w14:textId="77777777" w:rsidR="00460C69" w:rsidRDefault="00460C69" w:rsidP="00460C69">
    <w:pPr>
      <w:pStyle w:val="SectionTitle"/>
    </w:pPr>
    <w:r w:rsidRPr="00507039">
      <w:rPr>
        <w:rStyle w:val="SectionNumber"/>
      </w:rPr>
      <w:t>15.</w:t>
    </w:r>
    <w:r w:rsidRPr="00507039">
      <w:tab/>
      <w:t>Lithuania</w:t>
    </w:r>
  </w:p>
  <w:p w14:paraId="761C52A8" w14:textId="77777777" w:rsidR="00460C69" w:rsidRPr="00507039" w:rsidRDefault="00460C69" w:rsidP="00460C69">
    <w:pPr>
      <w:pStyle w:val="SectionSubtitle"/>
    </w:pP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3A81F6" w14:textId="77777777" w:rsidR="00460C69" w:rsidRDefault="00460C69" w:rsidP="00460C69">
    <w:pPr>
      <w:pStyle w:val="HeaderTitleLeft"/>
    </w:pPr>
    <w:r>
      <w:t>European Commission</w:t>
    </w:r>
  </w:p>
  <w:p w14:paraId="2898ADD6" w14:textId="77777777" w:rsidR="00460C69" w:rsidRPr="00226693" w:rsidRDefault="00460C69" w:rsidP="00460C69">
    <w:pPr>
      <w:pStyle w:val="HeaderTitleLeft"/>
    </w:pPr>
    <w:r>
      <w:t>The 2018 Ageing Report: Economic and Budgetary Projections for the EU Member States (2016-2070)</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F9E7DB" w14:textId="77777777" w:rsidR="00460C69" w:rsidRPr="006057F5" w:rsidRDefault="00460C69" w:rsidP="00460C69">
    <w:pPr>
      <w:pStyle w:val="Zaglavlje"/>
    </w:pP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1AFA64" w14:textId="77777777" w:rsidR="00460C69" w:rsidRDefault="00460C69" w:rsidP="00460C69">
    <w:pPr>
      <w:pStyle w:val="HeaderTitleRight"/>
    </w:pPr>
    <w:r>
      <w:t>Part IV</w:t>
    </w:r>
  </w:p>
  <w:p w14:paraId="1F04AA6B" w14:textId="77777777" w:rsidR="00460C69" w:rsidRPr="00226693" w:rsidRDefault="00460C69" w:rsidP="00460C69">
    <w:pPr>
      <w:pStyle w:val="HeaderSubtitleRight"/>
    </w:pPr>
    <w:r>
      <w:t>Statistical Annex  – COUNTRY FICHES, Luxembourg</w:t>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B2BD66" w14:textId="77777777" w:rsidR="00460C69" w:rsidRDefault="00460C69" w:rsidP="00460C69">
    <w:pPr>
      <w:pStyle w:val="SectionTitle"/>
    </w:pPr>
    <w:r w:rsidRPr="00226693">
      <w:rPr>
        <w:rStyle w:val="SectionNumber"/>
      </w:rPr>
      <w:t>16.</w:t>
    </w:r>
    <w:r w:rsidRPr="00226693">
      <w:tab/>
      <w:t>Luxembourg</w:t>
    </w:r>
  </w:p>
  <w:p w14:paraId="3818EFEF" w14:textId="77777777" w:rsidR="00460C69" w:rsidRPr="00226693" w:rsidRDefault="00460C69" w:rsidP="00460C69">
    <w:pPr>
      <w:pStyle w:val="SectionSubtitle"/>
    </w:pP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D979E1" w14:textId="77777777" w:rsidR="00460C69" w:rsidRDefault="00460C69" w:rsidP="00460C69">
    <w:pPr>
      <w:pStyle w:val="HeaderTitleLeft"/>
    </w:pPr>
    <w:r>
      <w:t>European Commission</w:t>
    </w:r>
  </w:p>
  <w:p w14:paraId="662575CB" w14:textId="77777777" w:rsidR="00460C69" w:rsidRPr="00AC1C5F" w:rsidRDefault="00460C69" w:rsidP="00460C69">
    <w:pPr>
      <w:pStyle w:val="HeaderTitleLeft"/>
    </w:pPr>
    <w:r>
      <w:t>The 2018 Ageing Report: Economic and Budgetary Projections for the EU Member States (2016-2070)</w:t>
    </w: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75D392" w14:textId="77777777" w:rsidR="00460C69" w:rsidRDefault="00460C69" w:rsidP="00460C69">
    <w:pPr>
      <w:pStyle w:val="HeaderTitleRight"/>
    </w:pPr>
    <w:r>
      <w:t>Part IV</w:t>
    </w:r>
  </w:p>
  <w:p w14:paraId="1F424F13" w14:textId="77777777" w:rsidR="00460C69" w:rsidRPr="00AC1C5F" w:rsidRDefault="00460C69" w:rsidP="00460C69">
    <w:pPr>
      <w:pStyle w:val="HeaderSubtitleRight"/>
    </w:pPr>
    <w:r>
      <w:t>Statistical Annex  – COUNTRY FICHES, Hungary</w:t>
    </w: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83DBAB" w14:textId="77777777" w:rsidR="00460C69" w:rsidRDefault="00460C69" w:rsidP="00460C69">
    <w:pPr>
      <w:pStyle w:val="SectionTitle"/>
    </w:pPr>
    <w:r w:rsidRPr="00AC1C5F">
      <w:rPr>
        <w:rStyle w:val="SectionNumber"/>
      </w:rPr>
      <w:t>17.</w:t>
    </w:r>
    <w:r w:rsidRPr="00AC1C5F">
      <w:tab/>
      <w:t>Hungary</w:t>
    </w:r>
  </w:p>
  <w:p w14:paraId="698F3C35" w14:textId="77777777" w:rsidR="00460C69" w:rsidRPr="00AC1C5F" w:rsidRDefault="00460C69" w:rsidP="00460C69">
    <w:pPr>
      <w:pStyle w:val="SectionSubtitle"/>
    </w:pP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6E63FE" w14:textId="77777777" w:rsidR="00460C69" w:rsidRDefault="00460C69" w:rsidP="00460C69">
    <w:pPr>
      <w:pStyle w:val="HeaderTitleLeft"/>
    </w:pPr>
    <w:r>
      <w:t>European Commission</w:t>
    </w:r>
  </w:p>
  <w:p w14:paraId="73FEDEB6" w14:textId="77777777" w:rsidR="00460C69" w:rsidRPr="00CD0699" w:rsidRDefault="00460C69" w:rsidP="00460C69">
    <w:pPr>
      <w:pStyle w:val="HeaderTitleLeft"/>
    </w:pPr>
    <w:r>
      <w:t>The 2018 Ageing Report: Economic and Budgetary Projections for the EU Member States (2016-2070)</w:t>
    </w: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FB794B" w14:textId="77777777" w:rsidR="00460C69" w:rsidRDefault="00460C69" w:rsidP="00460C69">
    <w:pPr>
      <w:pStyle w:val="HeaderTitleRight"/>
    </w:pPr>
    <w:r>
      <w:t>Part IV</w:t>
    </w:r>
  </w:p>
  <w:p w14:paraId="3769026C" w14:textId="77777777" w:rsidR="00460C69" w:rsidRPr="00CD0699" w:rsidRDefault="00460C69" w:rsidP="00460C69">
    <w:pPr>
      <w:pStyle w:val="HeaderSubtitleRight"/>
    </w:pPr>
    <w:r>
      <w:t>Statistical Annex  – COUNTRY FICHES, Malta</w:t>
    </w: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242258" w14:textId="77777777" w:rsidR="00460C69" w:rsidRDefault="00460C69" w:rsidP="00460C69">
    <w:pPr>
      <w:pStyle w:val="SectionTitle"/>
    </w:pPr>
    <w:r w:rsidRPr="00CD0699">
      <w:rPr>
        <w:rStyle w:val="SectionNumber"/>
      </w:rPr>
      <w:t>18.</w:t>
    </w:r>
    <w:r w:rsidRPr="00CD0699">
      <w:tab/>
      <w:t>Malta</w:t>
    </w:r>
  </w:p>
  <w:p w14:paraId="05464218" w14:textId="77777777" w:rsidR="00460C69" w:rsidRPr="00CD0699" w:rsidRDefault="00460C69" w:rsidP="00460C69">
    <w:pPr>
      <w:pStyle w:val="SectionSubtitle"/>
    </w:pP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9F69F8" w14:textId="77777777" w:rsidR="00460C69" w:rsidRDefault="00460C69" w:rsidP="00460C69">
    <w:pPr>
      <w:pStyle w:val="HeaderTitleLeft"/>
    </w:pPr>
    <w:r>
      <w:t>European Commission</w:t>
    </w:r>
  </w:p>
  <w:p w14:paraId="15B0F383" w14:textId="77777777" w:rsidR="00460C69" w:rsidRPr="006B5BC7" w:rsidRDefault="00460C69" w:rsidP="00460C69">
    <w:pPr>
      <w:pStyle w:val="HeaderTitleLeft"/>
    </w:pPr>
    <w:r>
      <w:t>The 2018 Ageing Report: Economic and Budgetary Projections for the EU Member States (2016-2070)</w:t>
    </w: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5A377C" w14:textId="77777777" w:rsidR="00460C69" w:rsidRDefault="00460C69" w:rsidP="00460C69">
    <w:pPr>
      <w:pStyle w:val="HeaderTitleRight"/>
    </w:pPr>
    <w:r>
      <w:t>Part IV</w:t>
    </w:r>
  </w:p>
  <w:p w14:paraId="6C0F5FB1" w14:textId="77777777" w:rsidR="00460C69" w:rsidRPr="006B5BC7" w:rsidRDefault="00460C69" w:rsidP="00460C69">
    <w:pPr>
      <w:pStyle w:val="HeaderSubtitleRight"/>
    </w:pPr>
    <w:r>
      <w:t>Statistical Annex  – COUNTRY FICHES, The Netherlands</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AC9452" w14:textId="77777777" w:rsidR="00460C69" w:rsidRDefault="00460C69" w:rsidP="00460C69">
    <w:pPr>
      <w:pStyle w:val="ChapterName"/>
    </w:pPr>
    <w:r>
      <w:t>Part I</w:t>
    </w:r>
  </w:p>
  <w:p w14:paraId="59C2EF1F" w14:textId="77777777" w:rsidR="00460C69" w:rsidRPr="006057F5" w:rsidRDefault="00460C69" w:rsidP="00460C69">
    <w:pPr>
      <w:pStyle w:val="ChapterTitle"/>
    </w:pPr>
    <w:r>
      <w:t>Underlying demographic and macroeconomic assumptions</w:t>
    </w: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CE4FFE" w14:textId="77777777" w:rsidR="00460C69" w:rsidRDefault="00460C69" w:rsidP="00460C69">
    <w:pPr>
      <w:pStyle w:val="SectionTitle"/>
    </w:pPr>
    <w:r w:rsidRPr="006B5BC7">
      <w:rPr>
        <w:rStyle w:val="SectionNumber"/>
      </w:rPr>
      <w:t>19.</w:t>
    </w:r>
    <w:r w:rsidRPr="006B5BC7">
      <w:tab/>
      <w:t>The Netherlands</w:t>
    </w:r>
  </w:p>
  <w:p w14:paraId="23DF89C8" w14:textId="77777777" w:rsidR="00460C69" w:rsidRPr="006B5BC7" w:rsidRDefault="00460C69" w:rsidP="00460C69">
    <w:pPr>
      <w:pStyle w:val="SectionSubtitle"/>
    </w:pP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6846FD" w14:textId="77777777" w:rsidR="00460C69" w:rsidRDefault="00460C69" w:rsidP="00460C69">
    <w:pPr>
      <w:pStyle w:val="HeaderTitleLeft"/>
    </w:pPr>
    <w:r>
      <w:t>European Commission</w:t>
    </w:r>
  </w:p>
  <w:p w14:paraId="0D78483B" w14:textId="77777777" w:rsidR="00460C69" w:rsidRPr="0013103C" w:rsidRDefault="00460C69" w:rsidP="00460C69">
    <w:pPr>
      <w:pStyle w:val="HeaderTitleLeft"/>
    </w:pPr>
    <w:r>
      <w:t>The 2018 Ageing Report: Economic and Budgetary Projections for the EU Member States (2016-2070)</w:t>
    </w: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B553B2" w14:textId="77777777" w:rsidR="00460C69" w:rsidRDefault="00460C69" w:rsidP="00460C69">
    <w:pPr>
      <w:pStyle w:val="HeaderTitleRight"/>
    </w:pPr>
    <w:r>
      <w:t>Part IV</w:t>
    </w:r>
  </w:p>
  <w:p w14:paraId="4D589B12" w14:textId="77777777" w:rsidR="00460C69" w:rsidRPr="0013103C" w:rsidRDefault="00460C69" w:rsidP="00460C69">
    <w:pPr>
      <w:pStyle w:val="HeaderSubtitleRight"/>
    </w:pPr>
    <w:r>
      <w:t>Statistical Annex  – COUNTRY FICHES, Austria</w:t>
    </w: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39E4CC" w14:textId="77777777" w:rsidR="00460C69" w:rsidRDefault="00460C69" w:rsidP="00460C69">
    <w:pPr>
      <w:pStyle w:val="SectionTitle"/>
    </w:pPr>
    <w:r w:rsidRPr="0013103C">
      <w:rPr>
        <w:rStyle w:val="SectionNumber"/>
      </w:rPr>
      <w:t>20.</w:t>
    </w:r>
    <w:r w:rsidRPr="0013103C">
      <w:tab/>
      <w:t>Austria</w:t>
    </w:r>
  </w:p>
  <w:p w14:paraId="670B35D5" w14:textId="77777777" w:rsidR="00460C69" w:rsidRPr="0013103C" w:rsidRDefault="00460C69" w:rsidP="00460C69">
    <w:pPr>
      <w:pStyle w:val="SectionSubtitle"/>
    </w:pP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F9549B" w14:textId="77777777" w:rsidR="00460C69" w:rsidRDefault="00460C69" w:rsidP="00460C69">
    <w:pPr>
      <w:pStyle w:val="HeaderTitleLeft"/>
    </w:pPr>
    <w:r>
      <w:t>European Commission</w:t>
    </w:r>
  </w:p>
  <w:p w14:paraId="552F6220" w14:textId="77777777" w:rsidR="00460C69" w:rsidRPr="00FF6779" w:rsidRDefault="00460C69" w:rsidP="00460C69">
    <w:pPr>
      <w:pStyle w:val="HeaderTitleLeft"/>
    </w:pPr>
    <w:r>
      <w:t>The 2018 Ageing Report: Economic and Budgetary Projections for the EU Member States (2016-2070)</w:t>
    </w:r>
  </w:p>
</w:hdr>
</file>

<file path=word/header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0EC8C" w14:textId="77777777" w:rsidR="00460C69" w:rsidRDefault="00460C69" w:rsidP="00460C69">
    <w:pPr>
      <w:pStyle w:val="HeaderTitleRight"/>
    </w:pPr>
    <w:r>
      <w:t>Part IV</w:t>
    </w:r>
  </w:p>
  <w:p w14:paraId="17CF7A73" w14:textId="77777777" w:rsidR="00460C69" w:rsidRPr="00FF6779" w:rsidRDefault="00460C69" w:rsidP="00460C69">
    <w:pPr>
      <w:pStyle w:val="HeaderSubtitleRight"/>
    </w:pPr>
    <w:r>
      <w:t>Statistical Annex  – COUNTRY FICHES, Poland</w:t>
    </w:r>
  </w:p>
</w:hdr>
</file>

<file path=word/header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20330B" w14:textId="77777777" w:rsidR="00460C69" w:rsidRDefault="00460C69" w:rsidP="00460C69">
    <w:pPr>
      <w:pStyle w:val="SectionTitle"/>
    </w:pPr>
    <w:r w:rsidRPr="00FF6779">
      <w:rPr>
        <w:rStyle w:val="SectionNumber"/>
      </w:rPr>
      <w:t>21.</w:t>
    </w:r>
    <w:r w:rsidRPr="00FF6779">
      <w:tab/>
      <w:t>Poland</w:t>
    </w:r>
  </w:p>
  <w:p w14:paraId="0B530AE3" w14:textId="77777777" w:rsidR="00460C69" w:rsidRPr="00FF6779" w:rsidRDefault="00460C69" w:rsidP="00460C69">
    <w:pPr>
      <w:pStyle w:val="SectionSubtitle"/>
    </w:pPr>
  </w:p>
</w:hdr>
</file>

<file path=word/header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448E13" w14:textId="77777777" w:rsidR="00460C69" w:rsidRDefault="00460C69" w:rsidP="00460C69">
    <w:pPr>
      <w:pStyle w:val="HeaderTitleLeft"/>
    </w:pPr>
    <w:r>
      <w:t>European Commission</w:t>
    </w:r>
  </w:p>
  <w:p w14:paraId="480B1B7D" w14:textId="77777777" w:rsidR="00460C69" w:rsidRPr="009242C4" w:rsidRDefault="00460C69" w:rsidP="00460C69">
    <w:pPr>
      <w:pStyle w:val="HeaderTitleLeft"/>
    </w:pPr>
    <w:r>
      <w:t>The 2018 Ageing Report: Economic and Budgetary Projections for the EU Member States (2016-2070)</w:t>
    </w:r>
  </w:p>
</w:hdr>
</file>

<file path=word/header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779265" w14:textId="77777777" w:rsidR="00460C69" w:rsidRDefault="00460C69" w:rsidP="00460C69">
    <w:pPr>
      <w:pStyle w:val="HeaderTitleRight"/>
    </w:pPr>
    <w:r>
      <w:t>Part IV</w:t>
    </w:r>
  </w:p>
  <w:p w14:paraId="6237D946" w14:textId="77777777" w:rsidR="00460C69" w:rsidRPr="009242C4" w:rsidRDefault="00460C69" w:rsidP="00460C69">
    <w:pPr>
      <w:pStyle w:val="HeaderSubtitleRight"/>
    </w:pPr>
    <w:r>
      <w:t>Statistical Annex  – COUNTRY FICHES, Portugal</w:t>
    </w:r>
  </w:p>
</w:hdr>
</file>

<file path=word/header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1BF048" w14:textId="77777777" w:rsidR="00460C69" w:rsidRDefault="00460C69" w:rsidP="00460C69">
    <w:pPr>
      <w:pStyle w:val="SectionTitle"/>
    </w:pPr>
    <w:r w:rsidRPr="009242C4">
      <w:rPr>
        <w:rStyle w:val="SectionNumber"/>
      </w:rPr>
      <w:t>22.</w:t>
    </w:r>
    <w:r w:rsidRPr="009242C4">
      <w:tab/>
      <w:t>Portugal</w:t>
    </w:r>
  </w:p>
  <w:p w14:paraId="7CDDED0E" w14:textId="77777777" w:rsidR="00460C69" w:rsidRPr="009242C4" w:rsidRDefault="00460C69" w:rsidP="00460C69">
    <w:pPr>
      <w:pStyle w:val="SectionSubtitl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19510A" w14:textId="77777777" w:rsidR="00460C69" w:rsidRDefault="00460C69" w:rsidP="00460C69">
    <w:pPr>
      <w:pStyle w:val="HeaderTitleLeft"/>
    </w:pPr>
    <w:r>
      <w:t>European Commission</w:t>
    </w:r>
  </w:p>
  <w:p w14:paraId="3146C3B3" w14:textId="77777777" w:rsidR="00460C69" w:rsidRPr="00554B02" w:rsidRDefault="00460C69" w:rsidP="00460C69">
    <w:pPr>
      <w:pStyle w:val="HeaderSubtitleLeft"/>
    </w:pPr>
    <w:r>
      <w:t>The 2018 Ageing Report: Economic and Budgetary Projections for the EU Member States (2016-2070)</w:t>
    </w:r>
  </w:p>
</w:hdr>
</file>

<file path=word/header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A11D01" w14:textId="77777777" w:rsidR="00460C69" w:rsidRDefault="00460C69" w:rsidP="00460C69">
    <w:pPr>
      <w:pStyle w:val="HeaderTitleLeft"/>
    </w:pPr>
    <w:r>
      <w:t>European Commission</w:t>
    </w:r>
  </w:p>
  <w:p w14:paraId="2CE28D1A" w14:textId="77777777" w:rsidR="00460C69" w:rsidRPr="00BB4682" w:rsidRDefault="00460C69" w:rsidP="00460C69">
    <w:pPr>
      <w:pStyle w:val="HeaderTitleLeft"/>
    </w:pPr>
    <w:r>
      <w:t>The 2018 Ageing Report: Economic and Budgetary Projections for the EU Member States (2016-2070)</w:t>
    </w:r>
  </w:p>
</w:hdr>
</file>

<file path=word/header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72D05" w14:textId="77777777" w:rsidR="00460C69" w:rsidRDefault="00460C69" w:rsidP="00460C69">
    <w:pPr>
      <w:pStyle w:val="HeaderTitleRight"/>
    </w:pPr>
    <w:r>
      <w:t>Part IV</w:t>
    </w:r>
  </w:p>
  <w:p w14:paraId="6326D428" w14:textId="77777777" w:rsidR="00460C69" w:rsidRPr="00BB4682" w:rsidRDefault="00460C69" w:rsidP="00460C69">
    <w:pPr>
      <w:pStyle w:val="HeaderSubtitleRight"/>
    </w:pPr>
    <w:r>
      <w:t>Statistical Annex  – COUNTRY FICHES, Romania</w:t>
    </w:r>
  </w:p>
</w:hdr>
</file>

<file path=word/header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9E9FBC" w14:textId="77777777" w:rsidR="00460C69" w:rsidRDefault="00460C69" w:rsidP="00460C69">
    <w:pPr>
      <w:pStyle w:val="SectionTitle"/>
    </w:pPr>
    <w:r w:rsidRPr="00BB4682">
      <w:rPr>
        <w:rStyle w:val="SectionNumber"/>
      </w:rPr>
      <w:t>23.</w:t>
    </w:r>
    <w:r w:rsidRPr="00BB4682">
      <w:tab/>
      <w:t>Romania</w:t>
    </w:r>
  </w:p>
  <w:p w14:paraId="5162BE1F" w14:textId="77777777" w:rsidR="00460C69" w:rsidRPr="00BB4682" w:rsidRDefault="00460C69" w:rsidP="00460C69">
    <w:pPr>
      <w:pStyle w:val="SectionSubtitle"/>
    </w:pPr>
  </w:p>
</w:hdr>
</file>

<file path=word/header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977329" w14:textId="77777777" w:rsidR="00460C69" w:rsidRDefault="00460C69" w:rsidP="00460C69">
    <w:pPr>
      <w:pStyle w:val="HeaderTitleLeft"/>
    </w:pPr>
    <w:r>
      <w:t>European Commission</w:t>
    </w:r>
  </w:p>
  <w:p w14:paraId="1829C5F6" w14:textId="77777777" w:rsidR="00460C69" w:rsidRPr="00877385" w:rsidRDefault="00460C69" w:rsidP="00460C69">
    <w:pPr>
      <w:pStyle w:val="HeaderTitleLeft"/>
    </w:pPr>
    <w:r>
      <w:t>The 2018 Ageing Report: Economic and Budgetary Projections for the EU Member States (2016-2070)</w:t>
    </w:r>
  </w:p>
</w:hdr>
</file>

<file path=word/header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6BA35F" w14:textId="77777777" w:rsidR="00460C69" w:rsidRDefault="00460C69" w:rsidP="00460C69">
    <w:pPr>
      <w:pStyle w:val="HeaderTitleRight"/>
    </w:pPr>
    <w:r>
      <w:t>Part IV</w:t>
    </w:r>
  </w:p>
  <w:p w14:paraId="2D673227" w14:textId="77777777" w:rsidR="00460C69" w:rsidRPr="00877385" w:rsidRDefault="00460C69" w:rsidP="00460C69">
    <w:pPr>
      <w:pStyle w:val="HeaderSubtitleRight"/>
    </w:pPr>
    <w:r>
      <w:t>Statistical Annex  – COUNTRY FICHES, Slovenia</w:t>
    </w:r>
  </w:p>
</w:hdr>
</file>

<file path=word/header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A3074D" w14:textId="77777777" w:rsidR="00460C69" w:rsidRDefault="00460C69" w:rsidP="00460C69">
    <w:pPr>
      <w:pStyle w:val="SectionTitle"/>
    </w:pPr>
    <w:r w:rsidRPr="00877385">
      <w:rPr>
        <w:rStyle w:val="SectionNumber"/>
      </w:rPr>
      <w:t>24.</w:t>
    </w:r>
    <w:r w:rsidRPr="00877385">
      <w:tab/>
      <w:t>Slovenia</w:t>
    </w:r>
  </w:p>
  <w:p w14:paraId="2D5BF93A" w14:textId="77777777" w:rsidR="00460C69" w:rsidRPr="00877385" w:rsidRDefault="00460C69" w:rsidP="00460C69">
    <w:pPr>
      <w:pStyle w:val="SectionSubtitle"/>
    </w:pPr>
  </w:p>
</w:hdr>
</file>

<file path=word/header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03AE2B" w14:textId="77777777" w:rsidR="00460C69" w:rsidRDefault="00460C69" w:rsidP="00460C69">
    <w:pPr>
      <w:pStyle w:val="HeaderTitleLeft"/>
    </w:pPr>
    <w:r>
      <w:t>European Commission</w:t>
    </w:r>
  </w:p>
  <w:p w14:paraId="713D9FBA" w14:textId="77777777" w:rsidR="00460C69" w:rsidRPr="00523189" w:rsidRDefault="00460C69" w:rsidP="00460C69">
    <w:pPr>
      <w:pStyle w:val="HeaderTitleLeft"/>
    </w:pPr>
    <w:r>
      <w:t>The 2018 Ageing Report: Economic and Budgetary Projections for the EU Member States (2016-2070)</w:t>
    </w:r>
  </w:p>
</w:hdr>
</file>

<file path=word/header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DC6C81" w14:textId="77777777" w:rsidR="00460C69" w:rsidRDefault="00460C69" w:rsidP="00460C69">
    <w:pPr>
      <w:pStyle w:val="HeaderTitleRight"/>
    </w:pPr>
    <w:r>
      <w:t>Part IV</w:t>
    </w:r>
  </w:p>
  <w:p w14:paraId="0A3B4491" w14:textId="77777777" w:rsidR="00460C69" w:rsidRPr="00523189" w:rsidRDefault="00460C69" w:rsidP="00460C69">
    <w:pPr>
      <w:pStyle w:val="HeaderSubtitleRight"/>
    </w:pPr>
    <w:r>
      <w:t>Statistical Annex  – COUNTRY FICHES, Slovakia</w:t>
    </w:r>
  </w:p>
</w:hdr>
</file>

<file path=word/header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4FD888" w14:textId="77777777" w:rsidR="00460C69" w:rsidRDefault="00460C69" w:rsidP="00460C69">
    <w:pPr>
      <w:pStyle w:val="SectionTitle"/>
    </w:pPr>
    <w:r w:rsidRPr="00523189">
      <w:rPr>
        <w:rStyle w:val="SectionNumber"/>
      </w:rPr>
      <w:t>25.</w:t>
    </w:r>
    <w:r w:rsidRPr="00523189">
      <w:tab/>
      <w:t>Slovakia</w:t>
    </w:r>
  </w:p>
  <w:p w14:paraId="5932C0BB" w14:textId="77777777" w:rsidR="00460C69" w:rsidRPr="00523189" w:rsidRDefault="00460C69" w:rsidP="00460C69">
    <w:pPr>
      <w:pStyle w:val="SectionSubtitle"/>
    </w:pPr>
  </w:p>
</w:hdr>
</file>

<file path=word/header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480CDB" w14:textId="77777777" w:rsidR="00460C69" w:rsidRDefault="00460C69" w:rsidP="00460C69">
    <w:pPr>
      <w:pStyle w:val="HeaderTitleLeft"/>
    </w:pPr>
    <w:r>
      <w:t>European Commission</w:t>
    </w:r>
  </w:p>
  <w:p w14:paraId="3A22182F" w14:textId="77777777" w:rsidR="00460C69" w:rsidRPr="00607B4C" w:rsidRDefault="00460C69" w:rsidP="00460C69">
    <w:pPr>
      <w:pStyle w:val="HeaderTitleLeft"/>
    </w:pPr>
    <w:r>
      <w:t>The 2018 Ageing Report: Economic and Budgetary Projections for the EU Member States (2016-2070)</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0768EC" w14:textId="77777777" w:rsidR="00460C69" w:rsidRDefault="00460C69" w:rsidP="00460C69">
    <w:pPr>
      <w:pStyle w:val="HeaderTitleRight"/>
    </w:pPr>
    <w:r>
      <w:t>Part I</w:t>
    </w:r>
  </w:p>
  <w:p w14:paraId="5F510C76" w14:textId="77777777" w:rsidR="00460C69" w:rsidRPr="00554B02" w:rsidRDefault="00460C69" w:rsidP="00460C69">
    <w:pPr>
      <w:pStyle w:val="HeaderSubtitleRight"/>
    </w:pPr>
    <w:r>
      <w:t>Underlying demographic and macroeconomic assumptions</w:t>
    </w:r>
  </w:p>
</w:hdr>
</file>

<file path=word/header1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BC3157" w14:textId="77777777" w:rsidR="00460C69" w:rsidRDefault="00460C69" w:rsidP="00460C69">
    <w:pPr>
      <w:pStyle w:val="HeaderTitleRight"/>
    </w:pPr>
    <w:r>
      <w:t>Part IV</w:t>
    </w:r>
  </w:p>
  <w:p w14:paraId="40BDA7E7" w14:textId="77777777" w:rsidR="00460C69" w:rsidRPr="00607B4C" w:rsidRDefault="00460C69" w:rsidP="00460C69">
    <w:pPr>
      <w:pStyle w:val="HeaderSubtitleRight"/>
    </w:pPr>
    <w:r>
      <w:t>Statistical Annex  – COUNTRY FICHES, Finland</w:t>
    </w:r>
  </w:p>
</w:hdr>
</file>

<file path=word/header1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BC45E9" w14:textId="77777777" w:rsidR="00460C69" w:rsidRDefault="00460C69" w:rsidP="00460C69">
    <w:pPr>
      <w:pStyle w:val="SectionTitle"/>
    </w:pPr>
    <w:r w:rsidRPr="00607B4C">
      <w:rPr>
        <w:rStyle w:val="SectionNumber"/>
      </w:rPr>
      <w:t>26.</w:t>
    </w:r>
    <w:r w:rsidRPr="00607B4C">
      <w:tab/>
      <w:t>Finland</w:t>
    </w:r>
  </w:p>
  <w:p w14:paraId="50D2A3F5" w14:textId="77777777" w:rsidR="00460C69" w:rsidRPr="00607B4C" w:rsidRDefault="00460C69" w:rsidP="00460C69">
    <w:pPr>
      <w:pStyle w:val="SectionSubtitle"/>
    </w:pPr>
  </w:p>
</w:hdr>
</file>

<file path=word/header1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8FE7A5" w14:textId="77777777" w:rsidR="00460C69" w:rsidRDefault="00460C69" w:rsidP="00460C69">
    <w:pPr>
      <w:pStyle w:val="HeaderTitleLeft"/>
    </w:pPr>
    <w:r>
      <w:t>European Commission</w:t>
    </w:r>
  </w:p>
  <w:p w14:paraId="4AB67B42" w14:textId="77777777" w:rsidR="00460C69" w:rsidRPr="00B92E92" w:rsidRDefault="00460C69" w:rsidP="00460C69">
    <w:pPr>
      <w:pStyle w:val="HeaderTitleLeft"/>
    </w:pPr>
    <w:r>
      <w:t>The 2018 Ageing Report: Economic and Budgetary Projections for the EU Member States (2016-2070)</w:t>
    </w:r>
  </w:p>
</w:hdr>
</file>

<file path=word/header1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024F0A" w14:textId="77777777" w:rsidR="00460C69" w:rsidRDefault="00460C69" w:rsidP="00460C69">
    <w:pPr>
      <w:pStyle w:val="HeaderTitleRight"/>
    </w:pPr>
    <w:r>
      <w:t>Part IV</w:t>
    </w:r>
  </w:p>
  <w:p w14:paraId="229F3BFA" w14:textId="77777777" w:rsidR="00460C69" w:rsidRPr="00B92E92" w:rsidRDefault="00460C69" w:rsidP="00460C69">
    <w:pPr>
      <w:pStyle w:val="HeaderSubtitleRight"/>
    </w:pPr>
    <w:r>
      <w:t>Statistical Annex  – COUNTRY FICHES, Sweden</w:t>
    </w:r>
  </w:p>
</w:hdr>
</file>

<file path=word/header1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0FE728" w14:textId="77777777" w:rsidR="00460C69" w:rsidRDefault="00460C69" w:rsidP="00460C69">
    <w:pPr>
      <w:pStyle w:val="SectionTitle"/>
    </w:pPr>
    <w:r w:rsidRPr="00B92E92">
      <w:rPr>
        <w:rStyle w:val="SectionNumber"/>
      </w:rPr>
      <w:t>27.</w:t>
    </w:r>
    <w:r w:rsidRPr="00B92E92">
      <w:tab/>
      <w:t>Sweden</w:t>
    </w:r>
  </w:p>
  <w:p w14:paraId="4423DF2B" w14:textId="77777777" w:rsidR="00460C69" w:rsidRPr="00B92E92" w:rsidRDefault="00460C69" w:rsidP="00460C69">
    <w:pPr>
      <w:pStyle w:val="SectionSubtitle"/>
    </w:pPr>
  </w:p>
</w:hdr>
</file>

<file path=word/header1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F83CFC" w14:textId="77777777" w:rsidR="00460C69" w:rsidRDefault="00460C69" w:rsidP="00460C69">
    <w:pPr>
      <w:pStyle w:val="HeaderTitleLeft"/>
    </w:pPr>
    <w:r>
      <w:t>European Commission</w:t>
    </w:r>
  </w:p>
  <w:p w14:paraId="06484BA5" w14:textId="77777777" w:rsidR="00460C69" w:rsidRPr="007F6431" w:rsidRDefault="00460C69" w:rsidP="00460C69">
    <w:pPr>
      <w:pStyle w:val="HeaderTitleLeft"/>
    </w:pPr>
    <w:r>
      <w:t>The 2018 Ageing Report: Economic and Budgetary Projections for the EU Member States (2016-2070)</w:t>
    </w:r>
  </w:p>
</w:hdr>
</file>

<file path=word/header1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282C03" w14:textId="77777777" w:rsidR="00460C69" w:rsidRDefault="00460C69" w:rsidP="00460C69">
    <w:pPr>
      <w:pStyle w:val="HeaderTitleRight"/>
    </w:pPr>
    <w:r>
      <w:t>Part IV</w:t>
    </w:r>
  </w:p>
  <w:p w14:paraId="6B2D4208" w14:textId="77777777" w:rsidR="00460C69" w:rsidRPr="007F6431" w:rsidRDefault="00460C69" w:rsidP="00460C69">
    <w:pPr>
      <w:pStyle w:val="HeaderSubtitleRight"/>
    </w:pPr>
    <w:r>
      <w:t>Statistical Annex  – COUNTRY FICHES, United Kingdom</w:t>
    </w:r>
  </w:p>
</w:hdr>
</file>

<file path=word/header1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935D03" w14:textId="77777777" w:rsidR="00460C69" w:rsidRDefault="00460C69" w:rsidP="00460C69">
    <w:pPr>
      <w:pStyle w:val="SectionTitle"/>
    </w:pPr>
    <w:r w:rsidRPr="007F6431">
      <w:rPr>
        <w:rStyle w:val="SectionNumber"/>
      </w:rPr>
      <w:t>28.</w:t>
    </w:r>
    <w:r w:rsidRPr="007F6431">
      <w:tab/>
      <w:t>United Kingdom</w:t>
    </w:r>
  </w:p>
  <w:p w14:paraId="6C641EFE" w14:textId="77777777" w:rsidR="00460C69" w:rsidRPr="007F6431" w:rsidRDefault="00460C69" w:rsidP="00460C69">
    <w:pPr>
      <w:pStyle w:val="SectionSubtitle"/>
    </w:pPr>
  </w:p>
</w:hdr>
</file>

<file path=word/header1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8ABA0A" w14:textId="77777777" w:rsidR="00460C69" w:rsidRDefault="00460C69" w:rsidP="00460C69">
    <w:pPr>
      <w:pStyle w:val="HeaderTitleLeft"/>
    </w:pPr>
    <w:r>
      <w:t>European Commission</w:t>
    </w:r>
  </w:p>
  <w:p w14:paraId="300FEA46" w14:textId="77777777" w:rsidR="00460C69" w:rsidRPr="00C96B2B" w:rsidRDefault="00460C69" w:rsidP="00460C69">
    <w:pPr>
      <w:pStyle w:val="HeaderTitleLeft"/>
    </w:pPr>
    <w:r>
      <w:t>The 2018 Ageing Report: Economic and Budgetary Projections for the EU Member States (2016-2070)</w:t>
    </w:r>
  </w:p>
</w:hdr>
</file>

<file path=word/header1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0D25A0" w14:textId="77777777" w:rsidR="00460C69" w:rsidRDefault="00460C69" w:rsidP="00460C69">
    <w:pPr>
      <w:pStyle w:val="HeaderTitleRight"/>
    </w:pPr>
    <w:r>
      <w:t>Part IV</w:t>
    </w:r>
  </w:p>
  <w:p w14:paraId="426959CB" w14:textId="77777777" w:rsidR="00460C69" w:rsidRPr="00C96B2B" w:rsidRDefault="00460C69" w:rsidP="00460C69">
    <w:pPr>
      <w:pStyle w:val="HeaderSubtitleRight"/>
    </w:pPr>
    <w:r>
      <w:t>Statistical Annex  – COUNTRY FICHES, Norway</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D056CA" w14:textId="77777777" w:rsidR="00460C69" w:rsidRPr="00554B02" w:rsidRDefault="00460C69" w:rsidP="00460C69">
    <w:pPr>
      <w:pStyle w:val="SectionTitle"/>
    </w:pPr>
    <w:r w:rsidRPr="00554B02">
      <w:rPr>
        <w:rStyle w:val="SectionNumber"/>
      </w:rPr>
      <w:t>1.</w:t>
    </w:r>
    <w:r w:rsidRPr="00554B02">
      <w:tab/>
      <w:t>Demographic assumptions</w:t>
    </w:r>
  </w:p>
</w:hdr>
</file>

<file path=word/header1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3FC47C" w14:textId="77777777" w:rsidR="00460C69" w:rsidRDefault="00460C69" w:rsidP="00460C69">
    <w:pPr>
      <w:pStyle w:val="SectionTitle"/>
    </w:pPr>
    <w:r w:rsidRPr="00C96B2B">
      <w:rPr>
        <w:rStyle w:val="SectionNumber"/>
      </w:rPr>
      <w:t>29.</w:t>
    </w:r>
    <w:r w:rsidRPr="00C96B2B">
      <w:tab/>
      <w:t>Norway</w:t>
    </w:r>
  </w:p>
  <w:p w14:paraId="54619B3E" w14:textId="77777777" w:rsidR="00460C69" w:rsidRPr="00C96B2B" w:rsidRDefault="00460C69" w:rsidP="00460C69">
    <w:pPr>
      <w:pStyle w:val="SectionSubtitle"/>
    </w:pPr>
  </w:p>
</w:hdr>
</file>

<file path=word/header1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E9CCB4" w14:textId="77777777" w:rsidR="00460C69" w:rsidRDefault="00460C69" w:rsidP="00460C69">
    <w:pPr>
      <w:pStyle w:val="HeaderTitleLeft"/>
    </w:pPr>
    <w:r>
      <w:t>European Commission</w:t>
    </w:r>
  </w:p>
  <w:p w14:paraId="375ED0A9" w14:textId="77777777" w:rsidR="00460C69" w:rsidRPr="0059383F" w:rsidRDefault="00460C69" w:rsidP="00460C69">
    <w:pPr>
      <w:pStyle w:val="HeaderTitleLeft"/>
    </w:pPr>
    <w:r>
      <w:t>The 2018 Ageing Report: Economic and Budgetary Projections for the EU Member States (2016-2070)</w:t>
    </w:r>
  </w:p>
</w:hdr>
</file>

<file path=word/header1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C92DCF" w14:textId="77777777" w:rsidR="00460C69" w:rsidRDefault="00460C69" w:rsidP="00460C69">
    <w:pPr>
      <w:pStyle w:val="HeaderTitleRight"/>
    </w:pPr>
    <w:r>
      <w:t>Part IV</w:t>
    </w:r>
  </w:p>
  <w:p w14:paraId="45EF2D06" w14:textId="77777777" w:rsidR="00460C69" w:rsidRPr="0059383F" w:rsidRDefault="00460C69" w:rsidP="00460C69">
    <w:pPr>
      <w:pStyle w:val="HeaderSubtitleRight"/>
    </w:pPr>
    <w:r>
      <w:t>Statistical Annex  – COUNTRY FICHES, Euro Area</w:t>
    </w:r>
  </w:p>
</w:hdr>
</file>

<file path=word/header1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E77E6E" w14:textId="77777777" w:rsidR="00460C69" w:rsidRDefault="00460C69" w:rsidP="00460C69">
    <w:pPr>
      <w:pStyle w:val="SectionTitle"/>
    </w:pPr>
    <w:r w:rsidRPr="0059383F">
      <w:rPr>
        <w:rStyle w:val="SectionNumber"/>
      </w:rPr>
      <w:t>30.</w:t>
    </w:r>
    <w:r w:rsidRPr="0059383F">
      <w:tab/>
      <w:t>Euro Area</w:t>
    </w:r>
  </w:p>
  <w:p w14:paraId="6FEA37AC" w14:textId="77777777" w:rsidR="00460C69" w:rsidRPr="0059383F" w:rsidRDefault="00460C69" w:rsidP="00460C69">
    <w:pPr>
      <w:pStyle w:val="SectionSubtitle"/>
    </w:pPr>
  </w:p>
</w:hdr>
</file>

<file path=word/header1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5E9E8F" w14:textId="77777777" w:rsidR="00460C69" w:rsidRDefault="00460C69" w:rsidP="00460C69">
    <w:pPr>
      <w:pStyle w:val="HeaderTitleLeft"/>
    </w:pPr>
    <w:r>
      <w:t>European Commission</w:t>
    </w:r>
  </w:p>
  <w:p w14:paraId="46F5A300" w14:textId="77777777" w:rsidR="00460C69" w:rsidRPr="00435ACE" w:rsidRDefault="00460C69" w:rsidP="00460C69">
    <w:pPr>
      <w:pStyle w:val="HeaderTitleLeft"/>
    </w:pPr>
    <w:r>
      <w:t>The 2018 Ageing Report: Economic and Budgetary Projections for the EU Member States (2016-2070)</w:t>
    </w:r>
  </w:p>
</w:hdr>
</file>

<file path=word/header1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229239" w14:textId="77777777" w:rsidR="00460C69" w:rsidRDefault="00460C69" w:rsidP="00460C69">
    <w:pPr>
      <w:pStyle w:val="HeaderTitleRight"/>
    </w:pPr>
    <w:r>
      <w:t>Part IV</w:t>
    </w:r>
  </w:p>
  <w:p w14:paraId="0350535A" w14:textId="77777777" w:rsidR="00460C69" w:rsidRPr="00435ACE" w:rsidRDefault="00460C69" w:rsidP="00460C69">
    <w:pPr>
      <w:pStyle w:val="HeaderSubtitleRight"/>
    </w:pPr>
    <w:r>
      <w:t>Statistical Annex  – COUNTRY FICHES, European Union 27</w:t>
    </w:r>
  </w:p>
</w:hdr>
</file>

<file path=word/header1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796898" w14:textId="77777777" w:rsidR="00460C69" w:rsidRDefault="00460C69" w:rsidP="00460C69">
    <w:pPr>
      <w:pStyle w:val="SectionTitle"/>
    </w:pPr>
    <w:r w:rsidRPr="00435ACE">
      <w:rPr>
        <w:rStyle w:val="SectionNumber"/>
      </w:rPr>
      <w:t>31.</w:t>
    </w:r>
    <w:r w:rsidRPr="00435ACE">
      <w:tab/>
      <w:t>European Union 27</w:t>
    </w:r>
  </w:p>
  <w:p w14:paraId="48AE68E8" w14:textId="77777777" w:rsidR="00460C69" w:rsidRPr="00435ACE" w:rsidRDefault="00460C69" w:rsidP="00460C69">
    <w:pPr>
      <w:pStyle w:val="SectionSubtitle"/>
    </w:pPr>
  </w:p>
</w:hdr>
</file>

<file path=word/header1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6575D1" w14:textId="77777777" w:rsidR="00460C69" w:rsidRDefault="00460C69" w:rsidP="00460C69">
    <w:pPr>
      <w:pStyle w:val="HeaderTitleLeft"/>
    </w:pPr>
    <w:r>
      <w:t>European Commission</w:t>
    </w:r>
  </w:p>
  <w:p w14:paraId="6965CE2E" w14:textId="77777777" w:rsidR="00460C69" w:rsidRPr="0099106D" w:rsidRDefault="00460C69" w:rsidP="00460C69">
    <w:pPr>
      <w:pStyle w:val="HeaderTitleLeft"/>
    </w:pPr>
    <w:r>
      <w:t>The 2018 Ageing Report: Economic and Budgetary Projections for the EU Member States (2016-2070)</w:t>
    </w:r>
  </w:p>
</w:hdr>
</file>

<file path=word/header1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1E6201" w14:textId="77777777" w:rsidR="00460C69" w:rsidRDefault="00460C69" w:rsidP="00460C69">
    <w:pPr>
      <w:pStyle w:val="HeaderTitleRight"/>
    </w:pPr>
    <w:r>
      <w:t>Part IV</w:t>
    </w:r>
  </w:p>
  <w:p w14:paraId="28A275DD" w14:textId="77777777" w:rsidR="00460C69" w:rsidRPr="0099106D" w:rsidRDefault="00460C69" w:rsidP="00460C69">
    <w:pPr>
      <w:pStyle w:val="HeaderSubtitleRight"/>
    </w:pPr>
    <w:r>
      <w:t>Statistical Annex  – COUNTRY FICHES, European Union*</w:t>
    </w:r>
  </w:p>
</w:hdr>
</file>

<file path=word/header1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B7B755" w14:textId="77777777" w:rsidR="00460C69" w:rsidRDefault="00460C69" w:rsidP="00460C69">
    <w:pPr>
      <w:pStyle w:val="SectionTitle"/>
    </w:pPr>
    <w:r w:rsidRPr="0099106D">
      <w:rPr>
        <w:rStyle w:val="SectionNumber"/>
      </w:rPr>
      <w:t>32.</w:t>
    </w:r>
    <w:r w:rsidRPr="0099106D">
      <w:tab/>
      <w:t>European Union*</w:t>
    </w:r>
  </w:p>
  <w:p w14:paraId="5701171D" w14:textId="77777777" w:rsidR="00460C69" w:rsidRPr="0099106D" w:rsidRDefault="00460C69" w:rsidP="00460C69">
    <w:pPr>
      <w:pStyle w:val="SectionSubtitle"/>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53BAB2" w14:textId="77777777" w:rsidR="00460C69" w:rsidRDefault="00460C69" w:rsidP="00460C69">
    <w:pPr>
      <w:pStyle w:val="HeaderTitleLeft"/>
    </w:pPr>
    <w:r>
      <w:t>European Commission</w:t>
    </w:r>
  </w:p>
  <w:p w14:paraId="582E332D" w14:textId="77777777" w:rsidR="00460C69" w:rsidRPr="007018A7" w:rsidRDefault="00460C69" w:rsidP="00460C69">
    <w:pPr>
      <w:pStyle w:val="HeaderSubtitleLeft"/>
    </w:pPr>
    <w:r>
      <w:t>The 2018 Ageing Report: Economic and Budgetary Projections for the EU Member States (2016-2070)</w:t>
    </w:r>
  </w:p>
</w:hdr>
</file>

<file path=word/header1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2F4D9D" w14:textId="77777777" w:rsidR="00460C69" w:rsidRPr="004D5E59" w:rsidRDefault="00460C69" w:rsidP="00460C69">
    <w:pPr>
      <w:pStyle w:val="Zaglavlje"/>
    </w:pPr>
  </w:p>
</w:hdr>
</file>

<file path=word/header1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E70BF7" w14:textId="77777777" w:rsidR="00460C69" w:rsidRPr="004D5E59" w:rsidRDefault="00460C69" w:rsidP="00460C69">
    <w:pPr>
      <w:pStyle w:val="Zaglavlje"/>
    </w:pPr>
  </w:p>
</w:hdr>
</file>

<file path=word/header1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1AA69F" w14:textId="77777777" w:rsidR="00460C69" w:rsidRDefault="00460C69" w:rsidP="00460C69">
    <w:pPr>
      <w:pStyle w:val="ChapterName"/>
    </w:pPr>
    <w:r>
      <w:t>Part V</w:t>
    </w:r>
  </w:p>
  <w:p w14:paraId="1D770D70" w14:textId="77777777" w:rsidR="00460C69" w:rsidRPr="004D5E59" w:rsidRDefault="00460C69" w:rsidP="00460C69">
    <w:pPr>
      <w:pStyle w:val="ChapterTitle"/>
    </w:pPr>
    <w:r>
      <w:t>Resources</w:t>
    </w:r>
  </w:p>
</w:hdr>
</file>

<file path=word/header1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16D644" w14:textId="77777777" w:rsidR="00460C69" w:rsidRDefault="00460C69" w:rsidP="00460C69">
    <w:pPr>
      <w:pStyle w:val="HeaderTitleLeft"/>
    </w:pPr>
    <w:r>
      <w:t>European Commission</w:t>
    </w:r>
  </w:p>
  <w:p w14:paraId="6726E5E9" w14:textId="77777777" w:rsidR="00460C69" w:rsidRPr="00B14DE0" w:rsidRDefault="00460C69" w:rsidP="00460C69">
    <w:pPr>
      <w:pStyle w:val="HeaderSubtitleLeft"/>
    </w:pPr>
    <w:r>
      <w:t>The 2018 Ageing Report: Economic and Budgetary Projections for the EU Member States (2016-2070)</w:t>
    </w:r>
  </w:p>
</w:hdr>
</file>

<file path=word/header1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DDC627" w14:textId="77777777" w:rsidR="00460C69" w:rsidRDefault="00460C69" w:rsidP="00460C69">
    <w:pPr>
      <w:pStyle w:val="HeaderTitleRight"/>
    </w:pPr>
    <w:r>
      <w:t>Part V</w:t>
    </w:r>
  </w:p>
  <w:p w14:paraId="02078DCE" w14:textId="77777777" w:rsidR="00460C69" w:rsidRPr="00B14DE0" w:rsidRDefault="00460C69" w:rsidP="00460C69">
    <w:pPr>
      <w:pStyle w:val="HeaderSubtitleRight"/>
    </w:pPr>
    <w:r>
      <w:t>Resources</w:t>
    </w:r>
  </w:p>
</w:hdr>
</file>

<file path=word/header1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647411" w14:textId="77777777" w:rsidR="00460C69" w:rsidRPr="00B14DE0" w:rsidRDefault="00460C69" w:rsidP="00460C69">
    <w:pPr>
      <w:pStyle w:val="SectionTitle"/>
    </w:pPr>
    <w:r w:rsidRPr="00B14DE0">
      <w:rPr>
        <w:rStyle w:val="SectionNumber"/>
      </w:rPr>
      <w:t>1.</w:t>
    </w:r>
    <w:r w:rsidRPr="00B14DE0">
      <w:tab/>
      <w:t>Abbreviations and symbols used</w:t>
    </w:r>
  </w:p>
</w:hdr>
</file>

<file path=word/header1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8A52D9" w14:textId="77777777" w:rsidR="00460C69" w:rsidRDefault="00460C69" w:rsidP="00FB1300">
    <w:pPr>
      <w:pStyle w:val="HeaderTitleLeft"/>
    </w:pPr>
    <w:r>
      <w:t>European Commission</w:t>
    </w:r>
  </w:p>
  <w:p w14:paraId="5498FB90" w14:textId="77777777" w:rsidR="00460C69" w:rsidRPr="00FB1300" w:rsidRDefault="00460C69" w:rsidP="00FB1300">
    <w:pPr>
      <w:pStyle w:val="HeaderSubtitleLeft"/>
    </w:pPr>
    <w:r>
      <w:t>The 2018 Ageing Report: Economic and Budgetary Projections for the EU Member States (2016-2070)</w:t>
    </w:r>
  </w:p>
</w:hdr>
</file>

<file path=word/header1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DB75BE" w14:textId="77777777" w:rsidR="00460C69" w:rsidRDefault="00460C69" w:rsidP="00FB1300">
    <w:pPr>
      <w:pStyle w:val="HeaderTitleRight"/>
    </w:pPr>
    <w:r>
      <w:t>Part V</w:t>
    </w:r>
  </w:p>
  <w:p w14:paraId="7940CCE4" w14:textId="77777777" w:rsidR="00460C69" w:rsidRPr="00FB1300" w:rsidRDefault="00460C69" w:rsidP="00FB1300">
    <w:pPr>
      <w:pStyle w:val="HeaderSubtitleRight"/>
    </w:pPr>
    <w:r>
      <w:t>Resources</w:t>
    </w:r>
  </w:p>
</w:hdr>
</file>

<file path=word/header1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BCBF5E" w14:textId="77777777" w:rsidR="00460C69" w:rsidRPr="00FB1300" w:rsidRDefault="00460C69" w:rsidP="00FB1300">
    <w:pPr>
      <w:pStyle w:val="SectionTitle"/>
    </w:pPr>
    <w:r w:rsidRPr="00FB1300">
      <w:rPr>
        <w:rStyle w:val="SectionNumber"/>
      </w:rPr>
      <w:t>2.</w:t>
    </w:r>
    <w:r w:rsidRPr="00FB1300">
      <w:tab/>
      <w:t>References</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47483C" w14:textId="77777777" w:rsidR="00460C69" w:rsidRDefault="00460C69" w:rsidP="00460C69">
    <w:pPr>
      <w:pStyle w:val="HeaderTitleRight"/>
    </w:pPr>
    <w:r>
      <w:t>Part I</w:t>
    </w:r>
  </w:p>
  <w:p w14:paraId="66AB0661" w14:textId="77777777" w:rsidR="00460C69" w:rsidRPr="007018A7" w:rsidRDefault="00460C69" w:rsidP="00460C69">
    <w:pPr>
      <w:pStyle w:val="HeaderSubtitleRight"/>
    </w:pPr>
    <w:r>
      <w:t>Underlying demographic and macroeconomic assumptions</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E72BF1" w14:textId="77777777" w:rsidR="00460C69" w:rsidRPr="007018A7" w:rsidRDefault="00460C69" w:rsidP="00460C69">
    <w:pPr>
      <w:pStyle w:val="SectionTitle"/>
    </w:pPr>
    <w:r w:rsidRPr="007018A7">
      <w:rPr>
        <w:rStyle w:val="SectionNumber"/>
      </w:rPr>
      <w:t>2.</w:t>
    </w:r>
    <w:r w:rsidRPr="007018A7">
      <w:tab/>
      <w:t>Macroeconomic assumptions</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16BC29" w14:textId="77777777" w:rsidR="00460C69" w:rsidRDefault="00460C69" w:rsidP="00460C69">
    <w:pPr>
      <w:pStyle w:val="HeaderTitleLeft"/>
    </w:pPr>
    <w:r>
      <w:t>European Commission</w:t>
    </w:r>
  </w:p>
  <w:p w14:paraId="483D2964" w14:textId="77777777" w:rsidR="00460C69" w:rsidRPr="00425E1F" w:rsidRDefault="00460C69" w:rsidP="00460C69">
    <w:pPr>
      <w:pStyle w:val="HeaderSubtitleLeft"/>
    </w:pPr>
    <w:r>
      <w:t>The 2018 Ageing Report: Economic and Budgetary Projections for the EU Member States (2016-2070)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409931" w14:textId="77777777" w:rsidR="00460C69" w:rsidRPr="0025266B" w:rsidRDefault="00460C69" w:rsidP="00460C69">
    <w:pPr>
      <w:pStyle w:val="Zaglavlje"/>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FEF524" w14:textId="77777777" w:rsidR="00460C69" w:rsidRDefault="00460C69" w:rsidP="00460C69">
    <w:pPr>
      <w:pStyle w:val="HeaderTitleRight"/>
    </w:pPr>
    <w:r>
      <w:t>Part I</w:t>
    </w:r>
  </w:p>
  <w:p w14:paraId="4F0F270A" w14:textId="77777777" w:rsidR="00460C69" w:rsidRPr="00425E1F" w:rsidRDefault="00460C69" w:rsidP="00460C69">
    <w:pPr>
      <w:pStyle w:val="HeaderSubtitleRight"/>
    </w:pPr>
    <w:r>
      <w:t>Underlying demographic and macroeconomic assumptions</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CC1A36" w14:textId="77777777" w:rsidR="00460C69" w:rsidRPr="00425E1F" w:rsidRDefault="00460C69" w:rsidP="00460C69">
    <w:pPr>
      <w:pStyle w:val="SectionTitle"/>
    </w:pPr>
    <w:r w:rsidRPr="00425E1F">
      <w:rPr>
        <w:rStyle w:val="SectionNumber"/>
      </w:rPr>
      <w:t>3.</w:t>
    </w:r>
    <w:r w:rsidRPr="00425E1F">
      <w:tab/>
      <w:t>Sensitivity tests</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D404E6" w14:textId="77777777" w:rsidR="00460C69" w:rsidRPr="00F7595C" w:rsidRDefault="00460C69" w:rsidP="00460C69">
    <w:pPr>
      <w:pStyle w:val="Zaglavlje"/>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E8A36B" w14:textId="77777777" w:rsidR="00460C69" w:rsidRPr="00F7595C" w:rsidRDefault="00460C69" w:rsidP="00460C69">
    <w:pPr>
      <w:pStyle w:val="Zaglavlje"/>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9E7F52" w14:textId="77777777" w:rsidR="00460C69" w:rsidRDefault="00460C69" w:rsidP="00460C69">
    <w:pPr>
      <w:pStyle w:val="ChapterName"/>
    </w:pPr>
    <w:r>
      <w:t>Part II</w:t>
    </w:r>
  </w:p>
  <w:p w14:paraId="33873851" w14:textId="77777777" w:rsidR="00460C69" w:rsidRPr="00F7595C" w:rsidRDefault="00460C69" w:rsidP="00460C69">
    <w:pPr>
      <w:pStyle w:val="ChapterTitle"/>
    </w:pPr>
    <w:r>
      <w:t>Long-term projections of age-related expenditure and unemployment benefits</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CF0FA9" w14:textId="77777777" w:rsidR="009F3ED8" w:rsidRDefault="009F3ED8" w:rsidP="00B131B3">
    <w:pPr>
      <w:pStyle w:val="HeaderTitleLeft"/>
    </w:pPr>
    <w:r>
      <w:t>European Commission</w:t>
    </w:r>
  </w:p>
  <w:p w14:paraId="4798A8ED" w14:textId="77777777" w:rsidR="009F3ED8" w:rsidRPr="00B131B3" w:rsidRDefault="009F3ED8" w:rsidP="00B131B3">
    <w:pPr>
      <w:pStyle w:val="HeaderSubtitleLeft"/>
    </w:pPr>
    <w:r>
      <w:t>The 2018 Ageing Report: Economic and Budgetary Projections for the EU Member States (2016-2070)</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A2A34C" w14:textId="77777777" w:rsidR="009F3ED8" w:rsidRDefault="009F3ED8" w:rsidP="00B131B3">
    <w:pPr>
      <w:pStyle w:val="HeaderTitleRight"/>
    </w:pPr>
    <w:r>
      <w:t>Part II</w:t>
    </w:r>
  </w:p>
  <w:p w14:paraId="595F944B" w14:textId="77777777" w:rsidR="009F3ED8" w:rsidRPr="00B131B3" w:rsidRDefault="009F3ED8" w:rsidP="00B131B3">
    <w:pPr>
      <w:pStyle w:val="HeaderSubtitleRight"/>
    </w:pPr>
    <w:r>
      <w:t>Long-term projections of age-related expenditure and unemployment benefits</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BF971C" w14:textId="77777777" w:rsidR="009F3ED8" w:rsidRPr="00B131B3" w:rsidRDefault="009F3ED8" w:rsidP="00B131B3">
    <w:pPr>
      <w:pStyle w:val="SectionTitle"/>
    </w:pPr>
    <w:r w:rsidRPr="00B131B3">
      <w:rPr>
        <w:rStyle w:val="SectionNumber"/>
      </w:rPr>
      <w:t>1.</w:t>
    </w:r>
    <w:r w:rsidRPr="00B131B3">
      <w:tab/>
      <w:t>Pensions</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6707EC" w14:textId="77777777" w:rsidR="00460C69" w:rsidRDefault="00460C69" w:rsidP="00460C69">
    <w:pPr>
      <w:pStyle w:val="HeaderTitleLeft"/>
    </w:pPr>
    <w:r>
      <w:t>European Commission</w:t>
    </w:r>
  </w:p>
  <w:p w14:paraId="03A7C367" w14:textId="77777777" w:rsidR="00460C69" w:rsidRPr="00AB3524" w:rsidRDefault="00460C69" w:rsidP="00460C69">
    <w:pPr>
      <w:pStyle w:val="HeaderSubtitleLeft"/>
    </w:pPr>
    <w:r>
      <w:t>The 2018 Ageing Report: Economic and Budgetary Projections for the EU Member States (2016-2070)</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E66617" w14:textId="77777777" w:rsidR="00460C69" w:rsidRDefault="00460C69" w:rsidP="00460C69">
    <w:pPr>
      <w:pStyle w:val="HeaderTitleRight"/>
    </w:pPr>
    <w:r>
      <w:t>Part II</w:t>
    </w:r>
  </w:p>
  <w:p w14:paraId="5FE752B3" w14:textId="77777777" w:rsidR="00460C69" w:rsidRPr="00AB3524" w:rsidRDefault="00460C69" w:rsidP="00460C69">
    <w:pPr>
      <w:pStyle w:val="HeaderSubtitleRight"/>
    </w:pPr>
    <w:r>
      <w:t>Long-term projections of age-related expenditure and unemployment benefits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410557" w14:textId="77777777" w:rsidR="00460C69" w:rsidRPr="0025266B" w:rsidRDefault="00460C69" w:rsidP="00460C69">
    <w:pPr>
      <w:pStyle w:val="SectionTitle"/>
    </w:pPr>
    <w:r>
      <w:t>Acknowledgements</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49BDDE" w14:textId="77777777" w:rsidR="00460C69" w:rsidRPr="00AB3524" w:rsidRDefault="00460C69" w:rsidP="00460C69">
    <w:pPr>
      <w:pStyle w:val="SectionTitle"/>
    </w:pPr>
    <w:r w:rsidRPr="00AB3524">
      <w:rPr>
        <w:rStyle w:val="SectionNumber"/>
      </w:rPr>
      <w:t>2.</w:t>
    </w:r>
    <w:r w:rsidRPr="00AB3524">
      <w:tab/>
      <w:t>Health care expenditure</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6E8786" w14:textId="77777777" w:rsidR="00460C69" w:rsidRDefault="00460C69" w:rsidP="00460C69">
    <w:pPr>
      <w:pStyle w:val="HeaderTitleLeft"/>
    </w:pPr>
    <w:r>
      <w:t>European Commission</w:t>
    </w:r>
  </w:p>
  <w:p w14:paraId="0651D808" w14:textId="77777777" w:rsidR="00460C69" w:rsidRPr="00617176" w:rsidRDefault="00460C69" w:rsidP="00460C69">
    <w:pPr>
      <w:pStyle w:val="HeaderSubtitleLeft"/>
    </w:pPr>
    <w:r>
      <w:t>The 2018 Ageing Report: Economic and Budgetary Projections for the EU Member States (2016-2070)</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B0C22D" w14:textId="77777777" w:rsidR="00460C69" w:rsidRDefault="00460C69" w:rsidP="00460C69">
    <w:pPr>
      <w:pStyle w:val="HeaderTitleRight"/>
    </w:pPr>
    <w:r>
      <w:t>Part II</w:t>
    </w:r>
  </w:p>
  <w:p w14:paraId="2315F890" w14:textId="77777777" w:rsidR="00460C69" w:rsidRPr="00617176" w:rsidRDefault="00460C69" w:rsidP="00460C69">
    <w:pPr>
      <w:pStyle w:val="HeaderSubtitleRight"/>
    </w:pPr>
    <w:r>
      <w:t>Long-term projections of age-related expenditure and unemployment benefits</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D9B5C1" w14:textId="77777777" w:rsidR="00460C69" w:rsidRPr="00617176" w:rsidRDefault="00460C69" w:rsidP="00460C69">
    <w:pPr>
      <w:pStyle w:val="SectionTitle"/>
    </w:pPr>
    <w:r w:rsidRPr="00617176">
      <w:rPr>
        <w:rStyle w:val="SectionNumber"/>
      </w:rPr>
      <w:t>3.</w:t>
    </w:r>
    <w:r w:rsidRPr="00617176">
      <w:tab/>
      <w:t>Long term care</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65B927" w14:textId="77777777" w:rsidR="00460C69" w:rsidRDefault="00460C69" w:rsidP="00460C69">
    <w:pPr>
      <w:pStyle w:val="HeaderTitleLeft"/>
    </w:pPr>
    <w:r>
      <w:t>European Commission</w:t>
    </w:r>
  </w:p>
  <w:p w14:paraId="627CD9F8" w14:textId="77777777" w:rsidR="00460C69" w:rsidRPr="00A43961" w:rsidRDefault="00460C69" w:rsidP="00460C69">
    <w:pPr>
      <w:pStyle w:val="HeaderSubtitleLeft"/>
    </w:pPr>
    <w:r>
      <w:t>The 2018 Ageing Report: Economic and Budgetary Projections for the EU Member States (2016-2070)</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146E78" w14:textId="77777777" w:rsidR="00460C69" w:rsidRDefault="00460C69" w:rsidP="00460C69">
    <w:pPr>
      <w:pStyle w:val="HeaderTitleRight"/>
    </w:pPr>
    <w:r>
      <w:t>Part II</w:t>
    </w:r>
  </w:p>
  <w:p w14:paraId="17DECB5C" w14:textId="77777777" w:rsidR="00460C69" w:rsidRPr="00A43961" w:rsidRDefault="00460C69" w:rsidP="00460C69">
    <w:pPr>
      <w:pStyle w:val="HeaderSubtitleRight"/>
    </w:pPr>
    <w:r>
      <w:t>Long-term projections of age-related expenditure and unemployment benefits</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08776E" w14:textId="77777777" w:rsidR="00460C69" w:rsidRPr="008B2DC5" w:rsidRDefault="00460C69" w:rsidP="00460C69">
    <w:pPr>
      <w:pStyle w:val="SectionTitle"/>
    </w:pPr>
    <w:r w:rsidRPr="008B2DC5">
      <w:rPr>
        <w:rStyle w:val="SectionNumber"/>
      </w:rPr>
      <w:t>4.</w:t>
    </w:r>
    <w:r w:rsidRPr="008B2DC5">
      <w:tab/>
      <w:t>Education</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F45E98" w14:textId="77777777" w:rsidR="00460C69" w:rsidRDefault="00460C69" w:rsidP="00460C69">
    <w:pPr>
      <w:pStyle w:val="HeaderTitleLeft"/>
    </w:pPr>
    <w:r>
      <w:t>European Commission</w:t>
    </w:r>
  </w:p>
  <w:p w14:paraId="49DDDAEA" w14:textId="77777777" w:rsidR="00460C69" w:rsidRPr="007A5B12" w:rsidRDefault="00460C69" w:rsidP="00460C69">
    <w:pPr>
      <w:pStyle w:val="HeaderSubtitleLeft"/>
    </w:pPr>
    <w:r>
      <w:t>The 2018 Ageing Report: Economic and Budgetary Projections for the EU Member States (2016-2070)</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0087AE" w14:textId="77777777" w:rsidR="00460C69" w:rsidRDefault="00460C69" w:rsidP="00460C69">
    <w:pPr>
      <w:pStyle w:val="HeaderTitleRight"/>
    </w:pPr>
    <w:r>
      <w:t>Part II</w:t>
    </w:r>
  </w:p>
  <w:p w14:paraId="3A61DCA0" w14:textId="77777777" w:rsidR="00460C69" w:rsidRPr="007A5B12" w:rsidRDefault="00460C69" w:rsidP="00460C69">
    <w:pPr>
      <w:pStyle w:val="HeaderSubtitleRight"/>
    </w:pPr>
    <w:r>
      <w:t>Long-term projections of age-related expenditure and unemployment benefits</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A73298" w14:textId="77777777" w:rsidR="00460C69" w:rsidRPr="007A5B12" w:rsidRDefault="00460C69" w:rsidP="00460C69">
    <w:pPr>
      <w:pStyle w:val="SectionTitle"/>
    </w:pPr>
    <w:r w:rsidRPr="007A5B12">
      <w:rPr>
        <w:rStyle w:val="SectionNumber"/>
      </w:rPr>
      <w:t>5.</w:t>
    </w:r>
    <w:r w:rsidRPr="007A5B12">
      <w:tab/>
      <w:t>Unemployment benefit expenditure</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070A21" w14:textId="77777777" w:rsidR="00460C69" w:rsidRPr="00550A4F" w:rsidRDefault="00460C69" w:rsidP="00460C69">
    <w:pPr>
      <w:pStyle w:val="Zaglavlje"/>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A90319" w14:textId="77777777" w:rsidR="00460C69" w:rsidRDefault="00460C69" w:rsidP="00460C69">
    <w:pPr>
      <w:pStyle w:val="HeaderTitleLeft"/>
    </w:pPr>
    <w:r>
      <w:t>European Commission</w:t>
    </w:r>
  </w:p>
  <w:p w14:paraId="0FE89852" w14:textId="77777777" w:rsidR="00460C69" w:rsidRPr="00061C07" w:rsidRDefault="00460C69" w:rsidP="00460C69">
    <w:pPr>
      <w:pStyle w:val="HeaderSubtitleLeft"/>
    </w:pPr>
    <w:r>
      <w:t>The 2018 Ageing Report: Economic and Budgetary Projections for the EU Member States (2016-2070)</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D79D9D" w14:textId="77777777" w:rsidR="00460C69" w:rsidRDefault="00460C69" w:rsidP="00460C69">
    <w:pPr>
      <w:pStyle w:val="HeaderTitleRight"/>
    </w:pPr>
    <w:r>
      <w:t>Part II</w:t>
    </w:r>
  </w:p>
  <w:p w14:paraId="6FC65B56" w14:textId="77777777" w:rsidR="00460C69" w:rsidRPr="00061C07" w:rsidRDefault="00460C69" w:rsidP="00460C69">
    <w:pPr>
      <w:pStyle w:val="HeaderSubtitleRight"/>
    </w:pPr>
    <w:r>
      <w:t>Long-term projections of age-related expenditure and unemployment benefits</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A23586" w14:textId="77777777" w:rsidR="00460C69" w:rsidRDefault="00460C69" w:rsidP="00460C69">
    <w:pPr>
      <w:pStyle w:val="SectionTitletwolines"/>
    </w:pPr>
    <w:r>
      <w:t>Annex I</w:t>
    </w:r>
  </w:p>
  <w:p w14:paraId="38EC12D2" w14:textId="77777777" w:rsidR="00460C69" w:rsidRPr="00061C07" w:rsidRDefault="00460C69" w:rsidP="00460C69">
    <w:pPr>
      <w:pStyle w:val="AnnexTitle"/>
    </w:pPr>
    <w:r>
      <w:t>Pension questionnaire</w: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5465EA" w14:textId="77777777" w:rsidR="008A6BEE" w:rsidRDefault="008A6BEE" w:rsidP="00D1588F">
    <w:pPr>
      <w:pStyle w:val="HeaderTitleLeft"/>
    </w:pPr>
    <w:r>
      <w:t>European Commission</w:t>
    </w:r>
  </w:p>
  <w:p w14:paraId="17D68AD7" w14:textId="77777777" w:rsidR="008A6BEE" w:rsidRPr="00D1588F" w:rsidRDefault="008A6BEE" w:rsidP="00D1588F">
    <w:pPr>
      <w:pStyle w:val="HeaderSubtitleLeft"/>
    </w:pPr>
    <w:r>
      <w:t>The 2018 Ageing Report: Economic and Budgetary Projections for the EU Member States (2016-2070)</w: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DB3A13" w14:textId="77777777" w:rsidR="008A6BEE" w:rsidRDefault="008A6BEE" w:rsidP="00D1588F">
    <w:pPr>
      <w:pStyle w:val="HeaderTitleRight"/>
    </w:pPr>
    <w:r>
      <w:t>Part II</w:t>
    </w:r>
  </w:p>
  <w:p w14:paraId="2A4FB0D0" w14:textId="77777777" w:rsidR="008A6BEE" w:rsidRPr="00D1588F" w:rsidRDefault="008A6BEE" w:rsidP="00D1588F">
    <w:pPr>
      <w:pStyle w:val="HeaderSubtitleRight"/>
    </w:pPr>
    <w:r>
      <w:t>Long-term projections of age-related expenditure and unemployment benefits</w: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BD09B1" w14:textId="77777777" w:rsidR="008A6BEE" w:rsidRDefault="008A6BEE" w:rsidP="00D1588F">
    <w:pPr>
      <w:pStyle w:val="SectionTitletwolines"/>
    </w:pPr>
    <w:r>
      <w:t>Annex II</w:t>
    </w:r>
  </w:p>
  <w:p w14:paraId="4229BEFE" w14:textId="77777777" w:rsidR="008A6BEE" w:rsidRPr="00D1588F" w:rsidRDefault="008A6BEE" w:rsidP="00D1588F">
    <w:pPr>
      <w:pStyle w:val="AnnexTitle"/>
    </w:pPr>
    <w:r>
      <w:t>Additional information on pension systems and projections</w: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78720F" w14:textId="77777777" w:rsidR="00460C69" w:rsidRDefault="00460C69" w:rsidP="00460C69">
    <w:pPr>
      <w:pStyle w:val="HeaderTitleLeft"/>
    </w:pPr>
    <w:r>
      <w:t>European Commission</w:t>
    </w:r>
  </w:p>
  <w:p w14:paraId="52BC5E1F" w14:textId="77777777" w:rsidR="00460C69" w:rsidRPr="00CC5639" w:rsidRDefault="00460C69" w:rsidP="00460C69">
    <w:pPr>
      <w:pStyle w:val="HeaderSubtitleLeft"/>
    </w:pPr>
    <w:r>
      <w:t>The 2018 Ageing Report: Economic and Budgetary Projections for the EU Member States (2016-2070)</w: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8E1A35" w14:textId="77777777" w:rsidR="00460C69" w:rsidRDefault="00460C69" w:rsidP="00460C69">
    <w:pPr>
      <w:pStyle w:val="HeaderTitleRight"/>
    </w:pPr>
    <w:r>
      <w:t>Part II</w:t>
    </w:r>
  </w:p>
  <w:p w14:paraId="0490377A" w14:textId="77777777" w:rsidR="00460C69" w:rsidRPr="00CC5639" w:rsidRDefault="00460C69" w:rsidP="00460C69">
    <w:pPr>
      <w:pStyle w:val="HeaderSubtitleRight"/>
    </w:pPr>
    <w:r>
      <w:t>Long-term projections of age-related expenditure and unemployment benefits</w: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73DD6D" w14:textId="77777777" w:rsidR="00460C69" w:rsidRDefault="00460C69" w:rsidP="00460C69">
    <w:pPr>
      <w:pStyle w:val="SectionTitletwolines"/>
    </w:pPr>
    <w:r>
      <w:t>Annex III</w:t>
    </w:r>
  </w:p>
  <w:p w14:paraId="32025585" w14:textId="77777777" w:rsidR="00460C69" w:rsidRPr="00CC5639" w:rsidRDefault="00460C69" w:rsidP="00460C69">
    <w:pPr>
      <w:pStyle w:val="AnnexTitle"/>
    </w:pPr>
    <w:r>
      <w:t>Input data used to project health care expenditure</w: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96188A" w14:textId="77777777" w:rsidR="00460C69" w:rsidRDefault="00460C69" w:rsidP="00460C69">
    <w:pPr>
      <w:pStyle w:val="HeaderTitleLeft"/>
    </w:pPr>
    <w:r>
      <w:t>European Commission</w:t>
    </w:r>
  </w:p>
  <w:p w14:paraId="4938497D" w14:textId="77777777" w:rsidR="00460C69" w:rsidRPr="0091483C" w:rsidRDefault="00460C69" w:rsidP="00460C69">
    <w:pPr>
      <w:pStyle w:val="HeaderSubtitleLeft"/>
    </w:pPr>
    <w:r>
      <w:t>The 2018 Ageing Report: Economic and Budgetary Projections for the EU Member States (2016-2070)</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ABFDDC" w14:textId="77777777" w:rsidR="00460C69" w:rsidRPr="00550A4F" w:rsidRDefault="00460C69" w:rsidP="00460C69">
    <w:pPr>
      <w:pStyle w:val="Zaglavlje"/>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F4E43C" w14:textId="77777777" w:rsidR="00460C69" w:rsidRDefault="00460C69" w:rsidP="00460C69">
    <w:pPr>
      <w:pStyle w:val="HeaderTitleRight"/>
    </w:pPr>
    <w:r>
      <w:t>Part II</w:t>
    </w:r>
  </w:p>
  <w:p w14:paraId="1BE4A100" w14:textId="77777777" w:rsidR="00460C69" w:rsidRPr="0091483C" w:rsidRDefault="00460C69" w:rsidP="00460C69">
    <w:pPr>
      <w:pStyle w:val="HeaderSubtitleRight"/>
    </w:pPr>
    <w:r>
      <w:t>Long-term projections of age-related expenditure and unemployment benefits</w: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CFD22F" w14:textId="77777777" w:rsidR="00460C69" w:rsidRDefault="00460C69" w:rsidP="00460C69">
    <w:pPr>
      <w:pStyle w:val="SectionTitletwolines"/>
    </w:pPr>
    <w:r>
      <w:t>Annex IV</w:t>
    </w:r>
  </w:p>
  <w:p w14:paraId="15BF2BEB" w14:textId="77777777" w:rsidR="00460C69" w:rsidRPr="0091483C" w:rsidRDefault="00460C69" w:rsidP="00460C69">
    <w:pPr>
      <w:pStyle w:val="AnnexTitle"/>
    </w:pPr>
    <w:r>
      <w:t>Input data used and long-term care expenditure</w: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DFC761" w14:textId="77777777" w:rsidR="00460C69" w:rsidRDefault="00460C69" w:rsidP="00460C69">
    <w:pPr>
      <w:pStyle w:val="HeaderTitleLeft"/>
    </w:pPr>
    <w:r>
      <w:t>European Commission</w:t>
    </w:r>
  </w:p>
  <w:p w14:paraId="3DF0B6EB" w14:textId="77777777" w:rsidR="00460C69" w:rsidRPr="00036021" w:rsidRDefault="00460C69" w:rsidP="00460C69">
    <w:pPr>
      <w:pStyle w:val="HeaderSubtitleLeft"/>
    </w:pPr>
    <w:r>
      <w:t>The 2018 Ageing Report: Economic and Budgetary Projections for the EU Member States (2016-2070)</w: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B2CDAD" w14:textId="77777777" w:rsidR="00460C69" w:rsidRDefault="00460C69" w:rsidP="00460C69">
    <w:pPr>
      <w:pStyle w:val="HeaderTitleRight"/>
    </w:pPr>
    <w:r>
      <w:t>Part II</w:t>
    </w:r>
  </w:p>
  <w:p w14:paraId="038939EC" w14:textId="77777777" w:rsidR="00460C69" w:rsidRPr="00036021" w:rsidRDefault="00460C69" w:rsidP="00460C69">
    <w:pPr>
      <w:pStyle w:val="HeaderSubtitleRight"/>
    </w:pPr>
    <w:r>
      <w:t>Long-term projections of age-related expenditure and unemployment benefits</w: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5733AF" w14:textId="77777777" w:rsidR="00460C69" w:rsidRDefault="00460C69" w:rsidP="00460C69">
    <w:pPr>
      <w:pStyle w:val="SectionTitletwolines"/>
    </w:pPr>
    <w:r>
      <w:t>Annex V</w:t>
    </w:r>
  </w:p>
  <w:p w14:paraId="4D666D28" w14:textId="77777777" w:rsidR="00460C69" w:rsidRPr="00036021" w:rsidRDefault="00460C69" w:rsidP="00460C69">
    <w:pPr>
      <w:pStyle w:val="AnnexTitle"/>
    </w:pPr>
    <w:r>
      <w:t>Input data used to project education expenditure</w: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CE2F7B" w14:textId="77777777" w:rsidR="00460C69" w:rsidRPr="00AC0217" w:rsidRDefault="00460C69" w:rsidP="00460C69">
    <w:pPr>
      <w:pStyle w:val="Zaglavlje"/>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392202" w14:textId="77777777" w:rsidR="00460C69" w:rsidRPr="00AC0217" w:rsidRDefault="00460C69" w:rsidP="00460C69">
    <w:pPr>
      <w:pStyle w:val="Zaglavlje"/>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C6E29C" w14:textId="77777777" w:rsidR="00460C69" w:rsidRDefault="00460C69" w:rsidP="00460C69">
    <w:pPr>
      <w:pStyle w:val="ChapterName"/>
    </w:pPr>
    <w:r>
      <w:t>Part III</w:t>
    </w:r>
  </w:p>
  <w:p w14:paraId="35F04740" w14:textId="77777777" w:rsidR="00460C69" w:rsidRPr="00AC0217" w:rsidRDefault="00460C69" w:rsidP="00460C69">
    <w:pPr>
      <w:pStyle w:val="ChapterTitle"/>
    </w:pPr>
    <w:r>
      <w:t>Statistical Annex – CROSS-COUNTRY TABLES</w: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351A68" w14:textId="77777777" w:rsidR="00460C69" w:rsidRDefault="00460C69" w:rsidP="00460C69">
    <w:pPr>
      <w:pStyle w:val="HeaderTitleLeft"/>
    </w:pPr>
    <w:r>
      <w:t>European Commission</w:t>
    </w:r>
  </w:p>
  <w:p w14:paraId="704303B6" w14:textId="77777777" w:rsidR="00460C69" w:rsidRPr="00254241" w:rsidRDefault="00460C69" w:rsidP="00460C69">
    <w:pPr>
      <w:pStyle w:val="HeaderSubtitleLeft"/>
    </w:pPr>
    <w:r>
      <w:t>The 2018 Ageing Report: Economic and Budgetary Projections for the EU Member States (2016-2070)</w: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B14A0A" w14:textId="77777777" w:rsidR="00460C69" w:rsidRDefault="00460C69" w:rsidP="00460C69">
    <w:pPr>
      <w:pStyle w:val="HeaderTitleRight"/>
    </w:pPr>
    <w:r>
      <w:t>Part III</w:t>
    </w:r>
  </w:p>
  <w:p w14:paraId="0E7247D7" w14:textId="77777777" w:rsidR="00460C69" w:rsidRPr="00254241" w:rsidRDefault="00460C69" w:rsidP="00460C69">
    <w:pPr>
      <w:pStyle w:val="HeaderSubtitleRight"/>
    </w:pPr>
    <w:r>
      <w:t>Statistical Annex – CROSS-COUNTRY TABLES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B454FE" w14:textId="77777777" w:rsidR="00460C69" w:rsidRPr="00550A4F" w:rsidRDefault="00460C69" w:rsidP="00460C69">
    <w:pPr>
      <w:pStyle w:val="SectionTitle"/>
    </w:pPr>
    <w:r>
      <w:t>Contents</w: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071FE7" w14:textId="77777777" w:rsidR="00460C69" w:rsidRPr="00254241" w:rsidRDefault="00460C69" w:rsidP="00460C69">
    <w:pPr>
      <w:pStyle w:val="SectionTitle"/>
    </w:pPr>
    <w:r w:rsidRPr="00254241">
      <w:rPr>
        <w:rStyle w:val="SectionNumber"/>
      </w:rPr>
      <w:t>1.</w:t>
    </w:r>
    <w:r w:rsidRPr="00254241">
      <w:tab/>
      <w:t>Tables</w: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12986F" w14:textId="77777777" w:rsidR="00460C69" w:rsidRPr="00FA1D72" w:rsidRDefault="00460C69" w:rsidP="00460C69">
    <w:pPr>
      <w:pStyle w:val="Zaglavlje"/>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78DE27" w14:textId="77777777" w:rsidR="00460C69" w:rsidRPr="00FA1D72" w:rsidRDefault="00460C69" w:rsidP="00460C69">
    <w:pPr>
      <w:pStyle w:val="Zaglavlje"/>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68199A" w14:textId="77777777" w:rsidR="00460C69" w:rsidRDefault="00460C69" w:rsidP="00460C69">
    <w:pPr>
      <w:pStyle w:val="ChapterName"/>
    </w:pPr>
    <w:r>
      <w:t>Part IV</w:t>
    </w:r>
  </w:p>
  <w:p w14:paraId="6BAAE76F" w14:textId="77777777" w:rsidR="00460C69" w:rsidRPr="00FA1D72" w:rsidRDefault="00460C69" w:rsidP="00460C69">
    <w:pPr>
      <w:pStyle w:val="ChapterTitle"/>
    </w:pPr>
    <w:r>
      <w:t>Statistical Annex  – COUNTRY FICHES</w: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A3CC00" w14:textId="77777777" w:rsidR="00460C69" w:rsidRDefault="00460C69" w:rsidP="00460C69">
    <w:pPr>
      <w:pStyle w:val="HeaderTitleLeft"/>
    </w:pPr>
    <w:r>
      <w:t>European Commission</w:t>
    </w:r>
  </w:p>
  <w:p w14:paraId="57D61070" w14:textId="77777777" w:rsidR="00460C69" w:rsidRPr="00A435DC" w:rsidRDefault="00460C69" w:rsidP="00460C69">
    <w:pPr>
      <w:pStyle w:val="HeaderTitleLeft"/>
    </w:pPr>
    <w:r>
      <w:t>The 2018 Ageing Report: Economic and Budgetary Projections for the EU Member States (2016-2070)</w: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6024DE" w14:textId="77777777" w:rsidR="00460C69" w:rsidRDefault="00460C69" w:rsidP="00460C69">
    <w:pPr>
      <w:pStyle w:val="HeaderTitleRight"/>
    </w:pPr>
    <w:r>
      <w:t>Part IV</w:t>
    </w:r>
  </w:p>
  <w:p w14:paraId="7C7338C7" w14:textId="77777777" w:rsidR="00460C69" w:rsidRPr="00A435DC" w:rsidRDefault="00460C69" w:rsidP="00460C69">
    <w:pPr>
      <w:pStyle w:val="HeaderSubtitleRight"/>
    </w:pPr>
    <w:r>
      <w:t>Statistical Annex  – COUNTRY FICHES, Belgium</w: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972745" w14:textId="77777777" w:rsidR="00460C69" w:rsidRDefault="00460C69" w:rsidP="00460C69">
    <w:pPr>
      <w:pStyle w:val="SectionTitle"/>
    </w:pPr>
    <w:r w:rsidRPr="00A435DC">
      <w:rPr>
        <w:rStyle w:val="SectionNumber"/>
      </w:rPr>
      <w:t>1.</w:t>
    </w:r>
    <w:r w:rsidRPr="00A435DC">
      <w:tab/>
      <w:t>Belgium</w:t>
    </w:r>
  </w:p>
  <w:p w14:paraId="0BCA65A6" w14:textId="77777777" w:rsidR="00460C69" w:rsidRPr="00A435DC" w:rsidRDefault="00460C69" w:rsidP="00460C69">
    <w:pPr>
      <w:pStyle w:val="SectionSubtitle"/>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15CEA9" w14:textId="77777777" w:rsidR="00460C69" w:rsidRDefault="00460C69" w:rsidP="00460C69">
    <w:pPr>
      <w:pStyle w:val="HeaderTitleLeft"/>
    </w:pPr>
    <w:r>
      <w:t>European Commission</w:t>
    </w:r>
  </w:p>
  <w:p w14:paraId="60A625EC" w14:textId="77777777" w:rsidR="00460C69" w:rsidRPr="001A39DC" w:rsidRDefault="00460C69" w:rsidP="00460C69">
    <w:pPr>
      <w:pStyle w:val="HeaderTitleLeft"/>
    </w:pPr>
    <w:r>
      <w:t>The 2018 Ageing Report: Economic and Budgetary Projections for the EU Member States (2016-2070)</w: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B3A61A" w14:textId="77777777" w:rsidR="00460C69" w:rsidRDefault="00460C69" w:rsidP="00460C69">
    <w:pPr>
      <w:pStyle w:val="HeaderTitleRight"/>
    </w:pPr>
    <w:r>
      <w:t>Part IV</w:t>
    </w:r>
  </w:p>
  <w:p w14:paraId="39F80D6F" w14:textId="77777777" w:rsidR="00460C69" w:rsidRPr="001A39DC" w:rsidRDefault="00460C69" w:rsidP="00460C69">
    <w:pPr>
      <w:pStyle w:val="HeaderSubtitleRight"/>
    </w:pPr>
    <w:r>
      <w:t>Statistical Annex  – COUNTRY FICHES, Bulgaria</w: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082FBB" w14:textId="77777777" w:rsidR="00460C69" w:rsidRDefault="00460C69" w:rsidP="00460C69">
    <w:pPr>
      <w:pStyle w:val="SectionTitle"/>
    </w:pPr>
    <w:r w:rsidRPr="001A39DC">
      <w:rPr>
        <w:rStyle w:val="SectionNumber"/>
      </w:rPr>
      <w:t>2.</w:t>
    </w:r>
    <w:r w:rsidRPr="001A39DC">
      <w:tab/>
      <w:t>Bulgaria</w:t>
    </w:r>
  </w:p>
  <w:p w14:paraId="541BD2A1" w14:textId="77777777" w:rsidR="00460C69" w:rsidRPr="001A39DC" w:rsidRDefault="00460C69" w:rsidP="00460C69">
    <w:pPr>
      <w:pStyle w:val="SectionSubtitl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D91F33" w14:textId="77777777" w:rsidR="00460C69" w:rsidRDefault="00460C69" w:rsidP="00460C69">
    <w:pPr>
      <w:pStyle w:val="HeaderTitleLeft"/>
    </w:pPr>
    <w:r>
      <w:t>European Commission</w:t>
    </w:r>
  </w:p>
  <w:p w14:paraId="718EBE4B" w14:textId="77777777" w:rsidR="00460C69" w:rsidRPr="00403C18" w:rsidRDefault="00460C69" w:rsidP="00460C69">
    <w:pPr>
      <w:pStyle w:val="HeaderSubtitleLeft"/>
    </w:pPr>
    <w:r>
      <w:t>The 2018 Ageing Report: Economic and Budgetary Projections for the EU Member States (2016-2070)</w: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BAFF72" w14:textId="77777777" w:rsidR="00460C69" w:rsidRDefault="00460C69" w:rsidP="00460C69">
    <w:pPr>
      <w:pStyle w:val="HeaderTitleLeft"/>
    </w:pPr>
    <w:r>
      <w:t>European Commission</w:t>
    </w:r>
  </w:p>
  <w:p w14:paraId="3EE69B52" w14:textId="77777777" w:rsidR="00460C69" w:rsidRPr="00C933A2" w:rsidRDefault="00460C69" w:rsidP="00460C69">
    <w:pPr>
      <w:pStyle w:val="HeaderTitleLeft"/>
    </w:pPr>
    <w:r>
      <w:t>The 2018 Ageing Report: Economic and Budgetary Projections for the EU Member States (2016-2070)</w: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9E6BAD" w14:textId="77777777" w:rsidR="00460C69" w:rsidRDefault="00460C69" w:rsidP="00460C69">
    <w:pPr>
      <w:pStyle w:val="HeaderTitleRight"/>
    </w:pPr>
    <w:r>
      <w:t>Part IV</w:t>
    </w:r>
  </w:p>
  <w:p w14:paraId="5995C767" w14:textId="77777777" w:rsidR="00460C69" w:rsidRPr="00C933A2" w:rsidRDefault="00460C69" w:rsidP="00460C69">
    <w:pPr>
      <w:pStyle w:val="HeaderSubtitleRight"/>
    </w:pPr>
    <w:r>
      <w:t>Statistical Annex  – COUNTRY FICHES, The Czech Republic</w: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801623" w14:textId="77777777" w:rsidR="00460C69" w:rsidRDefault="00460C69" w:rsidP="00460C69">
    <w:pPr>
      <w:pStyle w:val="SectionTitle"/>
    </w:pPr>
    <w:r w:rsidRPr="00C933A2">
      <w:rPr>
        <w:rStyle w:val="SectionNumber"/>
      </w:rPr>
      <w:t>3.</w:t>
    </w:r>
    <w:r w:rsidRPr="00C933A2">
      <w:tab/>
      <w:t>The Czech Republic</w:t>
    </w:r>
  </w:p>
  <w:p w14:paraId="79DDEF37" w14:textId="77777777" w:rsidR="00460C69" w:rsidRPr="00C933A2" w:rsidRDefault="00460C69" w:rsidP="00460C69">
    <w:pPr>
      <w:pStyle w:val="SectionSubtitle"/>
    </w:pP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A038CA" w14:textId="77777777" w:rsidR="00460C69" w:rsidRDefault="00460C69" w:rsidP="00460C69">
    <w:pPr>
      <w:pStyle w:val="HeaderTitleLeft"/>
    </w:pPr>
    <w:r>
      <w:t>European Commission</w:t>
    </w:r>
  </w:p>
  <w:p w14:paraId="01AF6265" w14:textId="77777777" w:rsidR="00460C69" w:rsidRPr="0032257F" w:rsidRDefault="00460C69" w:rsidP="00460C69">
    <w:pPr>
      <w:pStyle w:val="HeaderTitleLeft"/>
    </w:pPr>
    <w:r>
      <w:t>The 2018 Ageing Report: Economic and Budgetary Projections for the EU Member States (2016-2070)</w: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AE4008" w14:textId="77777777" w:rsidR="00460C69" w:rsidRDefault="00460C69" w:rsidP="00460C69">
    <w:pPr>
      <w:pStyle w:val="HeaderTitleRight"/>
    </w:pPr>
    <w:r>
      <w:t>Part IV</w:t>
    </w:r>
  </w:p>
  <w:p w14:paraId="4EDB1659" w14:textId="77777777" w:rsidR="00460C69" w:rsidRPr="0032257F" w:rsidRDefault="00460C69" w:rsidP="00460C69">
    <w:pPr>
      <w:pStyle w:val="HeaderSubtitleRight"/>
    </w:pPr>
    <w:r>
      <w:t>Statistical Annex  – COUNTRY FICHES, Denmark</w: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AA7F52" w14:textId="77777777" w:rsidR="00460C69" w:rsidRDefault="00460C69" w:rsidP="00460C69">
    <w:pPr>
      <w:pStyle w:val="SectionTitle"/>
    </w:pPr>
    <w:r w:rsidRPr="0032257F">
      <w:rPr>
        <w:rStyle w:val="SectionNumber"/>
      </w:rPr>
      <w:t>4.</w:t>
    </w:r>
    <w:r w:rsidRPr="0032257F">
      <w:tab/>
      <w:t>Denmark</w:t>
    </w:r>
  </w:p>
  <w:p w14:paraId="15E354CB" w14:textId="77777777" w:rsidR="00460C69" w:rsidRPr="0032257F" w:rsidRDefault="00460C69" w:rsidP="00460C69">
    <w:pPr>
      <w:pStyle w:val="SectionSubtitle"/>
    </w:pP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8FF95F" w14:textId="77777777" w:rsidR="00460C69" w:rsidRDefault="00460C69" w:rsidP="00460C69">
    <w:pPr>
      <w:pStyle w:val="HeaderTitleLeft"/>
    </w:pPr>
    <w:r>
      <w:t>European Commission</w:t>
    </w:r>
  </w:p>
  <w:p w14:paraId="545E9B29" w14:textId="77777777" w:rsidR="00460C69" w:rsidRPr="00724691" w:rsidRDefault="00460C69" w:rsidP="00460C69">
    <w:pPr>
      <w:pStyle w:val="HeaderTitleLeft"/>
    </w:pPr>
    <w:r>
      <w:t>The 2018 Ageing Report: Economic and Budgetary Projections for the EU Member States (2016-2070)</w: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20AF77" w14:textId="77777777" w:rsidR="00460C69" w:rsidRDefault="00460C69" w:rsidP="00460C69">
    <w:pPr>
      <w:pStyle w:val="HeaderTitleRight"/>
    </w:pPr>
    <w:r>
      <w:t>Part IV</w:t>
    </w:r>
  </w:p>
  <w:p w14:paraId="23F85F25" w14:textId="77777777" w:rsidR="00460C69" w:rsidRPr="00724691" w:rsidRDefault="00460C69" w:rsidP="00460C69">
    <w:pPr>
      <w:pStyle w:val="HeaderSubtitleRight"/>
    </w:pPr>
    <w:r>
      <w:t>Statistical Annex  – COUNTRY FICHES, Germany</w: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4FE21D" w14:textId="77777777" w:rsidR="00460C69" w:rsidRDefault="00460C69" w:rsidP="00460C69">
    <w:pPr>
      <w:pStyle w:val="SectionTitle"/>
    </w:pPr>
    <w:r w:rsidRPr="00724691">
      <w:rPr>
        <w:rStyle w:val="SectionNumber"/>
      </w:rPr>
      <w:t>5.</w:t>
    </w:r>
    <w:r w:rsidRPr="00724691">
      <w:tab/>
      <w:t>Germany</w:t>
    </w:r>
  </w:p>
  <w:p w14:paraId="00A265EE" w14:textId="77777777" w:rsidR="00460C69" w:rsidRPr="00724691" w:rsidRDefault="00460C69" w:rsidP="00460C69">
    <w:pPr>
      <w:pStyle w:val="SectionSubtitle"/>
    </w:pP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85FC4A" w14:textId="77777777" w:rsidR="00460C69" w:rsidRDefault="00460C69" w:rsidP="00460C69">
    <w:pPr>
      <w:pStyle w:val="HeaderTitleLeft"/>
    </w:pPr>
    <w:r>
      <w:t>European Commission</w:t>
    </w:r>
  </w:p>
  <w:p w14:paraId="362C7142" w14:textId="77777777" w:rsidR="00460C69" w:rsidRPr="001F5FB2" w:rsidRDefault="00460C69" w:rsidP="00460C69">
    <w:pPr>
      <w:pStyle w:val="HeaderTitleLeft"/>
    </w:pPr>
    <w:r>
      <w:t>The 2018 Ageing Report: Economic and Budgetary Projections for the EU Member States (2016-2070)</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87D03C" w14:textId="77777777" w:rsidR="00460C69" w:rsidRDefault="00460C69" w:rsidP="00460C69">
    <w:pPr>
      <w:pStyle w:val="HeaderSubtitleRight"/>
    </w:pPr>
    <w:r>
      <w:t>Executive Summary</w:t>
    </w:r>
  </w:p>
  <w:p w14:paraId="564C79FE" w14:textId="77777777" w:rsidR="00460C69" w:rsidRPr="00403C18" w:rsidRDefault="00460C69" w:rsidP="00460C69"/>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C8C5DA" w14:textId="77777777" w:rsidR="00460C69" w:rsidRDefault="00460C69" w:rsidP="00460C69">
    <w:pPr>
      <w:pStyle w:val="HeaderTitleRight"/>
    </w:pPr>
    <w:r>
      <w:t>Part IV</w:t>
    </w:r>
  </w:p>
  <w:p w14:paraId="265B4431" w14:textId="77777777" w:rsidR="00460C69" w:rsidRPr="001F5FB2" w:rsidRDefault="00460C69" w:rsidP="00460C69">
    <w:pPr>
      <w:pStyle w:val="HeaderSubtitleRight"/>
    </w:pPr>
    <w:r>
      <w:t>Statistical Annex  – COUNTRY FICHES, Estonia</w: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A4D88C" w14:textId="77777777" w:rsidR="00460C69" w:rsidRDefault="00460C69" w:rsidP="00460C69">
    <w:pPr>
      <w:pStyle w:val="SectionTitle"/>
    </w:pPr>
    <w:r w:rsidRPr="001F5FB2">
      <w:rPr>
        <w:rStyle w:val="SectionNumber"/>
      </w:rPr>
      <w:t>6.</w:t>
    </w:r>
    <w:r w:rsidRPr="001F5FB2">
      <w:tab/>
      <w:t>Estonia</w:t>
    </w:r>
  </w:p>
  <w:p w14:paraId="59143997" w14:textId="77777777" w:rsidR="00460C69" w:rsidRPr="001F5FB2" w:rsidRDefault="00460C69" w:rsidP="00460C69">
    <w:pPr>
      <w:pStyle w:val="SectionSubtitle"/>
    </w:pP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D4995D" w14:textId="77777777" w:rsidR="00460C69" w:rsidRDefault="00460C69" w:rsidP="00460C69">
    <w:pPr>
      <w:pStyle w:val="HeaderTitleLeft"/>
    </w:pPr>
    <w:r>
      <w:t>European Commission</w:t>
    </w:r>
  </w:p>
  <w:p w14:paraId="470C2EBF" w14:textId="77777777" w:rsidR="00460C69" w:rsidRPr="0009080E" w:rsidRDefault="00460C69" w:rsidP="00460C69">
    <w:pPr>
      <w:pStyle w:val="HeaderTitleLeft"/>
    </w:pPr>
    <w:r>
      <w:t>The 2018 Ageing Report: Economic and Budgetary Projections for the EU Member States (2016-2070)</w: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04A85E" w14:textId="77777777" w:rsidR="00460C69" w:rsidRDefault="00460C69" w:rsidP="00460C69">
    <w:pPr>
      <w:pStyle w:val="HeaderTitleRight"/>
    </w:pPr>
    <w:r>
      <w:t>Part IV</w:t>
    </w:r>
  </w:p>
  <w:p w14:paraId="25BBE329" w14:textId="77777777" w:rsidR="00460C69" w:rsidRPr="0009080E" w:rsidRDefault="00460C69" w:rsidP="00460C69">
    <w:pPr>
      <w:pStyle w:val="HeaderSubtitleRight"/>
    </w:pPr>
    <w:r>
      <w:t>Statistical Annex  – COUNTRY FICHES, Ireland</w: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D46C7C" w14:textId="77777777" w:rsidR="00460C69" w:rsidRDefault="00460C69" w:rsidP="00460C69">
    <w:pPr>
      <w:pStyle w:val="SectionTitle"/>
    </w:pPr>
    <w:r w:rsidRPr="0009080E">
      <w:rPr>
        <w:rStyle w:val="SectionNumber"/>
      </w:rPr>
      <w:t>7.</w:t>
    </w:r>
    <w:r w:rsidRPr="0009080E">
      <w:tab/>
      <w:t>Ireland</w:t>
    </w:r>
  </w:p>
  <w:p w14:paraId="5452954E" w14:textId="77777777" w:rsidR="00460C69" w:rsidRPr="0009080E" w:rsidRDefault="00460C69" w:rsidP="00460C69">
    <w:pPr>
      <w:pStyle w:val="SectionSubtitle"/>
    </w:pP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EAE1DC" w14:textId="77777777" w:rsidR="00460C69" w:rsidRDefault="00460C69" w:rsidP="00460C69">
    <w:pPr>
      <w:pStyle w:val="HeaderTitleLeft"/>
    </w:pPr>
    <w:r>
      <w:t>European Commission</w:t>
    </w:r>
  </w:p>
  <w:p w14:paraId="38E7B606" w14:textId="77777777" w:rsidR="00460C69" w:rsidRPr="00DE39D6" w:rsidRDefault="00460C69" w:rsidP="00460C69">
    <w:pPr>
      <w:pStyle w:val="HeaderTitleLeft"/>
    </w:pPr>
    <w:r>
      <w:t>The 2018 Ageing Report: Economic and Budgetary Projections for the EU Member States (2016-2070)</w:t>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A759B1" w14:textId="77777777" w:rsidR="00460C69" w:rsidRDefault="00460C69" w:rsidP="00460C69">
    <w:pPr>
      <w:pStyle w:val="HeaderTitleRight"/>
    </w:pPr>
    <w:r>
      <w:t>Part IV</w:t>
    </w:r>
  </w:p>
  <w:p w14:paraId="692887A8" w14:textId="77777777" w:rsidR="00460C69" w:rsidRPr="00DE39D6" w:rsidRDefault="00460C69" w:rsidP="00460C69">
    <w:pPr>
      <w:pStyle w:val="HeaderSubtitleRight"/>
    </w:pPr>
    <w:r>
      <w:t>Statistical Annex  – COUNTRY FICHES, Greece</w: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297421" w14:textId="77777777" w:rsidR="00460C69" w:rsidRDefault="00460C69" w:rsidP="00460C69">
    <w:pPr>
      <w:pStyle w:val="SectionTitle"/>
    </w:pPr>
    <w:r w:rsidRPr="00DE39D6">
      <w:rPr>
        <w:rStyle w:val="SectionNumber"/>
      </w:rPr>
      <w:t>8.</w:t>
    </w:r>
    <w:r w:rsidRPr="00DE39D6">
      <w:tab/>
      <w:t>Greece</w:t>
    </w:r>
  </w:p>
  <w:p w14:paraId="5E591238" w14:textId="77777777" w:rsidR="00460C69" w:rsidRPr="00DE39D6" w:rsidRDefault="00460C69" w:rsidP="00460C69">
    <w:pPr>
      <w:pStyle w:val="SectionSubtitle"/>
    </w:pP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855111" w14:textId="77777777" w:rsidR="00460C69" w:rsidRDefault="00460C69" w:rsidP="00460C69">
    <w:pPr>
      <w:pStyle w:val="HeaderTitleLeft"/>
    </w:pPr>
    <w:r>
      <w:t>European Commission</w:t>
    </w:r>
  </w:p>
  <w:p w14:paraId="6D83C0A8" w14:textId="77777777" w:rsidR="00460C69" w:rsidRPr="00A92512" w:rsidRDefault="00460C69" w:rsidP="00460C69">
    <w:pPr>
      <w:pStyle w:val="HeaderTitleLeft"/>
    </w:pPr>
    <w:r>
      <w:t>The 2018 Ageing Report: Economic and Budgetary Projections for the EU Member States (2016-2070)</w: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B7D7E1" w14:textId="77777777" w:rsidR="00460C69" w:rsidRDefault="00460C69" w:rsidP="00460C69">
    <w:pPr>
      <w:pStyle w:val="HeaderTitleRight"/>
    </w:pPr>
    <w:r>
      <w:t>Part IV</w:t>
    </w:r>
  </w:p>
  <w:p w14:paraId="6AE198F2" w14:textId="77777777" w:rsidR="00460C69" w:rsidRPr="00A92512" w:rsidRDefault="00460C69" w:rsidP="00460C69">
    <w:pPr>
      <w:pStyle w:val="HeaderSubtitleRight"/>
    </w:pPr>
    <w:r>
      <w:t>Statistical Annex  – COUNTRY FICHES, Spain</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222625" w14:textId="77777777" w:rsidR="00460C69" w:rsidRDefault="00460C69" w:rsidP="00460C69">
    <w:pPr>
      <w:pStyle w:val="SectionTitle"/>
    </w:pPr>
    <w:r>
      <w:t>Executive Summary</w:t>
    </w:r>
  </w:p>
  <w:p w14:paraId="561E3B86" w14:textId="77777777" w:rsidR="00460C69" w:rsidRPr="00403C18" w:rsidRDefault="00460C69" w:rsidP="00460C69">
    <w:pPr>
      <w:pStyle w:val="SectionSubtitle"/>
    </w:pP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5C4160" w14:textId="77777777" w:rsidR="00460C69" w:rsidRDefault="00460C69" w:rsidP="00460C69">
    <w:pPr>
      <w:pStyle w:val="SectionTitle"/>
    </w:pPr>
    <w:r w:rsidRPr="00A92512">
      <w:rPr>
        <w:rStyle w:val="SectionNumber"/>
      </w:rPr>
      <w:t>9.</w:t>
    </w:r>
    <w:r w:rsidRPr="00A92512">
      <w:tab/>
      <w:t>Spain</w:t>
    </w:r>
  </w:p>
  <w:p w14:paraId="7244F4AF" w14:textId="77777777" w:rsidR="00460C69" w:rsidRPr="00A92512" w:rsidRDefault="00460C69" w:rsidP="00460C69">
    <w:pPr>
      <w:pStyle w:val="SectionSubtitle"/>
    </w:pP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CA5DE2" w14:textId="77777777" w:rsidR="00460C69" w:rsidRDefault="00460C69" w:rsidP="00460C69">
    <w:pPr>
      <w:pStyle w:val="HeaderTitleLeft"/>
    </w:pPr>
    <w:r>
      <w:t>European Commission</w:t>
    </w:r>
  </w:p>
  <w:p w14:paraId="3480B53E" w14:textId="77777777" w:rsidR="00460C69" w:rsidRPr="000E50A6" w:rsidRDefault="00460C69" w:rsidP="00460C69">
    <w:pPr>
      <w:pStyle w:val="HeaderTitleLeft"/>
    </w:pPr>
    <w:r>
      <w:t>The 2018 Ageing Report: Economic and Budgetary Projections for the EU Member States (2016-2070)</w:t>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BA4EA7" w14:textId="77777777" w:rsidR="00460C69" w:rsidRDefault="00460C69" w:rsidP="00460C69">
    <w:pPr>
      <w:pStyle w:val="HeaderTitleRight"/>
    </w:pPr>
    <w:r>
      <w:t>Part IV</w:t>
    </w:r>
  </w:p>
  <w:p w14:paraId="40681FBB" w14:textId="77777777" w:rsidR="00460C69" w:rsidRPr="000E50A6" w:rsidRDefault="00460C69" w:rsidP="00460C69">
    <w:pPr>
      <w:pStyle w:val="HeaderSubtitleRight"/>
    </w:pPr>
    <w:r>
      <w:t>Statistical Annex  – COUNTRY FICHES, France</w:t>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564910" w14:textId="77777777" w:rsidR="00460C69" w:rsidRDefault="00460C69" w:rsidP="00460C69">
    <w:pPr>
      <w:pStyle w:val="SectionTitle"/>
    </w:pPr>
    <w:r w:rsidRPr="000E50A6">
      <w:rPr>
        <w:rStyle w:val="SectionNumber"/>
      </w:rPr>
      <w:t>10.</w:t>
    </w:r>
    <w:r w:rsidRPr="000E50A6">
      <w:tab/>
      <w:t>France</w:t>
    </w:r>
  </w:p>
  <w:p w14:paraId="1B3DB106" w14:textId="77777777" w:rsidR="00460C69" w:rsidRPr="000E50A6" w:rsidRDefault="00460C69" w:rsidP="00460C69">
    <w:pPr>
      <w:pStyle w:val="SectionSubtitle"/>
    </w:pP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D4EDDD" w14:textId="77777777" w:rsidR="00460C69" w:rsidRDefault="00460C69" w:rsidP="00460C69">
    <w:pPr>
      <w:pStyle w:val="HeaderTitleLeft"/>
    </w:pPr>
    <w:r>
      <w:t>European Commission</w:t>
    </w:r>
  </w:p>
  <w:p w14:paraId="28B61805" w14:textId="77777777" w:rsidR="00460C69" w:rsidRPr="00D5501C" w:rsidRDefault="00460C69" w:rsidP="00460C69">
    <w:pPr>
      <w:pStyle w:val="HeaderTitleLeft"/>
    </w:pPr>
    <w:r>
      <w:t>The 2018 Ageing Report: Economic and Budgetary Projections for the EU Member States (2016-2070)</w:t>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9AACF1" w14:textId="77777777" w:rsidR="00460C69" w:rsidRDefault="00460C69" w:rsidP="00460C69">
    <w:pPr>
      <w:pStyle w:val="HeaderTitleRight"/>
    </w:pPr>
    <w:r>
      <w:t>Part IV</w:t>
    </w:r>
  </w:p>
  <w:p w14:paraId="2BE963F5" w14:textId="77777777" w:rsidR="00460C69" w:rsidRPr="00D5501C" w:rsidRDefault="00460C69" w:rsidP="00460C69">
    <w:pPr>
      <w:pStyle w:val="HeaderSubtitleRight"/>
    </w:pPr>
    <w:r>
      <w:t>Statistical Annex  – COUNTRY FICHES, Croatia</w:t>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7D7AB4" w14:textId="77777777" w:rsidR="00460C69" w:rsidRDefault="00460C69" w:rsidP="00460C69">
    <w:pPr>
      <w:pStyle w:val="SectionTitle"/>
    </w:pPr>
    <w:r w:rsidRPr="00D5501C">
      <w:rPr>
        <w:rStyle w:val="SectionNumber"/>
      </w:rPr>
      <w:t>11.</w:t>
    </w:r>
    <w:r w:rsidRPr="00D5501C">
      <w:tab/>
      <w:t>Croatia</w:t>
    </w:r>
  </w:p>
  <w:p w14:paraId="35D90862" w14:textId="77777777" w:rsidR="00460C69" w:rsidRPr="00D5501C" w:rsidRDefault="00460C69" w:rsidP="00460C69">
    <w:pPr>
      <w:pStyle w:val="SectionSubtitle"/>
    </w:pP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0A21A6" w14:textId="77777777" w:rsidR="00460C69" w:rsidRDefault="00460C69" w:rsidP="00460C69">
    <w:pPr>
      <w:pStyle w:val="HeaderTitleLeft"/>
    </w:pPr>
    <w:r>
      <w:t>European Commission</w:t>
    </w:r>
  </w:p>
  <w:p w14:paraId="1DB99F8B" w14:textId="77777777" w:rsidR="00460C69" w:rsidRPr="00F721B4" w:rsidRDefault="00460C69" w:rsidP="00460C69">
    <w:pPr>
      <w:pStyle w:val="HeaderTitleLeft"/>
    </w:pPr>
    <w:r>
      <w:t>The 2018 Ageing Report: Economic and Budgetary Projections for the EU Member States (2016-2070)</w:t>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D25E5D" w14:textId="77777777" w:rsidR="00460C69" w:rsidRDefault="00460C69" w:rsidP="00460C69">
    <w:pPr>
      <w:pStyle w:val="HeaderTitleRight"/>
    </w:pPr>
    <w:r>
      <w:t>Part IV</w:t>
    </w:r>
  </w:p>
  <w:p w14:paraId="227B079A" w14:textId="77777777" w:rsidR="00460C69" w:rsidRPr="00F721B4" w:rsidRDefault="00460C69" w:rsidP="00460C69">
    <w:pPr>
      <w:pStyle w:val="HeaderSubtitleRight"/>
    </w:pPr>
    <w:r>
      <w:t>Statistical Annex  – COUNTRY FICHES, Italy</w: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FA3BCC" w14:textId="77777777" w:rsidR="00460C69" w:rsidRDefault="00460C69" w:rsidP="00460C69">
    <w:pPr>
      <w:pStyle w:val="SectionTitle"/>
    </w:pPr>
    <w:r w:rsidRPr="00F721B4">
      <w:rPr>
        <w:rStyle w:val="SectionNumber"/>
      </w:rPr>
      <w:t>12.</w:t>
    </w:r>
    <w:r w:rsidRPr="00F721B4">
      <w:tab/>
      <w:t>Italy</w:t>
    </w:r>
  </w:p>
  <w:p w14:paraId="59D4D660" w14:textId="77777777" w:rsidR="00460C69" w:rsidRPr="00F721B4" w:rsidRDefault="00460C69" w:rsidP="00460C69">
    <w:pPr>
      <w:pStyle w:val="SectionSubtit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FCE5D4D"/>
    <w:multiLevelType w:val="singleLevel"/>
    <w:tmpl w:val="B612535E"/>
    <w:name w:val="Normal Numbered"/>
    <w:lvl w:ilvl="0">
      <w:start w:val="1"/>
      <w:numFmt w:val="decimal"/>
      <w:lvlText w:val="%1."/>
      <w:lvlJc w:val="left"/>
      <w:pPr>
        <w:tabs>
          <w:tab w:val="num" w:pos="369"/>
        </w:tabs>
        <w:ind w:left="0" w:firstLine="0"/>
      </w:pPr>
      <w:rPr>
        <w:b/>
      </w:rPr>
    </w:lvl>
  </w:abstractNum>
  <w:abstractNum w:abstractNumId="1">
    <w:nsid w:val="FFFFFF89"/>
    <w:multiLevelType w:val="singleLevel"/>
    <w:tmpl w:val="7CE25EFA"/>
    <w:lvl w:ilvl="0">
      <w:start w:val="1"/>
      <w:numFmt w:val="bullet"/>
      <w:lvlText w:val=""/>
      <w:lvlJc w:val="left"/>
      <w:pPr>
        <w:tabs>
          <w:tab w:val="num" w:pos="360"/>
        </w:tabs>
        <w:ind w:left="360" w:hanging="360"/>
      </w:pPr>
      <w:rPr>
        <w:rFonts w:ascii="Symbol" w:hAnsi="Symbol" w:hint="default"/>
      </w:rPr>
    </w:lvl>
  </w:abstractNum>
  <w:abstractNum w:abstractNumId="2">
    <w:nsid w:val="04A2589B"/>
    <w:multiLevelType w:val="multilevel"/>
    <w:tmpl w:val="57CE0F6E"/>
    <w:lvl w:ilvl="0">
      <w:start w:val="1"/>
      <w:numFmt w:val="decimal"/>
      <w:lvlText w:val="SectionNumber.%1."/>
      <w:lvlJc w:val="left"/>
      <w:pPr>
        <w:tabs>
          <w:tab w:val="num" w:pos="567"/>
        </w:tabs>
        <w:ind w:left="567" w:hanging="567"/>
      </w:pPr>
    </w:lvl>
    <w:lvl w:ilvl="1">
      <w:start w:val="1"/>
      <w:numFmt w:val="decimal"/>
      <w:lvlText w:val="SectionNumber.%1.%2."/>
      <w:lvlJc w:val="left"/>
      <w:pPr>
        <w:tabs>
          <w:tab w:val="num" w:pos="567"/>
        </w:tabs>
        <w:ind w:left="567" w:hanging="567"/>
      </w:pPr>
    </w:lvl>
    <w:lvl w:ilvl="2">
      <w:start w:val="1"/>
      <w:numFmt w:val="decimal"/>
      <w:lvlText w:val="SectionNumber.%1.%2.%3."/>
      <w:lvlJc w:val="left"/>
      <w:pPr>
        <w:tabs>
          <w:tab w:val="num" w:pos="709"/>
        </w:tabs>
        <w:ind w:left="709" w:hanging="709"/>
      </w:pPr>
    </w:lvl>
    <w:lvl w:ilvl="3">
      <w:start w:val="1"/>
      <w:numFmt w:val="decimal"/>
      <w:lvlText w:val="%1.%2.%3.%4."/>
      <w:lvlJc w:val="left"/>
      <w:pPr>
        <w:tabs>
          <w:tab w:val="num" w:pos="850"/>
        </w:tabs>
        <w:ind w:left="850" w:hanging="85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nsid w:val="080A0DAD"/>
    <w:multiLevelType w:val="multilevel"/>
    <w:tmpl w:val="395E330A"/>
    <w:name w:val="Default"/>
    <w:lvl w:ilvl="0">
      <w:start w:val="1"/>
      <w:numFmt w:val="decimal"/>
      <w:lvlText w:val="%1."/>
      <w:lvlJc w:val="left"/>
      <w:pPr>
        <w:tabs>
          <w:tab w:val="num" w:pos="720"/>
        </w:tabs>
        <w:ind w:left="72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nsid w:val="0F7F3CDF"/>
    <w:multiLevelType w:val="singleLevel"/>
    <w:tmpl w:val="09D8ECD0"/>
    <w:lvl w:ilvl="0">
      <w:start w:val="1"/>
      <w:numFmt w:val="decimal"/>
      <w:lvlRestart w:val="0"/>
      <w:lvlText w:val="%1."/>
      <w:lvlJc w:val="left"/>
      <w:pPr>
        <w:tabs>
          <w:tab w:val="num" w:pos="340"/>
        </w:tabs>
        <w:ind w:left="340" w:hanging="340"/>
      </w:pPr>
    </w:lvl>
  </w:abstractNum>
  <w:abstractNum w:abstractNumId="5">
    <w:nsid w:val="10A70EC0"/>
    <w:multiLevelType w:val="singleLevel"/>
    <w:tmpl w:val="2506DF26"/>
    <w:lvl w:ilvl="0">
      <w:start w:val="1"/>
      <w:numFmt w:val="decimal"/>
      <w:lvlRestart w:val="0"/>
      <w:pStyle w:val="NormalNumbered"/>
      <w:lvlText w:val="%1."/>
      <w:lvlJc w:val="left"/>
      <w:pPr>
        <w:tabs>
          <w:tab w:val="num" w:pos="369"/>
        </w:tabs>
        <w:ind w:left="0" w:firstLine="0"/>
      </w:pPr>
      <w:rPr>
        <w:b/>
      </w:rPr>
    </w:lvl>
  </w:abstractNum>
  <w:abstractNum w:abstractNumId="6">
    <w:nsid w:val="17EB36AF"/>
    <w:multiLevelType w:val="singleLevel"/>
    <w:tmpl w:val="96445E22"/>
    <w:name w:val="List Bullet"/>
    <w:lvl w:ilvl="0">
      <w:start w:val="1"/>
      <w:numFmt w:val="bullet"/>
      <w:lvlText w:val=""/>
      <w:lvlJc w:val="left"/>
      <w:pPr>
        <w:tabs>
          <w:tab w:val="num" w:pos="283"/>
        </w:tabs>
        <w:ind w:left="283" w:hanging="283"/>
      </w:pPr>
      <w:rPr>
        <w:rFonts w:ascii="Symbol" w:hAnsi="Symbol" w:hint="default"/>
      </w:rPr>
    </w:lvl>
  </w:abstractNum>
  <w:abstractNum w:abstractNumId="7">
    <w:nsid w:val="1CF87CCB"/>
    <w:multiLevelType w:val="singleLevel"/>
    <w:tmpl w:val="1F72CADE"/>
    <w:lvl w:ilvl="0">
      <w:start w:val="1"/>
      <w:numFmt w:val="decimal"/>
      <w:lvlRestart w:val="0"/>
      <w:pStyle w:val="NumberedList"/>
      <w:lvlText w:val="%1."/>
      <w:lvlJc w:val="left"/>
      <w:pPr>
        <w:tabs>
          <w:tab w:val="num" w:pos="340"/>
        </w:tabs>
        <w:ind w:left="340" w:hanging="340"/>
      </w:pPr>
    </w:lvl>
  </w:abstractNum>
  <w:abstractNum w:abstractNumId="8">
    <w:nsid w:val="273C53E3"/>
    <w:multiLevelType w:val="singleLevel"/>
    <w:tmpl w:val="2A6E1C1A"/>
    <w:lvl w:ilvl="0">
      <w:start w:val="1"/>
      <w:numFmt w:val="bullet"/>
      <w:lvlRestart w:val="0"/>
      <w:pStyle w:val="Grafikeoznake"/>
      <w:lvlText w:val=""/>
      <w:lvlJc w:val="left"/>
      <w:pPr>
        <w:tabs>
          <w:tab w:val="num" w:pos="283"/>
        </w:tabs>
        <w:ind w:left="283" w:hanging="283"/>
      </w:pPr>
      <w:rPr>
        <w:rFonts w:ascii="Symbol" w:hAnsi="Symbol" w:hint="default"/>
      </w:rPr>
    </w:lvl>
  </w:abstractNum>
  <w:abstractNum w:abstractNumId="9">
    <w:nsid w:val="3F2522A1"/>
    <w:multiLevelType w:val="singleLevel"/>
    <w:tmpl w:val="26F27912"/>
    <w:lvl w:ilvl="0">
      <w:start w:val="1"/>
      <w:numFmt w:val="bullet"/>
      <w:lvlRestart w:val="0"/>
      <w:pStyle w:val="ListDash"/>
      <w:lvlText w:val=""/>
      <w:lvlJc w:val="left"/>
      <w:pPr>
        <w:tabs>
          <w:tab w:val="num" w:pos="283"/>
        </w:tabs>
        <w:ind w:left="283" w:hanging="283"/>
      </w:pPr>
      <w:rPr>
        <w:rFonts w:ascii="Symbol" w:hAnsi="Symbol" w:hint="default"/>
      </w:rPr>
    </w:lvl>
  </w:abstractNum>
  <w:abstractNum w:abstractNumId="10">
    <w:nsid w:val="54F620F6"/>
    <w:multiLevelType w:val="singleLevel"/>
    <w:tmpl w:val="010ECA8C"/>
    <w:name w:val="List Dash"/>
    <w:lvl w:ilvl="0">
      <w:start w:val="1"/>
      <w:numFmt w:val="bullet"/>
      <w:lvlText w:val=""/>
      <w:lvlJc w:val="left"/>
      <w:pPr>
        <w:tabs>
          <w:tab w:val="num" w:pos="283"/>
        </w:tabs>
        <w:ind w:left="283" w:hanging="283"/>
      </w:pPr>
      <w:rPr>
        <w:rFonts w:ascii="Symbol" w:hAnsi="Symbol" w:hint="default"/>
      </w:rPr>
    </w:lvl>
  </w:abstractNum>
  <w:abstractNum w:abstractNumId="11">
    <w:nsid w:val="55961530"/>
    <w:multiLevelType w:val="multilevel"/>
    <w:tmpl w:val="F28A2784"/>
    <w:lvl w:ilvl="0">
      <w:start w:val="1"/>
      <w:numFmt w:val="none"/>
      <w:lvlRestart w:val="0"/>
      <w:lvlText w:val=""/>
      <w:lvlJc w:val="left"/>
      <w:pPr>
        <w:tabs>
          <w:tab w:val="num" w:pos="0"/>
        </w:tabs>
        <w:ind w:left="0" w:firstLine="0"/>
      </w:pPr>
    </w:lvl>
    <w:lvl w:ilvl="1">
      <w:start w:val="1"/>
      <w:numFmt w:val="decimal"/>
      <w:pStyle w:val="MyHeading2"/>
      <w:lvlText w:val="%1%2."/>
      <w:lvlJc w:val="left"/>
      <w:pPr>
        <w:tabs>
          <w:tab w:val="num" w:pos="283"/>
        </w:tabs>
        <w:ind w:left="567" w:hanging="567"/>
      </w:pPr>
    </w:lvl>
    <w:lvl w:ilvl="2">
      <w:start w:val="1"/>
      <w:numFmt w:val="decimal"/>
      <w:pStyle w:val="MyHeading3"/>
      <w:lvlText w:val="%1%2.%3."/>
      <w:lvlJc w:val="left"/>
      <w:pPr>
        <w:tabs>
          <w:tab w:val="num" w:pos="397"/>
        </w:tabs>
        <w:ind w:left="181" w:firstLine="0"/>
      </w:pPr>
      <w:rPr>
        <w:rFonts w:ascii="Times New Roman" w:hAnsi="Times New Roman" w:cs="Times New Roman"/>
      </w:rPr>
    </w:lvl>
    <w:lvl w:ilvl="3">
      <w:start w:val="1"/>
      <w:numFmt w:val="decimal"/>
      <w:pStyle w:val="MyHeading4"/>
      <w:lvlText w:val="%1%2.%3.%4."/>
      <w:lvlJc w:val="left"/>
      <w:pPr>
        <w:tabs>
          <w:tab w:val="num" w:pos="510"/>
        </w:tabs>
        <w:ind w:left="227" w:firstLine="0"/>
      </w:pPr>
    </w:lvl>
    <w:lvl w:ilvl="4">
      <w:start w:val="1"/>
      <w:numFmt w:val="decimal"/>
      <w:pStyle w:val="MyHeading5"/>
      <w:lvlText w:val="%2.%3.%4.%5."/>
      <w:lvlJc w:val="left"/>
      <w:pPr>
        <w:tabs>
          <w:tab w:val="num" w:pos="3237"/>
        </w:tabs>
        <w:ind w:left="2234" w:hanging="794"/>
      </w:pPr>
    </w:lvl>
    <w:lvl w:ilvl="5">
      <w:start w:val="1"/>
      <w:numFmt w:val="decimal"/>
      <w:lvlText w:val="%1.%2.%3.%4.%5.%6."/>
      <w:lvlJc w:val="left"/>
      <w:pPr>
        <w:tabs>
          <w:tab w:val="num" w:pos="3957"/>
        </w:tabs>
        <w:ind w:left="2738" w:hanging="941"/>
      </w:pPr>
    </w:lvl>
    <w:lvl w:ilvl="6">
      <w:start w:val="1"/>
      <w:numFmt w:val="decimal"/>
      <w:lvlText w:val="%1.%2.%3.%4.%5.%6.%7."/>
      <w:lvlJc w:val="left"/>
      <w:pPr>
        <w:tabs>
          <w:tab w:val="num" w:pos="4320"/>
        </w:tabs>
        <w:ind w:left="3237" w:hanging="1077"/>
      </w:pPr>
    </w:lvl>
    <w:lvl w:ilvl="7">
      <w:start w:val="1"/>
      <w:numFmt w:val="decimal"/>
      <w:lvlText w:val="%1.%2.%3.%4.%5.%6.%7.%8."/>
      <w:lvlJc w:val="left"/>
      <w:pPr>
        <w:tabs>
          <w:tab w:val="num" w:pos="5040"/>
        </w:tabs>
        <w:ind w:left="3742" w:hanging="1225"/>
      </w:pPr>
    </w:lvl>
    <w:lvl w:ilvl="8">
      <w:start w:val="1"/>
      <w:numFmt w:val="decimal"/>
      <w:lvlText w:val="%1.%2.%3.%4.%5.%6.%7.%8.%9."/>
      <w:lvlJc w:val="left"/>
      <w:pPr>
        <w:tabs>
          <w:tab w:val="num" w:pos="5760"/>
        </w:tabs>
        <w:ind w:left="4320" w:hanging="1440"/>
      </w:pPr>
    </w:lvl>
  </w:abstractNum>
  <w:abstractNum w:abstractNumId="12">
    <w:nsid w:val="5CB66A94"/>
    <w:multiLevelType w:val="singleLevel"/>
    <w:tmpl w:val="F40ABD02"/>
    <w:lvl w:ilvl="0">
      <w:start w:val="1"/>
      <w:numFmt w:val="decimal"/>
      <w:pStyle w:val="Nastevanjeviri"/>
      <w:lvlText w:val="%1."/>
      <w:lvlJc w:val="left"/>
      <w:pPr>
        <w:tabs>
          <w:tab w:val="num" w:pos="360"/>
        </w:tabs>
        <w:ind w:left="360" w:hanging="360"/>
      </w:pPr>
      <w:rPr>
        <w:rFonts w:hint="default"/>
      </w:rPr>
    </w:lvl>
  </w:abstractNum>
  <w:abstractNum w:abstractNumId="13">
    <w:nsid w:val="7397490C"/>
    <w:multiLevelType w:val="multilevel"/>
    <w:tmpl w:val="B1EC4D80"/>
    <w:name w:val="LegalNumbering"/>
    <w:lvl w:ilvl="0">
      <w:start w:val="1"/>
      <w:numFmt w:val="decimal"/>
      <w:lvlText w:val="%1."/>
      <w:lvlJc w:val="left"/>
      <w:pPr>
        <w:tabs>
          <w:tab w:val="num" w:pos="850"/>
        </w:tabs>
        <w:ind w:left="850" w:hanging="850"/>
      </w:pPr>
    </w:lvl>
    <w:lvl w:ilvl="1">
      <w:start w:val="1"/>
      <w:numFmt w:val="decimal"/>
      <w:lvlText w:val="%1.%2."/>
      <w:lvlJc w:val="left"/>
      <w:pPr>
        <w:tabs>
          <w:tab w:val="num" w:pos="850"/>
        </w:tabs>
        <w:ind w:left="850" w:hanging="850"/>
      </w:pPr>
    </w:lvl>
    <w:lvl w:ilvl="2">
      <w:start w:val="1"/>
      <w:numFmt w:val="decimal"/>
      <w:lvlText w:val="%1.%2.%3."/>
      <w:lvlJc w:val="left"/>
      <w:pPr>
        <w:tabs>
          <w:tab w:val="num" w:pos="850"/>
        </w:tabs>
        <w:ind w:left="850" w:hanging="850"/>
      </w:pPr>
    </w:lvl>
    <w:lvl w:ilvl="3">
      <w:start w:val="1"/>
      <w:numFmt w:val="decimal"/>
      <w:lvlText w:val="%1.%2.%3.%4."/>
      <w:lvlJc w:val="left"/>
      <w:pPr>
        <w:tabs>
          <w:tab w:val="num" w:pos="850"/>
        </w:tabs>
        <w:ind w:left="850" w:hanging="85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nsid w:val="7E4D2A11"/>
    <w:multiLevelType w:val="singleLevel"/>
    <w:tmpl w:val="B612535E"/>
    <w:name w:val="Numbered List"/>
    <w:lvl w:ilvl="0">
      <w:start w:val="1"/>
      <w:numFmt w:val="decimal"/>
      <w:lvlText w:val="%1."/>
      <w:lvlJc w:val="left"/>
      <w:pPr>
        <w:tabs>
          <w:tab w:val="num" w:pos="340"/>
        </w:tabs>
        <w:ind w:left="340" w:hanging="340"/>
      </w:pPr>
    </w:lvl>
  </w:abstractNum>
  <w:num w:numId="1">
    <w:abstractNumId w:val="6"/>
  </w:num>
  <w:num w:numId="2">
    <w:abstractNumId w:val="0"/>
    <w:lvlOverride w:ilvl="0">
      <w:startOverride w:val="1"/>
    </w:lvlOverride>
  </w:num>
  <w:num w:numId="3">
    <w:abstractNumId w:val="14"/>
    <w:lvlOverride w:ilvl="0">
      <w:startOverride w:val="1"/>
    </w:lvlOverride>
  </w:num>
  <w:num w:numId="4">
    <w:abstractNumId w:val="10"/>
  </w:num>
  <w:num w:numId="5">
    <w:abstractNumId w:val="2"/>
  </w:num>
  <w:num w:numId="6">
    <w:abstractNumId w:val="1"/>
  </w:num>
  <w:num w:numId="7">
    <w:abstractNumId w:val="7"/>
  </w:num>
  <w:num w:numId="8">
    <w:abstractNumId w:val="5"/>
  </w:num>
  <w:num w:numId="9">
    <w:abstractNumId w:val="8"/>
  </w:num>
  <w:num w:numId="10">
    <w:abstractNumId w:val="9"/>
  </w:num>
  <w:num w:numId="11">
    <w:abstractNumId w:val="0"/>
  </w:num>
  <w:num w:numId="12">
    <w:abstractNumId w:val="14"/>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num>
  <w:num w:numId="15">
    <w:abstractNumId w:val="12"/>
    <w:lvlOverride w:ilvl="0">
      <w:startOverride w:val="1"/>
    </w:lvlOverride>
  </w:num>
  <w:num w:numId="16">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embedSystemFonts/>
  <w:mirrorMargin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cumentProtection w:edit="comments" w:enforcement="1"/>
  <w:defaultTabStop w:val="720"/>
  <w:hyphenationZone w:val="425"/>
  <w:evenAndOddHeaders/>
  <w:characterSpacingControl w:val="doNotCompress"/>
  <w:hdrShapeDefaults>
    <o:shapedefaults v:ext="edit" spidmax="45057"/>
  </w:hdrShapeDefaults>
  <w:footnotePr>
    <w:footnote w:id="-1"/>
    <w:footnote w:id="0"/>
  </w:footnotePr>
  <w:endnotePr>
    <w:pos w:val="sectEnd"/>
    <w:numFmt w:val="decimal"/>
    <w:endnote w:id="-1"/>
    <w:endnote w:id="0"/>
  </w:endnotePr>
  <w:compat>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pylist_Path" w:val="\\at100\user\wovo\Project\CEC\ECFIN\EPKIT\Copylist\Templates"/>
    <w:docVar w:name="DocumentGUID" w:val="{5A138627-6658-424D-99CE-94386647E17E}"/>
    <w:docVar w:name="LW_DocType" w:val="EPPUBLICATION"/>
    <w:docVar w:name="PublicationXML_PART_1" w:val="&lt;?xml version=&quot;1.0&quot;?&gt;&lt;!--Sample XML file generated by XMLSPY v2004 rel. 4 U (http://www.xmlspy.com)--&gt;&lt;PublicFinancesInEMU xmlns:xsi=&quot;http://www.w3.org/2001/XMLSchema-instance&quot; xsi:noNamespaceSchemaLocation=&quot;PublicFinancesInEMU.xsd&quot;&gt;&lt;Meta&gt;&lt;Design&gt;&lt;GUID&gt;{5A138627-6658-424D-99CE-94386647E17E}&lt;/GUID&gt;&lt;DisplayName&gt;The 2018 Ageing Report: Economic and Budgetary Projections for the EU Member States (2016-2070)&lt;/DisplayName&gt;&lt;/Design&gt;&lt;Create&gt;&lt;Creatable&gt;true&lt;/Creatable&gt;&lt;Template&gt;EPPublication.dot&lt;/Template&gt;&lt;/Create&gt;&lt;Version&gt;3.6.13&lt;/Version&gt;&lt;/Meta&gt;&lt;StyleDefinitions&gt;&lt;StyleDefinition&gt;&lt;Name&gt;Series&lt;/Name&gt;&lt;ParagraphFormat&gt;&lt;SpaceBefore&gt;270&lt;/SpaceBefore&gt;&lt;/ParagraphFormat&gt;&lt;/StyleDefinition&gt;&lt;StyleDefinition&gt;&lt;Name&gt;Numbered Heading 1&lt;/Name&gt;&lt;ParagraphFormat&gt;&lt;Alignment&gt;0&lt;/Alignment&gt;&lt;/ParagraphFormat&gt;&lt;/StyleDefinition&gt;&lt;StyleDefinition&gt;&lt;Name&gt;Numbered Heading 2&lt;/Name&gt;&lt;ParagraphFormat&gt;&lt;Alignment&gt;0&lt;/Alignment&gt;&lt;/ParagraphFormat&gt;&lt;/StyleDefinition&gt;&lt;StyleDefinition&gt;&lt;Name&gt;Numbered Heading 3&lt;/Name&gt;&lt;ParagraphFormat&gt;&lt;Alignment&gt;0&lt;/Alignment&gt;&lt;/ParagraphFormat&gt;&lt;/StyleDefinition&gt;&lt;StyleDefinition&gt;&lt;Name&gt;Heading&lt;/Name&gt;&lt;ParagraphFormat&gt;&lt;Alignment&gt;0&lt;/Alignment&gt;&lt;/ParagraphFormat&gt;&lt;/StyleDefinition&gt;&lt;StyleDefinition&gt;&lt;Name&gt;Graph Title&lt;/Name&gt;&lt;Font&gt;&lt;Name&gt;Century Gothic&lt;/Name&gt;&lt;/Font&gt;&lt;ParagraphFormat&gt;&lt;Alignment&gt;0&lt;/Alignment&gt;&lt;SpaceAfter&gt;0&lt;/SpaceAfter&gt;&lt;/ParagraphFormat&gt;&lt;Borders&gt;&lt;BorderTop&gt;&lt;LineStyle&gt;1&lt;/LineStyle&gt;&lt;LineWidth&gt;6&lt;/LineWidth&gt;&lt;/BorderTop&gt;&lt;BorderBottom&gt;&lt;LineStyle&gt;1&lt;/LineStyle&gt;&lt;LineWidth&gt;6&lt;/LineWidth&gt;&lt;/BorderBottom&gt;&lt;/Borders&gt;&lt;/StyleDefinition&gt;&lt;StyleDefinition&gt;&lt;Name&gt;Graph Source&lt;/Name&gt;&lt;Font&gt;&lt;Name&gt;Century Gothic&lt;/Name&gt;&lt;/Font&gt;&lt;ParagraphFormat&gt;&lt;Alignment&gt;0&lt;/Alignment&gt;&lt;/ParagraphFormat&gt;&lt;Borders&gt;&lt;BorderTop&gt;&lt;LineStyle&gt;1&lt;/LineStyle&gt;&lt;LineWidth&gt;6&lt;/LineWidth&gt;&lt;/BorderTop&gt;&lt;BorderBottom&gt;&lt;LineStyle&gt;1&lt;/LineStyle&gt;&lt;LineWidth&gt;6&lt;/LineWidth&gt;&lt;/BorderBottom&gt;&lt;/Borders&gt;&lt;/StyleDefinition&gt;&lt;StyleDefinition&gt;&lt;Name&gt;Graph Footnote&lt;/Name&gt;&lt;Font&gt;&lt;Name&gt;Century Gothic&lt;/Name&gt;&lt;/Font&gt;&lt;ParagraphFormat&gt;&lt;Alignment&gt;0&lt;/Alignment&gt;&lt;/ParagraphFormat&gt;&lt;Borders&gt;&lt;BorderTop&gt;&lt;LineStyle&gt;1&lt;/LineStyle&gt;&lt;LineWidth&gt;6&lt;/LineWidth&gt;&lt;/BorderTop&gt;&lt;BorderBottom&gt;&lt;LineStyle&gt;1&lt;/LineStyle&gt;&lt;LineWidth&gt;6&lt;/LineWidth&gt;&lt;/BorderBottom&gt;&lt;/Borders&gt;&lt;/StyleDefinition&gt;&lt;StyleDefinition&gt;&lt;Name&gt;Table Title&lt;/Name&gt;&lt;Font&gt;&lt;Name&gt;Century Gothic&lt;/Name&gt;&lt;/Font&gt;&lt;ParagraphFormat&gt;&lt;Alignment&gt;0&lt;/Alignment&gt;&lt;/ParagraphFormat&gt;&lt;Borders&gt;&lt;BorderTop&gt;&lt;LineStyle&gt;1&lt;/LineStyle&gt;&lt;LineWidth&gt;6&lt;/LineWidth&gt;&lt;/BorderTop&gt;&lt;BorderBottom&gt;&lt;LineStyle&gt;1&lt;/LineStyle&gt;&lt;LineWidth&gt;6&lt;/LineWidth&gt;&lt;/BorderBottom&gt;&lt;/Borders&gt;&lt;/StyleDefinition&gt;&lt;StyleDefinition&gt;&lt;Name&gt;Table Source&lt;/Name&gt;&lt;Font&gt;&lt;Name&gt;Century Gothic&lt;/Name&gt;&lt;/Font&gt;&lt;ParagraphFormat&gt;&lt;Alignment&gt;0&lt;/Alignment&gt;&lt;/ParagraphFormat&gt;&lt;Borders&gt;&lt;BorderTop&gt;&lt;LineStyle&gt;1&lt;/LineStyle&gt;&lt;LineWidth&gt;6&lt;/LineWidth&gt;&lt;/BorderTop&gt;&lt;BorderBottom&gt;&lt;LineStyle&gt;1&lt;/LineStyle&gt;&lt;LineWidth&gt;6&lt;/LineWidth&gt;&lt;/BorderBottom&gt;&lt;/Borders&gt;&lt;/StyleDefinition&gt;&lt;StyleDefinition&gt;&lt;Name&gt;Table Footnote&lt;/Name&gt;&lt;Font&gt;&lt;Name&gt;Century Gothic&lt;/Name&gt;&lt;/Font&gt;&lt;ParagraphFormat&gt;&lt;Alignment&gt;0&lt;/Alignment&gt;&lt;/ParagraphFormat&gt;&lt;Borders&gt;&lt;BorderTop&gt;&lt;LineStyle&gt;1&lt;/LineStyle&gt;&lt;LineWidth&gt;6&lt;/LineWidth&gt;&lt;/BorderTop&gt;&lt;BorderBottom&gt;&lt;LineStyle&gt;1&lt;/LineStyle&gt;&lt;LineWidth&gt;6&lt;/LineWidth&gt;&lt;/BorderBottom&gt;&lt;/Borders&gt;&lt;/StyleDefinition&gt;&lt;StyleDefinition&gt;&lt;Name&gt;Toc 1&lt;/Name&gt;&lt;ParagraphFormat&gt;&lt;LeftIndent&gt;1.75&lt;/LeftIndent&gt;&lt;FirstLineIndent&gt;-1.75&lt;/FirstLineIndent&gt;&lt;SpaceBefore&gt;16&lt;/SpaceBefore&gt;&lt;/ParagraphFormat&gt;&lt;TabStops&gt;&lt;TabStop&gt;&lt;Position&gt;1.75&lt;/Position&gt;&lt;/TabStop&gt;&lt;TabStop&gt;&lt;Position&gt;2&lt;/Position&gt;&lt;/TabStop&gt;&lt;TabStop&gt;&lt;Position&gt;15&lt;/Position&gt;&lt;Alignment&gt;2&lt;/Alignment&gt;&lt;/TabStop&gt;&lt;/TabStops&gt;&lt;/StyleDefinition&gt;&lt;StyleDefinition&gt;&lt;Name&gt;Toc 2&lt;/Name&gt;&lt;ParagraphFormat&gt;&lt;LeftIndent&gt;2.5&lt;/LeftIndent&gt;&lt;FirstLineIndent&gt;-0.75&lt;/FirstLineIndent&gt;&lt;SpaceBefore&gt;1&lt;/SpaceBefore&gt;&lt;/ParagraphFormat&gt;&lt;TabStops&gt;&lt;TabStop&gt;&lt;Position&gt;2.5&lt;/Position&gt;&lt;/TabStop&gt;&lt;TabStop&gt;&lt;Position&gt;2.75&lt;/Position&gt;&lt;/TabStop&gt;&lt;TabStop&gt;&lt;Position&gt;15&lt;/Position&gt;&lt;Alignment&gt;2&lt;/Alignment&gt;&lt;/TabStop&gt;&lt;/TabStops&gt;&lt;/StyleDefinition&gt;&lt;StyleDefinition&gt;&lt;Name&gt;Toc 3&lt;/Name&gt;&lt;ParagraphFormat&gt;&lt;LeftIndent&gt;3.5&lt;/LeftIndent&gt;&lt;FirstLineIndent&gt;-1&lt;/FirstLineIndent&gt;&lt;SpaceBefore&gt;1&lt;/SpaceBefore&gt;&lt;/ParagraphFormat&gt;&lt;TabStops&gt;&lt;TabStop&gt;&lt;Position&gt;3.5&lt;/Position&gt;&lt;/TabStop&gt;&lt;TabStop&gt;&lt;Position&gt;3.75&lt;/Position&gt;&lt;/TabStop&gt;&lt;TabStop&gt;&lt;Position&gt;15&lt;/Position&gt;&lt;Alignment&gt;2&lt;/Alignment&gt;&lt;/TabStop&gt;&lt;/TabStops&gt;&lt;/StyleDefinition&gt;&lt;StyleDefinition&gt;&lt;Name&gt;Toc 5&lt;/Name&gt;&lt;Font&gt;&lt;Size&gt;9&lt;/Size&gt;&lt;/Font&gt;&lt;ParagraphFormat&gt;&lt;LeftIndent&gt;3&lt;/LeftIndent&gt;&lt;FirstLineIndent&gt;-1.25&lt;/FirstLineIndent&gt;&lt;SpaceBefore&gt;1&lt;/SpaceBefore&gt;&lt;/ParagraphFormat&gt;&lt;TabStops&gt;&lt;TabStop&gt;&lt;Position&gt;3&lt;/Position&gt;&lt;/TabStop&gt;&lt;TabStop&gt;&lt;Position&gt;3.25&lt;/Position&gt;&lt;/TabStop&gt;&lt;TabStop&gt;&lt;Position&gt;15&lt;/Position&gt;&lt;Alignment&gt;2&lt;/Alignment&gt;&lt;/TabStop&gt;&lt;/TabStops&gt;&lt;/StyleDefinition&gt;&lt;StyleDefinition&gt;&lt;Name&gt;Toc 6&lt;/Name&gt;&lt;TabStops&gt;&lt;TabStop&gt;&lt;Position&gt;15&lt;/Position&gt;&lt;Alignment&gt;2&lt;/Alignment&gt;&lt;/TabStop&gt;&lt;/TabStops&gt;&lt;/StyleDefinition&gt;&lt;StyleDefinition&gt;&lt;Name&gt;Toc 7&lt;/Name&gt;&lt;ParagraphFormat&gt;&lt;SpaceBefore&gt;16&lt;/SpaceBefore&gt;&lt;/ParagraphFormat&gt;&lt;TabStops&gt;&lt;TabStop&gt;&lt;Position&gt;15&lt;/Position&gt;&lt;Alignment&gt;2&lt;/Alignment&gt;&lt;/TabStop&gt;&lt;/TabStops&gt;&lt;/StyleDefinition&gt;&lt;StyleDefinition&gt;&lt;Name&gt;Header Title Left&lt;/Name&gt;&lt;ParagraphFormat&gt;&lt;LeftIndent&gt;-1.50&lt;/LeftIndent&gt;&lt;/ParagraphFormat&gt;&lt;/StyleDefinition&gt;&lt;StyleDefinition&gt;&lt;Name&gt;Header Subtitle Left&lt;/Name&gt;&lt;ParagraphFormat&gt;&lt;LeftIndent&gt;-1.50&lt;/LeftIndent&gt;&lt;/ParagraphFormat&gt;&lt;/StyleDefinition&gt;&lt;StyleDefinition&gt;&lt;Name&gt;Header Title Right&lt;/Name&gt;&lt;ParagraphFormat&gt;&lt;RightIndent&gt;-1.50&lt;/RightIndent&gt;&lt;/ParagraphFormat&gt;&lt;/StyleDefinition&gt;&lt;StyleDefinition&gt;&lt;Name&gt;Header Subtitle Right&lt;/Name&gt;&lt;ParagraphFormat&gt;&lt;RightIndent&gt;-1.50&lt;/RightIndent&gt;&lt;/ParagraphFormat&gt;&lt;/StyleDefinition&gt;&lt;/StyleDefinitions&gt;&lt;Format&gt;&lt;PageSettings&gt;&lt;PageHeight&gt;841.95&lt;/PageHeight&gt;&lt;PageWidth&gt;595.35&lt;/PageWidth&gt;&lt;TopMargin&gt;134.65&lt;/TopMargin&gt;&lt;BottomMargin&gt;70.85&lt;/BottomMargin&gt;&lt;LeftMargin&gt;85.04&lt;/LeftMargin&gt;&lt;RightMargin&gt;85.04&lt;/RightMargin&gt;&lt;Gutter&gt;0&lt;/Gutter&gt;&lt;HeaderDistance&gt;35.45&lt;/HeaderDistance&gt;&lt;FooterDistance&gt;59.53&lt;/FooterDistance&gt;&lt;DifferentFirstPageHeaderFooter&gt;1&lt;/DifferentFirstPageHeaderFooter&gt;&lt;OddAndEvenPagesHeaderFooter&gt;1&lt;/OddAndEvenPagesHeaderFooter&gt;&lt;SectionStart&gt;2&lt;/SectionStart&gt;&lt;MirrorMargins&gt;true&lt;/MirrorMargins&gt;&lt;Orientation&gt;0&lt;/Orientation&gt;&lt;/PageSettings&gt;&lt;ColumnSettings&gt;&lt;SetCount&gt;2&lt;/SetCount&gt;&lt;Spacing&gt;14.2&lt;/Spacing&gt;&lt;EvenlySpaced&gt;true&lt;/EvenlySpaced&gt;&lt;LineBetween&gt;false&lt;/LineBetween&gt;&lt;/ColumnSettings&gt;&lt;CharacterFormats&gt;&lt;FontName&gt;false&lt;/FontName&gt;&lt;AllowedSpecialFonts&gt;;Wingdings;Symbol;&lt;/AllowedSpecialFonts&gt;&lt;FontColor&gt;false&lt;/FontColor&gt;&lt;FontSize&gt;false&lt;/FontSize&gt;&lt;Bold&gt;true&lt;/Bold&gt;&lt;Italic&gt;true&lt;/Italic&gt;&lt;Subscript&gt;true&lt;/Subscript&gt;&lt;Superscript&gt;true&lt;/Superscript&gt;&lt;Underline&gt;true&lt;/Underline&gt;&lt;AllCaps&gt;false&lt;/AllCaps&gt;&lt;SmallCaps&gt;false&lt;/SmallCaps&gt;&lt;StrikeThrough&gt;false&lt;/StrikeThrough&gt;&lt;DoubleStrikeThrough&gt;false&lt;/DoubleStrikeThrough&gt;&lt;Emboss&gt;false&lt;/Emboss&gt;&lt;Engrave&gt;false&lt;/Engrave&gt;&lt;Hidden&gt;false&lt;/Hidden&gt;&lt;Outline&gt;false&lt;/Outline&gt;&lt;Shadow&gt;false&lt;/Shadow&gt;&lt;/CharacterFormats&gt;&lt;Header&gt;&lt;Primary&gt;&lt;Active&gt;true&lt;/Active&gt;&lt;LinkToPrevious&gt;false&lt;/LinkToPrevious&gt;&lt;FirstLine&gt;&lt;Style&gt;Header Title Right&lt;/Style&gt;&lt;Text&gt;%NameLevelOne% %ChapterNumber%&lt;/Text&gt;&lt;/FirstLine&gt;&lt;SecondLine&gt;&lt;Style&gt;Header Subtitle Right&lt;/Style&gt;&lt;Text&gt;%ChapterTitle%&lt;/Text&gt;&lt;/SecondLine&gt;&lt;/Primary&gt;&lt;FirstPage&gt;&lt;Active&gt;true&lt;/Active&gt;&lt;LinkToPrevious&gt;false&lt;/LinkToPrevious&gt;&lt;FirstLine&gt;&lt;Style&gt;Section Title&lt;/Style&gt;&lt;TextWithCharacterStyle&gt;&lt;CharacterStyle&gt;Section Number&lt;/CharacterStyle&gt;&lt;TextPart&gt;%SectionNumber%.&lt;/TextPart&gt;&lt;/TextWithCharacterStyle&gt;&lt;TextWithCharacterStyle&gt;&lt;CharacterStyle&gt;&lt;/CharacterStyle&gt;&lt;TextPart&gt;_x0009_%SectionTitle%&lt;/TextPart&gt;&lt;/TextWithCharacterStyle&gt;&lt;/FirstLine&gt;&lt;/FirstPage&gt;&lt;EvenPages&gt;&lt;Active&gt;true&lt;/Active&gt;&lt;LinkToPrevious&gt;false&lt;/LinkToPrevious&gt;&lt;FirstLine&gt;&lt;Style&gt;Header Title Left&lt;/Style&gt;&lt;Text&gt;European Commission&lt;/Text&gt;&lt;/FirstLine&gt;&lt;SecondLine&gt;&lt;Style&gt;Header Subtitle Left&lt;/Style&gt;&lt;Text&gt;%PublicationTitle%&lt;/Text&gt;&lt;/SecondLine&gt;&lt;/EvenPages&gt;&lt;/Header&gt;&lt;PageNumbers&gt;&lt;RestartNumberingAtSection&gt;false&lt;/RestartNumberingAtSection&gt;&lt;StartingNumber&gt;1&lt;/StartingNumber&gt;&lt;NumberStyle&gt;0&lt;/NumberStyle&gt;&lt;/PageNumbers&gt;&lt;Notes&gt;&lt;UsedNotesType&gt;Footnotes&lt;/UsedNotesType&gt;&lt;FootnotesNumberingRule&gt;0&lt;/FootnotesNumberingRule&gt;&lt;FootnotesNumberStyle&gt;0&lt;/FootnotesNumberStyle&gt;&lt;FootnotesLocation&gt;0&lt;/FootnotesLocation&gt;&lt;EndnotesNumberingRule&gt;1&lt;/EndnotesNumberingRule&gt;&lt;EndnotesNumberStyle&gt;0&lt;/EndnotesNumberStyle&gt;&lt;EndnotesLocation&gt;0&lt;/EndnotesLocation&gt;&lt;/Notes&gt;&lt;Footer&gt;&lt;Primary&gt;&lt;Active&gt;true&lt;/Active&gt;&lt;LinkToPrevious&gt;false&lt;/LinkToPrevious&gt;&lt;FirstLine&gt;&lt;Style&gt;Footer PageNumber (30)&lt;/Style&gt;&lt;Text&gt;%PageNumber%&lt;/Text&gt;&lt;/FirstLine&gt;&lt;/Primary&gt;&lt;FirstPage&gt;&lt;Active&gt;true&lt;/Active&gt;&lt;LinkToPrevious&gt;false&lt;/LinkToPrevious&gt;&lt;FirstLine&gt;&lt;Style&gt;Footer PageNumber (30)&lt;/Style&gt;&lt;Text&gt;%PageNumber%&lt;/Text&gt;&lt;/FirstLine&gt;&lt;/FirstPage&gt;&lt;EvenPages&gt;&lt;Active&gt;true&lt;/Active&gt;&lt;LinkToPrevious&gt;false&lt;/LinkToPrevious&gt;&lt;FirstLine&gt;&lt;Style&gt;Footer PageNumber (30)&lt;/Style&gt;&lt;Text&gt;%PageNumber%&lt;/Text&gt;&lt;/FirstLine&gt;&lt;/EvenPages&gt;&lt;/Footer&gt;&lt;AutoNumbering&gt;&lt;LevelOne&gt;&lt;Style&gt;Numbered Heading 1&lt;/Style&gt;&lt;Prefix&gt;%SectionNumber%.&lt;/Prefix&gt;&lt;/LevelOne&gt;&lt;LevelTwo&gt;&lt;Style&gt;Numbered Heading 2&lt;/Style&gt;&lt;Prefix&gt;%SectionNumber%.&lt;/Prefix&gt;&lt;/LevelTwo&gt;&lt;LevelThree&gt;&lt;Style&gt;Numbered Heading 3&lt;/Style&gt;&lt;Prefix&gt;%SectionNumber%.&lt;/Prefix&gt;&lt;/LevelThree&gt;&lt;/AutoNumbering&gt;&lt;ToCFields&gt;&lt;Box&gt;&lt;Text&gt;%ChapterNumber%.%SectionNumber%.%EPShapeNumber%._x0009_%EPShapeTitle%&lt;/Text&gt;&lt;Name&gt;box&lt;/Name&gt;&lt;Level&gt;5&lt;/Level&gt;&lt;/Box&gt;&lt;Graph&gt;&lt;Text&gt;%ChapterNumber%.%SectionNumber%.%EPShapeNumber%._x0009_%EPShapeTitle%&lt;/Text&gt;&lt;Name&gt;graph&lt;/Name&gt;&lt;Level&gt;5&lt;/Level&gt;&lt;/Graph&gt;&lt;Table&gt;&lt;Text&gt;%ChapterNumber%.%SectionNumber%.%EPShapeNumber%._x0009_%EPShapeTitle%&lt;/Text&gt;&lt;Name&gt;table&lt;/Name&gt;&lt;Level&gt;5&lt;/Level&gt;&lt;/Table&gt;&lt;/ToCFields&gt;&lt;ShapeSettings&gt;&lt;NumberingInWord&gt;true&lt;/NumberingInWord&gt;&lt;/ShapeSettings&gt;&lt;CleanupValidStyles&gt;;Normal;Normal Compact;Normal Left;Normal Right;Normal Centered;Normal Numbered;Normal Framed;Abstract;List Bullet;Heading;Numbered Heading 1;Numbered Heading 2;Numbered Heading 3;Side Note;Footnote Reference;Footnote Text;Endnote Reference;Endnote Text;List Bullet;Subsection Title;Section Title (Continuous);Footer;Footer PageNumber;Publication Supertitle;Publication Title;Publication Subtitle;Institution;Institution Subtitle;Series;Box Shape;Box Continue Top;Box Continue Bottom;Table Continue Top;Table Continue Bottom;Default Table;Bottom Table;Bottom Center Table;Bottom Table Restricted Shape;Graph Title;Graph Source;Graph Footnote;Graph Shape;Table Title;Table Source;Table Footnote;Table Shape;Slim Cell;TOC 1;TOC 2;TOC 3;TOC 4;TOC 5;TOC 6;TOC 7;TOC 8;TOC 9;TOC Heading;StatAnnex Table;SN Text;SN SideNote;SN Numbered Heading 1;SN Numbered Heading 2;Abbreviation;Numbered List;List Dash;&lt;/CleanupValidStyles&gt;&lt;/Format&gt;&lt;Content&gt;&lt;PublicationTitle Edit=&quot;true&quot; DisplayName=&quot;Publication Title&quot;&gt;The 2018 Ageing Report: Economic and Budgetary Projections for the EU Member States (2016-2070)&lt;/PublicationTitle&gt;&lt;PublicationSubtitle Edit=&quot;true&quot; DisplayName=&quot;Publication Subtitle&quot;&gt;&lt;/PublicationSubtitle&gt;&lt;NameLevelOne DisplayName=&quot;Name Level 1&quot;&gt;Part&lt;/NameLevelOne&gt;&lt;NameLevelTwo DisplayName=&quot;Name Level 2&quot;&gt;Chapter&lt;/NameLevelTwo&gt;&lt;NameAnnex DisplayName=&quot;Name Annex&quot;&gt;Annex&lt;/NameAnnex&gt;&lt;NameAnnexAbbreviation DisplayName=&quot;Name Annex Abbreviation&quot;&gt;A&lt;/NameAnnexAbbreviation&gt;&lt;SeriesNumber DisplayName=&quot;Series Number&quot;&gt;2018&lt;/SeriesNumber&gt;&lt;/Content&gt;&lt;Structure&gt;&lt;DocumentCoverPage&gt;&lt;Meta&gt;&lt;Design&gt;&lt;GUID&gt;{1B9761F3-ECE8-4C61-A673-6F615A999345}&lt;/GUID&gt;&lt;DisplayName&gt;Coverpage&lt;/DisplayName&gt;&lt;/Design&gt;&lt;Create&gt;&lt;Creatable&gt;false&lt;/Creatable&gt;&lt;Template&gt;EPPublicationCoverpage.dot&lt;/Template&gt;&lt;/Create&gt;&lt;/Meta&gt;&lt;Format&gt;&lt;PageSettings&gt;&lt;SectionStart&gt;4&lt;/SectionStart&gt;&lt;/PageSettings&gt;&lt;ColumnSettings&gt;&lt;SetCount&gt;1&lt;/SetCount&gt;&lt;/ColumnSettings&gt;&lt;Header&gt;&lt;Primary&gt;&lt;Active&gt;false&lt;/Active&gt;&lt;/Primary&gt;&lt;FirstPage&gt;&lt;Active&gt;false&lt;/Active&gt;&lt;/FirstPage&gt;&lt;EvenPages&gt;&lt;Active&gt;false&lt;/Active&gt;&lt;/EvenPages&gt;&lt;/Header&gt;&lt;PageNumbers&gt;&lt;RestartNumberingAtSection&gt;true&lt;/RestartNumberingAtSection&gt;&lt;StartingNumber&gt;1&lt;/StartingNumber&gt;&lt;NumberStyle&gt;2&lt;/NumberStyle&gt;&lt;/PageNumbers&gt;&lt;Footer&gt;&lt;Primary&gt;&lt;Active&gt;false&lt;/Active&gt;&lt;/Primary&gt;&lt;FirstPage&gt;&lt;Active&gt;false&lt;/Active&gt;&lt;/FirstPage&gt;&lt;EvenPages&gt;&lt;Active&gt;false&lt;/Active&gt;&lt;LinkToPrevious&gt;false&lt;/LinkToPrevious&gt;&lt;/EvenPages&gt;&lt;/Footer&gt;&lt;Variables&gt;&lt;Variable&gt;&lt;Name&gt;Institution&lt;/Name&gt;&lt;Value&gt;European Commission&lt;/Value&gt;&lt;Type&gt;BOOKMARK&lt;/Type&gt;&lt;/Variable&gt;&lt;Variable&gt;&lt;Name&gt;InstitutionSubtitle&lt;/Name&gt;&lt;Value&gt;Directorate-General for Economic and Financial Affairs&lt;/Value&gt;&lt;Type&gt;BOOKMARK&lt;/Type&gt;&lt;/Variable&gt;&lt;Variable&gt;&lt;Name&gt;PublicationTitle&lt;/Name&gt;&lt;Value&gt;%PublicationTitle%&lt;/Value&gt;&lt;Type&gt;BOOKMARK&lt;/Type&gt;&lt;/Variable&gt;&lt;Variable&gt;&lt;Name&gt;PublicationSubtitle&lt;/Name&gt;&lt;Value&gt;%PublicationSubtitle%&lt;/Value&gt;&lt;Type&gt;BOOKMARK&lt;/Type&gt;&lt;/Variable&gt;&lt;Variable&gt;&lt;Name&gt;SeriesName&lt;/Name&gt;&lt;Value&gt;EUROPEAN ECONOMY&lt;/Value&gt;&lt;Type&gt;BOOKMARK&lt;/Type&gt;&lt;/Variable&gt;&lt;Variable&gt;&lt;Name&gt;SeriesNumber&lt;/Name&gt;&lt;Value&gt;%SeriesNumber%&lt;/Value&gt;&lt;Type&gt;BOOKMARK&lt;/Type&gt;&lt;/Variable&gt;&lt;/Variables&gt;&lt;/Format&gt;&lt;Content /&gt;&lt;/DocumentCoverPage&gt;&lt;Acknowledgements&gt;&lt;Meta&gt;&lt;Design&gt;&lt;GUID&gt;{479D30FB-0011-463C-8FFE-E6A8D99EA42D}&lt;/GUID&gt;&lt;DisplayName&gt;Acknowledgements&lt;/DisplayName&gt;&lt;/Design&gt;&lt;Create&gt;&lt;Creatable&gt;true&lt;/Creatable&gt;&lt;Template&gt;EPSimpleSection.dot&lt;/Template&gt;&lt;/Create&gt;&lt;Manage&gt;&lt;Path&gt;U:\Budgetary projections 2018\Reports\2018 AR\The 2018 Ageing Report Economic\Acknowledgements.docx&lt;/Path&gt;&lt;LastMerge&gt;2018-03-09T14:14:58&lt;/LastMerge&gt;&lt;ExternalSources&gt;&lt;/ExternalSources&gt;&lt;/Manage&gt;&lt;/Meta&gt;&lt;Format&gt;&lt;PageSettings&gt;&lt;SectionStart&gt;2&lt;/SectionStart&gt;&lt;/PageSettings&gt;&lt;ColumnSettings&gt;&lt;SetCount&gt;1&lt;/SetCount&gt;&lt;/ColumnSettings&gt;&lt;Header&gt;&lt;Primary&gt;&lt;Active&gt;false&lt;/Active&gt;&lt;/Primary&gt;&lt;FirstPage&gt;&lt;Active&gt;true&lt;/Active&gt;&lt;LinkToPrevious&gt;false&lt;/LinkToPrevious&gt;&lt;FirstLine&gt;&lt;Style&gt;Section Title&lt;/Style&gt;&lt;Text&gt;%Title%&lt;/Text&gt;&lt;/FirstLine&gt;&lt;/FirstPage&gt;&lt;EvenPages&gt;&lt;Active&gt;false&lt;/Active&gt;&lt;/EvenPages&gt;&lt;/Header&gt;&lt;PageNumbers&gt;&lt;NumberStyle&gt;2&lt;/NumberStyle&gt;&lt;/PageNumbers&gt;&lt;/Format&gt;&lt;Content&gt;&lt;Title&gt;Acknowledgements&lt;/Title&gt;&lt;/Content&gt;&lt;/Acknowledgements&gt;&lt;ToC&gt;&lt;Meta&gt;&lt;Design&gt;&lt;GUID&gt;{470918E3-4FF4-41B2-A15E-AACCEF33F3E3}&lt;/GUID&gt;&lt;DisplayName&gt;Contents&lt;/DisplayName&gt;&lt;/Design&gt;&lt;Create&gt;&lt;Creatable&gt;false&lt;/Creatable&gt;&lt;Template&gt;EPContents.dot&lt;/Template&gt;&lt;/Create&gt;&lt;/Meta&gt;&lt;Format&gt;&lt;PageSettings&gt;&lt;SectionStart&gt;4&lt;/SectionStart&gt;&lt;/PageSettings&gt;&lt;ColumnSettings&gt;&lt;SetCount&gt;1&lt;/SetCount&gt;&lt;/ColumnSettings&gt;&lt;Header&gt;&lt;Primary&gt;&lt;Active&gt;false&lt;/Active&gt;&lt;/Primary&gt;&lt;FirstPage&gt;&lt;Active&gt;true&lt;/Active&gt;&lt;LinkToPrevious&gt;false&lt;/LinkToPrevious&gt;&lt;FirstLine&gt;&lt;Style&gt;Section Title&lt;/Style&gt;&lt;Text&gt;Contents&lt;/Text&gt;&lt;/FirstLine&gt;&lt;/FirstPage&gt;&lt;EvenPages&gt;&lt;Active&gt;false&lt;/Active&gt;&lt;/EvenPages&gt;&lt;/Header&gt;&lt;PageNumbers&gt;&lt;NumberStyle&gt;2&lt;/NumberStyle&gt;&lt;/PageNumbers&gt;&lt;/Format&gt;&lt;/ToC&gt;&lt;SummaryConclusions&gt;&lt;Meta&gt;&lt;Design&gt;&lt;GUID&gt;{198497D4-0148-4A70-B5C6-6A31BA51F4E6}&lt;/GUID&gt;&lt;DisplayName&gt;Executive Summary&lt;/DisplayName&gt;&lt;/Design&gt;&lt;Create&gt;&lt;Creatable&gt;true&lt;/Creatable&gt;&lt;Template&gt;EPGeneralSection.dot&lt;/Template&gt;&lt;/Create&gt;&lt;Manage&gt;&lt;Path&gt;U:\Budgetary projections 2018\Reports\2018 AR\The 2018 Ageing Report Economic\Executive Summary.docx&lt;/Path&gt;&lt;LastMerge&gt;2018-04-13T10:22:51&lt;/LastMerge&gt;&lt;ExternalSources&gt;*U:\Budgetary projections 2018\Reports\2018 AR\Tables_and_graphs\Part II Chapter 6\graph_presentation3.png*U:\Budgetary projections 2018\Reports\2018 AR\Tables_and_graphs\Part II Chapter 6\Graphs_tables.xlsx*U:\Budgetary projections 2018\Reports\2018 AR\Tables_and_graphs\Part II Chapter 6\population_graph_EU.xlsx*&lt;/ExternalSources&gt;&lt;/Manage&gt;&lt;/Meta&gt;&lt;Format&gt;&lt;ColumnSettings&gt;&lt;SetCount&gt;1&lt;/SetCount&gt;&lt;/ColumnSettings&gt;&lt;Header&gt;&lt;Primary&gt;&lt;Active&gt;true&lt;/Active&gt;&lt;LinkToPrevious&gt;false&lt;/LinkToPrevious&gt;&lt;FirstLine&gt;&lt;Style&gt;Header Subtitle Right&lt;/Style&gt;&lt;Text&gt;%Title%&lt;/Text&gt;&lt;/FirstLine&gt;&lt;SecondLine&gt;&lt;Style /&gt;&lt;Text /&gt;&lt;/SecondLine&gt;&lt;/Primary&gt;&lt;FirstPage&gt;&lt;Active&gt;true&lt;/Active&gt;&lt;LinkToPrevious&gt;false&lt;/LinkToPrevious&gt;&lt;FirstLine&gt;&lt;Style&gt;Section Title&lt;/Style&gt;&lt;Text&gt;%Title%&lt;/Text&gt;&lt;/FirstLine&gt;&lt;SecondLine&gt;&lt;Style /&gt;&lt;Text /&gt;&lt;/SecondLine&gt;&lt;/FirstPage&gt;&lt;/Header&gt;&lt;PageNumbers&gt;&lt;RestartNumberingAtSection&gt;true&lt;/RestartNumberingAtSection&gt;&lt;StartingNumber&gt;1&lt;/StartingNumber&gt;&lt;NumberStyle&gt;0&lt;/NumberStyle&gt;&lt;/PageNumbers&gt;&lt;AutoNumbering&gt;&lt;LevelOne&gt;&lt;Style&gt;Numbered Heading 1&lt;/Style&gt;&lt;Prefix /&gt;&lt;/LevelOne&gt;&lt;LevelTwo&gt;&lt;Style&gt;Numbered Heading 2&lt;/Style&gt;&lt;Prefix /&gt;&lt;/LevelTwo&gt;&lt;LevelThree&gt;&lt;Style&gt;Numbered Heading 3&lt;/Style&gt;&lt;Prefix /&gt;&lt;/LevelThree&gt;&lt;/AutoNumbering&gt;&lt;SpecialNumbering&gt;&lt;Box /&gt;&lt;Graph /&gt;&lt;Table /&gt;&lt;Formula /&gt;&lt;/SpecialNumbering&gt;&lt;ToCFields&gt;&lt;Start&gt;&lt;Text&gt;%Title%&lt;/Text&gt;&lt;Name /&gt;&lt;Level&gt;1&lt;/Level&gt;&lt;/Start&gt;&lt;Box&gt;&lt;Text&gt;%EPShapeNumber%._x0009_%EPShapeTitle%&lt;/Text&gt;&lt;Name&gt;box&lt;/Name&gt;&lt;Level&gt;5&lt;/Level&gt;&lt;/Box&gt;&lt;Graph&gt;&lt;Text&gt;%EPShapeNumber%._x0009_%EPShapeTitle%&lt;/Text&gt;&lt;Name&gt;graph&lt;/Name&gt;&lt;Level&gt;5&lt;/Level&gt;&lt;/Graph&gt;&lt;Table&gt;&lt;Text&gt;%EPShapeNumber%._x0009_%EPShapeTitle%&lt;/Text&gt;&lt;Name&gt;table&lt;/Name&gt;&lt;Level&gt;5&lt;/Level&gt;&lt;/Table&gt;&lt;/ToCFields&gt;&lt;/Format&gt;&lt;Content&gt;&lt;Title&gt;Executive Summary&lt;/Title&gt;&lt;/Content&gt;&lt;/SummaryConclusions&gt;&lt;PublicFinancesGeneralChapter&gt;&lt;Meta&gt;&lt;Design&gt;&lt;GUID&gt;{810F7665-350E-4E3D-9A03-7403E496464A}&lt;/GUID&gt;&lt;DisplayName&gt;Part I: Underlying demographic and macroeconomic assumptions&lt;/DisplayName&gt;&lt;/Design&gt;&lt;Create&gt;&lt;Creatable&gt;false&lt;/Creatable&gt;&lt;/Create&gt;&lt;/Meta&gt;&lt;Format&gt;&lt;ToCFields&gt;&lt;Start&gt;&lt;Text&gt;%SectionNumber%._x0009_%SectionTitle%&lt;/Text&gt;&lt;Name /&gt;&lt;Level&gt;2&lt;/Level&gt;&lt;/Start&gt;&lt;/ToCFields&gt;&lt;/Format&gt;&lt;Content&gt;&lt;ChapterNumber DisplayName=&quot;Level 1 Number&quot;&gt;I&lt;/ChapterNumber&gt;&lt;ChapterTitle DisplayName=&quot;Level 1 Title&quot; Edit=&quot;true&quot;&gt;Underlying demographic and macroeconomic assumptions&lt;/ChapterTitle&gt;&lt;/Content&gt;&lt;Structure&gt;&lt;PublicFinancesChapterCoverPage&gt;&lt;Meta&gt;&lt;Design&gt;&lt;GUID&gt;{6E5DF182-5E4F-43E6-880B-561AA0484D29}&lt;/GUID&gt;&lt;DisplayName&gt;Part Cover Page&lt;/DisplayName&gt;&lt;/Design&gt;&lt;Create&gt;&lt;Creatable&gt;false&lt;/Creatable&gt;&lt;Template&gt;EPGeneralSection.dot&lt;/Template&gt;&lt;/Create&gt;&lt;/Meta&gt;&lt;Format&gt;&lt;PageSettings&gt;&lt;SectionStart&gt;4&lt;/SectionStart&gt;&lt;/PageSettings&gt;&lt;ColumnSettings&gt;&lt;SetCount&gt;1&lt;/SetCount&gt;&lt;/ColumnSettings&gt;&lt;Header&gt;&lt;Primary&gt;&lt;Active&gt;false&lt;/Active&gt;&lt;/Primary&gt;&lt;FirstPage&gt;&lt;Active&gt;true&lt;/Active&gt;&lt;LinkToPrevious&gt;false&lt;/LinkToPrevious&gt;&lt;FirstLine&gt;&lt;Style&gt;Chapter Name&lt;/Style&gt;&lt;Text&gt;%NameLevelOne% %ChapterNumber%&lt;/Text&gt;&lt;/FirstLine&gt;&lt;SecondLine&gt;&lt;Style&gt;Chapter Title&lt;/Style&gt;&lt;Text&gt;%ChapterTitle%&lt;/Text&gt;&lt;/SecondLine&gt;&lt;/FirstPage&gt;&lt;EvenPages&gt;&lt;Active&gt;false&lt;/Active&gt;&lt;/EvenPages&gt;&lt;/Header&gt;&lt;Footer&gt;&lt;Primary&gt;&lt;Active&gt;false&lt;/Active&gt;&lt;/Primary&gt;&lt;FirstPage&gt;&lt;Active&gt;false&lt;/Active&gt;&lt;/FirstPage&gt;&lt;EvenPages&gt;&lt;Active&gt;false&lt;/Active&gt;&lt;LinkToPrevious&gt;false&lt;/LinkToPrevious&gt;&lt;/EvenPages&gt;&lt;/Footer&gt;&lt;ToCFields&gt;&lt;Start&gt;&lt;Text&gt;%NameLevelOne% %ChapterNumber%:_x0009_%ChapterTitle%&lt;/Text&gt;&lt;Name /&gt;&lt;Level&gt;1&lt;/Level&gt;&lt;/Start&gt;&lt;/ToCFields&gt;&lt;/Format&gt;&lt;Content /&gt;&lt;/PublicFinancesChapterCoverPage&gt;&lt;PublicFinancesGeneralSection&gt;&lt;Meta&gt;&lt;Design&gt;&lt;GUID&gt;{37CFBCEA-72DA-41FF-9CC8-DCFFAE09A88E}&lt;/GUID&gt;&lt;DisplayName&gt;Chapter 1: Demographic assumptions&lt;/DisplayName&gt;&lt;/Design&gt;&lt;Create&gt;&lt;Creatable&gt;true&lt;/Creatable&gt;&lt;Template&gt;EPGeneralSection.dot&lt;/Template&gt;&lt;/Create&gt;&lt;Manage&gt;&lt;Path&gt;U:\Budgetary projections 2018\Reports\2018 AR\The 2018 Ageing Report Economic\Part I Underlying demographic an\Chapter 1 Demographic assumptions.docx&lt;/Path&gt;&lt;LastMerge&gt;2018-04-13T17:40:11&lt;/LastMerge&gt;&lt;ExternalSources&gt;*U:\Budgetary projections 2018\Reports\2018 AR\Tables_and_graphs\Part I Chapter 1\Tables &amp;amp; charts - CHAP1.xlsx*U:\Budgetary projections 2018\Reports\2018 AR UA&amp;amp;PM\Tables and graphs\Part I Chapter 1\Box 1 Migration.doc*&lt;/ExternalSources&gt;&lt;/Manage&gt;&lt;/Meta&gt;&lt;Content&gt;&lt;SectionNumber DisplayName=&quot;Level 2 Number&quot; Automatic=&quot;true&quot;&gt;1&lt;/SectionNumber&gt;&lt;SectionTitle DisplayName=&quot;Level 2 Title&quot; Edit=&quot;true&quot;&gt;Demographic assumptions&lt;/SectionTitle&gt;&lt;/Content&gt;&lt;/PublicFinancesGeneralSection&gt;&lt;PublicFinancesGeneralSection&gt;&lt;Meta&gt;&lt;Design&gt;&lt;GUID&gt;{BD20D9E2-E7AE-4877-8CD5-1586EF61C558}&lt;/GUID&gt;&lt;DisplayName&gt;Chapter 2: Macroeconomic assumptions&lt;/DisplayName&gt;&lt;/Design&gt;&lt;Create&gt;&lt;Creatable&gt;true&lt;/Creatable&gt;&lt;Template&gt;EPGeneralSection.dot&lt;/Template&gt;&lt;/Create&gt;&lt;Manage&gt;&lt;Path&gt;U:\Budgetary projections 2018\Reports\2018 AR\The 2018 Ageing Report Economic\Part I Underlying demographic an\Chapter 2 Macroeconomic assumptions.docx&lt;/Path&gt;&lt;LastMerge&gt;2018-04-13T17:07:47&lt;/LastMerge&gt;&lt;ExternalSources&gt;*U:\Budgetary projections 2018\Reports\2018 AR\Tables_and_graphs\Part I Chapter 2\Graphs.xlsx*&lt;/ExternalSources&gt;&lt;/Manage&gt;&lt;/Meta&gt;&lt;Content&gt;&lt;SectionNumber DisplayName=&quot;Level 2 Number&quot; Automatic=&quot;true&quot;&gt;2&lt;/SectionNumber&gt;&lt;SectionTitle DisplayName=&quot;Level 2 Title&quot; Edit=&quot;true&quot;&gt;Macroeconomic assumptions&lt;/SectionTitle&gt;&lt;/Content&gt;&lt;/PublicFinancesGeneralSection&gt;&lt;PublicFinancesGeneralSection&gt;&lt;Meta&gt;&lt;Design&gt;&lt;GUID&gt;{0B581601-2BF7-42CE-8168-7BD61D271BF7}&lt;/GUID&gt;&lt;DisplayName&gt;Chapter 3: Sensitivity tests&lt;/DisplayName&gt;&lt;/Design&gt;&lt;Create&gt;&lt;Creatable&gt;true&lt;/Creatable&gt;&lt;Template&gt;EPGeneralSection.dot&lt;/Template&gt;&lt;/Create&gt;&lt;Manage&gt;&lt;Path&gt;U:\Budgetary projections 2018\Reports\2018 AR\The 2018 Ageing Report Economic\Part I Underlying demographic an\Chapter 3 Sensitivity tests.docx&lt;/Path&gt;&lt;LastMerge&gt;2018-04-12T16:48:41&lt;/LastMerge&gt;&lt;ExternalSources&gt;*U:\Budgetary projections 2018\Reports\2018 AR\Tables_and_graphs\Part I Chapter 3\Joao - Tables &amp;amp; charts - CHAP 1.xlsx*&lt;/ExternalSources&gt;&lt;/Manage&gt;&lt;/Meta&gt;&lt;Content&gt;&lt;SectionNumber DisplayName=&quot;Level 2 Number&quot;&gt;3&lt;/SectionNumber&gt;&lt;SectionTitle DisplayName=&quot;Level 2 Title&quot; Edit=&quot;true&quot;&gt;Sensitivity tests&lt;/SectionTitle&gt;&lt;/Content&gt;&lt;/PublicFinancesGeneralSection&gt;&lt;/Structure&gt;&lt;/PublicFinancesGeneralChapter&gt;&lt;PublicFinancesGeneralChapter&gt;&lt;Meta&gt;&lt;Design&gt;&lt;GUID&gt;{7F0F67E9-86A0-40E7-9FBB-6ACE188D6A6B}&lt;/GUID&gt;&lt;DisplayName&gt;Part II: Long-term projections of age-related expenditure and unemployment benefits&lt;/DisplayName&gt;&lt;/Design&gt;&lt;Create&gt;&lt;Creatable&gt;false&lt;/Creatable&gt;&lt;/Create&gt;&lt;/Meta&gt;&lt;Format&gt;&lt;ToCFields&gt;&lt;Start&gt;&lt;Text&gt;%SectionNumber%._x0009_%SectionTitle%&lt;/Text&gt;&lt;Name /&gt;&lt;Level&gt;2&lt;/Level&gt;&lt;/Start&gt;&lt;/ToCFields&gt;&lt;/Format&gt;&lt;Content&gt;&lt;ChapterNumber DisplayName=&quot;Level 1 Number&quot;&gt;II&lt;/ChapterNumber&gt;&lt;ChapterTitle DisplayName=&quot;Level 1 Title&quot; Edit=&quot;true&quot;&gt;Long-term projections of age-related expenditure and unemployment benefits&lt;/ChapterTitle&gt;&lt;/Content&gt;&lt;Structure&gt;&lt;PublicFinancesChapterCoverPage&gt;&lt;Meta&gt;&lt;Design&gt;&lt;GUID&gt;{BA144713-59B8-4632-8998-D3EF28CE7376}&lt;/GUID&gt;&lt;DisplayName&gt;Part Cover Page&lt;/DisplayName&gt;&lt;/Design&gt;&lt;Create&gt;&lt;Creatable&gt;false&lt;/Creatable&gt;&lt;Template&gt;EPGeneralSection.dot&lt;/Template&gt;&lt;/Create&gt;&lt;/Meta&gt;&lt;Format&gt;&lt;PageSettings&gt;&lt;SectionStart&gt;4&lt;/SectionStart&gt;&lt;/PageSettings&gt;&lt;ColumnSettings&gt;&lt;SetCount&gt;1&lt;/SetCount&gt;&lt;/ColumnSettings&gt;&lt;Header&gt;&lt;Primary&gt;&lt;Active&gt;false&lt;/Active&gt;&lt;/Primary&gt;&lt;FirstPage&gt;&lt;Active&gt;true&lt;/Active&gt;&lt;LinkToPrevious&gt;false&lt;/LinkToPrevious&gt;&lt;FirstLine&gt;&lt;Style&gt;Chapter Name&lt;/Style&gt;&lt;Text&gt;%NameLevelOne% %ChapterNumber%&lt;/Text&gt;&lt;/FirstLine&gt;&lt;SecondLine&gt;&lt;Style&gt;Chapter Title&lt;/Style&gt;&lt;Text&gt;%ChapterTitle%&lt;/Text&gt;&lt;/SecondLine&gt;&lt;/FirstPage&gt;&lt;EvenPages&gt;&lt;Active&gt;false&lt;/Active&gt;&lt;/EvenPages&gt;&lt;/Header&gt;&lt;Footer&gt;&lt;Primary&gt;&lt;Active&gt;false&lt;/Active&gt;&lt;/Primary&gt;&lt;FirstPage&gt;&lt;Active&gt;false&lt;/Active&gt;&lt;/FirstPage&gt;&lt;EvenPages&gt;&lt;Active&gt;false&lt;/Active&gt;&lt;LinkToPrevious&gt;false&lt;/LinkToPrevious&gt;&lt;/EvenPages&gt;&lt;/Footer&gt;&lt;ToCFields&gt;&lt;Start&gt;&lt;Text&gt;%NameLevelOne% %ChapterNumber%:_x0009_%ChapterTitle%&lt;/Text&gt;&lt;Name /&gt;&lt;Level&gt;1&lt;/Level&gt;&lt;/Start&gt;&lt;/ToCFields&gt;&lt;/Format&gt;&lt;Content /&gt;&lt;/PublicFinancesChapterCoverPage&gt;&lt;PublicFinancesGeneralSection&gt;&lt;Meta&gt;&lt;Design&gt;&lt;GUID&gt;{4B5B752F-AD3E-422F-8A75-BF9F38DC752E}&lt;/GUID&gt;&lt;DisplayName&gt;Chapter 1: Pensions&lt;/DisplayName&gt;&lt;/Design&gt;&lt;Create&gt;&lt;Creatable&gt;true&lt;/Creatable&gt;&lt;Template&gt;EPGeneralSection.dot&lt;/Template&gt;&lt;/Create&gt;&lt;Manage&gt;&lt;Path&gt;U:\Budgetary projections 2018\Reports\2018 AR\The 2018 Ageing Report Economic\Part II Long-term projections of\Chapter 1 Pensions.docx&lt;/Path&gt;&lt;LastMerge&gt;2018-04-16T17:46:04&lt;/LastMerge&gt;&lt;ExternalSources&gt;*U:\Budgetary projections 2018\Reports\2018 AR\Tables_and_graphs\Part II Chapter 1\overview of pension system annex 2.xlsx*\\net1.cec.eu.int\ECFIN\C\2\Budgetary projections 2018\Reports\2018 AR\Tables_and_graphs\Part II Chapter 1\Tables_graphs_projections.xlsx*U:\Budgetary projections 2018\Reports\2018 AR\Tables_and_graphs\Part II Chapter 1\Tables_graphs_projections.xlsx*\\net1.cec.eu.int\ECFIN\C\2\Budgetary projections 2018\Reports\2018 AR\The 2018 Ageing Report Economic\Part II Long-term projections of\Box 4 average retirement age.docx*U:\Budgetary projections 2018\Reports\2018 AR\The 2018 Ageing Report Economic\Part II Long-term projections of\Box 2 Special Pensions.docx*\\net1.cec.eu.int\ECFIN\C\2\Budgetary projections 2018\Reports\2018 AR\The 2018 Ageing Report Economic\Part II Long-term projections of\Box 3 expenditure breakdown.docx*&lt;/ExternalSources&gt;&lt;/Manage&gt;&lt;/Meta&gt;&lt;Content&gt;&lt;SectionNumber DisplayName=&quot;Level 2 Number&quot; Automatic=&quot;true&quot;&gt;1&lt;/SectionNumber&gt;&lt;SectionTitle DisplayName=&quot;Level 2 Title&quot; Edit=&quot;true&quot;&gt;Pensions&lt;/SectionTitle&gt;&lt;/Content&gt;&lt;/PublicFinancesGeneralSection&gt;&lt;PublicFinancesGeneralSection&gt;&lt;Meta&gt;&lt;Design&gt;&lt;GUID&gt;{C11F7EA9-04C5-428C-AABC-41DBA7A6F4CD}&lt;/GUID&gt;&lt;DisplayName&gt;Chapter 2: Health care expenditure&lt;/DisplayName&gt;&lt;/Design&gt;&lt;Create&gt;&lt;Creatable&gt;true&lt;/Creatable&gt;&lt;Template&gt;EPGeneralSection.dot&lt;/Template&gt;&lt;/Create&gt;&lt;Manage&gt;&lt;Path&gt;U:\Budgetary projections 2018\Reports\2018 AR\The 2018 Ageing Report Economic\Part II Long-term projections of\Chapter 2 Health care expenditure.docx&lt;/Path&gt;&lt;LastMerge&gt;2018-04-13T17:12:54&lt;/LastMerge&gt;&lt;ExternalSources&gt;*U:\Budgetary projections 2018\Reports\2018 AR\Tables_and_graphs\Part II Chapter 2\tables &amp;amp; graphs - Part II - Chapter 2 - HC.xlsx*U:\Budgetary projections 2018\Reports\2018 AR\Tables_and_graphs\Part II Chapter 2\Schematic presentation of the HC projection methodology.GIF*U:\Budgetary projections 2018\Reports\2018 AR\Tables_and_graphs\Part II Chapter 2\Box 1 with table.docx*U:\Budgetary projections 2018\Reports\2018 AR\Tables_and_graphs\Part II Chapter 2\Box 2.docx*U:\Budgetary projections 2018\Reports\2018 AR\Tables_and_graphs\Part II Chapter 2\Box 3.docx*U:\Budgetary projections 2018\Reports\2018 AR\Tables_and_graphs\Part II Chapter 2\Box 4.docx*&lt;/ExternalSources&gt;&lt;/Manage&gt;&lt;/Meta&gt;&lt;Content&gt;&lt;SectionNumber DisplayName=&quot;Level 2 Number&quot; Automatic=&quot;true&quot;&gt;2&lt;/SectionNumber&gt;&lt;SectionTitle DisplayName=&quot;Level 2 Title&quot; Edit=&quot;true&quot;&gt;Health care expenditure&lt;/SectionTitle&gt;&lt;/Content&gt;&lt;/PublicFinancesGeneralSection&gt;&lt;PublicFinancesGeneralSection characteristic=&quot;Chapter&quot;&gt;&lt;Meta&gt;&lt;Design&gt;&lt;GUID&gt;{60982CE4-9DF9-4DF0-9385-44C7AB055002}&lt;/GUID&gt;&lt;DisplayName&gt;Chapter 3: Long term care&lt;/DisplayName&gt;&lt;/Design&gt;&lt;Create&gt;&lt;Creatable&gt;true&lt;/Creatable&gt;&lt;Template&gt;EPGeneralSection.dot&lt;/Template&gt;&lt;/Create&gt;&lt;Manage&gt;&lt;Path&gt;U:\Budgetary projections 2018\Reports\2018 AR\The 2018 Ageing Report Economic\Part II Long-term projections of\Chapter 3 Long term care.docx&lt;/Path&gt;&lt;LastMerge&gt;2018-04-12T17:01:34&lt;/LastMerge&gt;&lt;ExternalSources&gt;*U:\Budgetary projections 2018\Reports\2018 AR\Tables_and_graphs\Part II Chapter 3\Additional tables and charts - CHAP 3.xls*U:\Budgetary projections 2018\Reports\2018 AR\Tables_and_graphs\Part II Chapter 3\Tables &amp;amp; charts - CHAP 3.xlsx*U:\Budgetary projections 2018\Reports\2018 AR\Tables_and_graphs\Part II Chapter 3\Graph II.3.9.GIF*&lt;/ExternalSources&gt;&lt;/Manage&gt;&lt;/Meta&gt;&lt;Content&gt;&lt;SectionNumber DisplayName=&quot;Level 2 Number&quot; Automatic=&quot;true&quot;&gt;3&lt;/SectionNumber&gt;&lt;SectionTitle DisplayName=&quot;Level 2 Title&quot; Edit=&quot;true&quot;&gt;Long term care&lt;/SectionTitle&gt;&lt;/Content&gt;&lt;/PublicFinancesGeneralSection&gt;&lt;PublicFinancesGeneralSection characteristic=&quot;Chapter&quot;&gt;&lt;Meta&gt;&lt;Design&gt;&lt;GUID&gt;{6A544838-986F-424A-8E9B-3DC0FD88DC12}&lt;/GUID&gt;&lt;DisplayName&gt;Chapter 4: Education&lt;/DisplayName&gt;&lt;/Design&gt;&lt;Create&gt;&lt;Creatable&gt;true&lt;/Creatable&gt;&lt;Template&gt;EPGeneralSection.dot&lt;/Template&gt;&lt;/Create&gt;&lt;Manage&gt;&lt;Path&gt;U:\Budgetary projections 2018\Reports\2018 AR\The 2018 Ageing Report Economic\Part II Long-term projections of\Chapter 4 Education.docx&lt;/Path&gt;&lt;LastMerge&gt;2018-04-12T17:02:19&lt;/LastMerge&gt;&lt;ExternalSources&gt;*U:\Budgetary projections 2018\Reports\2018 AR\Tables_and_graphs\Part II  Chapter 4\Graph II.4.1.xlsx*U:\Budgetary projections 2018\Reports\2018 AR\Tables_and_graphs\Part II  Chapter 4\Graph II.4.2.xlsx*U:\Budgetary projections 2018\Reports\2018 AR\Tables_and_graphs\Part II  Chapter 4\Graph II.4.3.xlsx*U:\Budgetary projections 2018\Reports\2018 AR\Tables_and_graphs\Part II  Chapter 4\Graph II.4.4.xlsx*U:\Budgetary projections 2018\Reports\2018 AR\Tables_and_graphs\Part II  Chapter 4\Graph II.4.5_mix.xlsx*U:\Budgetary projections 2018\Reports\2018 AR\Tables_and_graphs\Part II  Chapter 4\Tables II.4.1-II.4.5.xlsx*&lt;/ExternalSources&gt;&lt;/Manage&gt;&lt;/Meta&gt;&lt;Content&gt;&lt;SectionNumber DisplayName=&quot;Level 2 Number&quot; Automatic=&quot;true&quot;&gt;4&lt;/SectionNumber&gt;&lt;SectionTitle DisplayName=&quot;Level 2 Title&quot; Edit=&quot;true&quot;&gt;Education&lt;/SectionTitle&gt;&lt;/Content&gt;&lt;/PublicFinancesGeneralSection&gt;&lt;PublicFinancesGeneralSection characteristic=&quot;Chapter without subchapters&quot;&gt;&lt;Meta&gt;&lt;Design&gt;&lt;GUID&gt;{7278828F-8F04-4528-844D-213AC582D10D}&lt;/GUID&gt;&lt;DisplayName&gt;Chapter 5: Unemployment benefit expenditure&lt;/DisplayName&gt;&lt;/Design&gt;&lt;Create&gt;&lt;Creatable&gt;true&lt;/Creatable&gt;&lt;Template&gt;EPGeneralSection.dot&lt;/Template&gt;&lt;/Create&gt;&lt;Manage&gt;&lt;Path&gt;U:\Budgetary projections 2018\Reports\2018 AR\The 2018 Ageing Report Economic\Part II Long-term projections of\Chapter 5 Unemployment benefit expenditure.docx&lt;/Path&gt;&lt;LastMerge&gt;2018-04-12T17:02:53&lt;/LastMerge&gt;&lt;ExternalSources&gt;*U:\Budgetary projections 2018\Reports\2018 AR\Tables_and_graphs\Part II Chapter 5\2018 AR - UB projections.xls*&lt;/ExternalSources&gt;&lt;/Manage&gt;&lt;/Meta&gt;&lt;Content&gt;&lt;SectionNumber DisplayName=&quot;Level 2 Number&quot;&gt;5&lt;/SectionNumber&gt;&lt;SectionTitle DisplayName=&quot;Level 2 Title&quot; Edit=&quot;true&quot;&gt;Unemployment benefit expenditure&lt;/SectionTitle&gt;&lt;/Content&gt;&lt;/PublicFinancesGeneralSection&gt;&lt;PublicFinancesAnnexSection characteristic=&quot;Annex&quot;&gt;&lt;Meta&gt;&lt;Design&gt;&lt;GUID&gt;{0603413D-6E44-472C-8A5C-9778A3BF6371}&lt;/GUID&gt;&lt;DisplayName&gt;Annex I: Pension questionnaire&lt;/DisplayName&gt;&lt;/Design&gt;&lt;Create&gt;&lt;Creatable&gt;true&lt;/Creatable&gt;&lt;Template&gt;EPGeneralSection.dot&lt;/Template&gt;&lt;/Create&gt;&lt;Manage&gt;&lt;Path&gt;U:\Budgetary projections 2018\Reports\2018 AR\The 2018 Ageing Report Economic\Part II Long-term projections of\Annex I Pension questionnaire.docx&lt;/Path&gt;&lt;LastMerge&gt;2018-03-09T14:59:50&lt;/LastMerge&gt;&lt;ExternalSources&gt;U:\Budgetary projections 2018\Reports\2018 AR UA&amp;amp;PM\Tables and graphs\Part II Annexes\Reporting framework annex 1.xlsx*&lt;/ExternalSources&gt;&lt;/Manage&gt;&lt;/Meta&gt;&lt;Format&gt;&lt;Header&gt;&lt;FirstPage&gt;&lt;Active&gt;true&lt;/Active&gt;&lt;LinkToPrevious&gt;false&lt;/LinkToPrevious&gt;&lt;FirstLine&gt;&lt;Style&gt;Section Title (two lines)&lt;/Style&gt;&lt;Text&gt;%NameAnnex% %SectionNumber%&lt;/Text&gt;&lt;/FirstLine&gt;&lt;SecondLine&gt;&lt;Style&gt;Annex Title&lt;/Style&gt;&lt;Text&gt;%SectionTitle%&lt;/Text&gt;&lt;/SecondLine&gt;&lt;/FirstPage&gt;&lt;/Header&gt;&lt;AutoNumbering&gt;&lt;LevelOne&gt;&lt;Style&gt;Numbered Heading 1&lt;/Style&gt;&lt;Prefix&gt;%NameAnnexAbbreviation%%SectionNumber%.&lt;/Prefix&gt;&lt;/LevelOne&gt;&lt;LevelTwo&gt;&lt;Style&gt;Numbered Heading 2&lt;/Style&gt;&lt;Prefix&gt;%NameAnnexAbbreviation%%SectionNumber%.&lt;/Prefix&gt;&lt;/LevelTwo&gt;&lt;LevelThree&gt;&lt;Style&gt;Numbered Heading 3&lt;/Style&gt;&lt;Prefix&gt;%NameAnnexAbbreviation%%SectionNumber%.&lt;/Prefix&gt;&lt;/LevelThree&gt;&lt;/AutoNumbering&gt;&lt;SpecialNumbering&gt;&lt;Box&gt;%ChapterNumber%.%NameAnnexAbbreviation%%SectionNumber%.&lt;/Box&gt;&lt;Graph&gt;%ChapterNumber%.%NameAnnexAbbreviation%%SectionNumber%.&lt;/Graph&gt;&lt;Table&gt;%ChapterNumber%.%NameAnnexAbbreviation%%SectionNumber%.&lt;/Table&gt;&lt;Map&gt;%ChapterNumber%.%NameAnnexAbbreviation%%SectionNumber%.&lt;/Map&gt;&lt;Formula&gt;%ChapterNumber%.%NameAnnexAbbreviation%%SectionNumber%.&lt;/Formula&gt;&lt;/SpecialNumbering&gt;&lt;ToCFields&gt;&lt;Start&gt;&lt;Text&gt;Annexes&lt;/Text&gt;&lt;Name /&gt;&lt;Level&gt;2&lt;/Level&gt;&lt;/Start&gt;&lt;Start2&gt;&lt;Text&gt;%NameAnnexAbbreviation%%SectionNumber%._x0009_%SectionTitle%&lt;/Text&gt;&lt;Name /&gt;&lt;Level&gt;2&lt;/Level&gt;&lt;/Start2&gt;&lt;Box&gt;&lt;Text&gt;%ChapterNumber%.%NameAnnexAbbreviation%%SectionNumber%.%EPShapeNumber%._x0009_%EPShapeTitle%&lt;/Text&gt;&lt;Name&gt;box&lt;/Name&gt;&lt;Level&gt;5&lt;/Level&gt;&lt;/Box&gt;&lt;Graph&gt;&lt;Text&gt;%ChapterNumber%.%NameAnnexAbbreviation%%SectionNumber%.%EPShapeNumber%._x0009_%EPShapeTitle%&lt;/Text&gt;&lt;Name&gt;graph&lt;/Name&gt;&lt;Level&gt;5&lt;/Level&gt;&lt;/Graph&gt;&lt;Table&gt;&lt;Text&gt;%ChapterNumber%.%NameAnnexAbbreviation%%SectionNumber%.%EPShapeNumber%._x0009_%EPShapeTitle%&lt;/Text&gt;&lt;Name&gt;table&lt;/Name&gt;&lt;Level&gt;5&lt;/Level&gt;&lt;/Table&gt;&lt;Map&gt;&lt;Text&gt;%ChapterNumber%.%NameAnnexAbbreviation%%SectionNumber%.%EPShapeNumber%._x0009_%EPShapeTitle%&lt;/Text&gt;&lt;Name&gt;map&lt;/Name&gt;&lt;Level&gt;5&lt;/Level&gt;&lt;/Map&gt;&lt;/ToCFields&gt;&lt;ColumnSettings&gt;&lt;SetCount&gt;1&lt;/SetCount&gt;&lt;/ColumnSettings&gt;&lt;/Format&gt;&lt;Content&gt;&lt;SectionNumber Automatic=&quot;true&quot;&gt;I&lt;/SectionNumber&gt;&lt;SectionTitle Edit=&quot;true&quot;&gt;Pension questionnaire&lt;/SectionTitle&gt;&lt;/Content&gt;&lt;/PublicFinancesAnnexSection&gt;&lt;PublicFinancesAnnexSection characteristic=&quot;Annex&quot;&gt;&lt;Meta&gt;&lt;Design&gt;&lt;GUID&gt;{85C0E713-B453-4201-8E81-BEA4C7E4B748}&lt;/GUID&gt;&lt;DisplayName&gt;Annex II: Additional information on pension systems and projections&lt;/DisplayName&gt;&lt;/Design&gt;&lt;Create&gt;&lt;Creatable&gt;true&lt;/Creatable&gt;&lt;Template&gt;EPGeneralSection.dot&lt;/Template&gt;&lt;/Create&gt;&lt;Manage&gt;&lt;Path&gt;U:\Budgetary projections 2018\Reports\2018 AR\The 2018 Ageing Report Economic\Part II Long-term projections of\Annex II Coverage of pension projections and open.docx&lt;/Path&gt;&lt;LastMerge&gt;2018-04-16T15:03:32&lt;/LastMerge&gt;&lt;ExternalSources&gt;*U:\Budgetary projections 2018\Reports\2018 AR\Tables_and_graphs\Part II Chapter 1\overview of pension system annex 2.xlsx*U:\Budgetary projections 2018\Reports\2018 AR\Tables_and_graphs\Part II Chapter 1\SP Coverage in the 2018 AR Projections.xlsx*U:\Budgetary projections 2018\Pensions\Administrative data\calculations_box_AR.xlsx*U:\Budgetary projections 2018\Reports\2018 AR\Tables_and_graphs\Boxes\SpecialPensionsOverviewTables_2018.xlsx*&lt;/ExternalSources&gt;&lt;/Manage&gt;&lt;/Meta&gt;&lt;Format&gt;&lt;Header&gt;&lt;FirstPage&gt;&lt;Active&gt;true&lt;/Active&gt;&lt;LinkToPrevious&gt;false&lt;/LinkToPrevious&gt;&lt;FirstLine&gt;&lt;Style&gt;Section Title (two lines)&lt;/Style&gt;&lt;Text&gt;%NameAnnex% %SectionNumber%&lt;/Text&gt;&lt;/FirstLine&gt;&lt;SecondLine&gt;&lt;Style&gt;Annex Title&lt;/Style&gt;&lt;Text&gt;%SectionTitle%&lt;/Text&gt;&lt;/SecondLine&gt;&lt;/FirstPage&gt;&lt;/Header&gt;&lt;AutoNumbering&gt;&lt;LevelOne&gt;&lt;Style&gt;Numbered Heading 1&lt;/Style&gt;&lt;Prefix&gt;%NameAnnexAbbreviation%%SectionNumber%.&lt;/Prefix&gt;&lt;/LevelOne&gt;&lt;LevelTwo&gt;&lt;Style&gt;Numbered Heading 2&lt;/Style&gt;&lt;Prefix&gt;%NameAnnexAbbreviation%%SectionNumber%.&lt;/Prefix&gt;&lt;/LevelTwo&gt;&lt;LevelThree&gt;&lt;Style&gt;Numbered Heading 3&lt;/Style&gt;&lt;Prefix&gt;%NameAnnexAbbreviation%%SectionNumber%.&lt;/Prefix&gt;&lt;/LevelThree&gt;&lt;/AutoNumbering&gt;&lt;SpecialNumbering&gt;&lt;Box&gt;%ChapterNumber%.%NameAnnexAbbreviation%%SectionNumber%.&lt;/Box&gt;&lt;Graph&gt;%ChapterNumber%.%NameAnnexAbbreviation%%SectionNumber%.&lt;/Graph&gt;&lt;Table&gt;%ChapterNumber%.%NameAnnexAbbreviation%%SectionNumber%.&lt;/Table&gt;&lt;Map&gt;%ChapterNumber%.%NameAnnexAbbreviation%%SectionNumber%.&lt;/Map&gt;&lt;Formula&gt;%ChapterNumber%.%NameAnnexAbbreviation%%SectionNumber%.&lt;/Formula&gt;&lt;/SpecialNumbering&gt;&lt;ToCFields&gt;&lt;Start&gt;&lt;Text&gt;%NameAnnexAbbreviation%%SectionNumber%._x0009_%SectionTitle%&lt;/Text&gt;&lt;Name /&gt;&lt;Level&gt;2&lt;/Level&gt;&lt;/Start&gt;&lt;Box&gt;&lt;Text&gt;%ChapterNumber%.%NameAnnexAbbreviation%%SectionNumber%.%EPShapeNumber%._x0009_%EPShapeTitle%&lt;/Text&gt;&lt;Name&gt;box&lt;/Name&gt;&lt;Level&gt;5&lt;/Level&gt;&lt;/Box&gt;&lt;Graph&gt;&lt;Text&gt;%ChapterNumber%.%NameAnnexAbbreviation%%SectionNumber%.%EPShapeNumber%._x0009_%EPShapeTitle%&lt;/Text&gt;&lt;Name&gt;graph&lt;/Name&gt;&lt;Level&gt;5&lt;/Level&gt;&lt;/Graph&gt;&lt;Table&gt;&lt;Text&gt;%ChapterNumber%.%NameAnnexAbbreviation%%SectionNumber%.%EPShapeNumber%._x0009_%EPShapeTitle%&lt;/Text&gt;&lt;Name&gt;table&lt;/Name&gt;&lt;Level&gt;5&lt;/Level&gt;&lt;/Table&gt;&lt;Map&gt;&lt;Text&gt;%ChapterNumber%.%NameAnnexAbbreviation%%SectionNumber%.%EPShapeNumber%._x0009_%EPShapeTitle%&lt;/Text&gt;&lt;Name&gt;map&lt;/Name&gt;&lt;Level&gt;5&lt;/Level&gt;&lt;/Map&gt;&lt;/ToCFields&gt;&lt;/Format&gt;&lt;Content&gt;&lt;SectionNumber Automatic=&quot;true&quot;&gt;II&lt;/SectionNumber&gt;&lt;SectionTitle Edit=&quot;true&quot;&gt;Additional information on pension systems and projections&lt;/SectionTitle&gt;&lt;/Content&gt;&lt;/PublicFinancesAnnexSection&gt;&lt;PublicFinancesAnnexSection characteristic=&quot;Annex&quot;&gt;&lt;Meta&gt;&lt;Design&gt;&lt;GUID&gt;{839ACF02-88D0-4F17-B0D7-45AD54046821}&lt;/GUID&gt;&lt;DisplayName&gt;Annex III: Input data used to project health care expenditure&lt;/DisplayName&gt;&lt;/Design&gt;&lt;Create&gt;&lt;Creatable&gt;true&lt;/Creatable&gt;&lt;Template&gt;EPGeneralSection.dot&lt;/Template&gt;&lt;/Create&gt;&lt;Manage&gt;&lt;Path&gt;U:\Budgetary projections 2018\Reports\2018 AR\The 2018 Ageing Report Economic\Part II Long-term projections of\Annex III Input data used to project health care e.docx&lt;/Path&gt;&lt;LastMerge&gt;2018-03-09T15:02:04&lt;/LastMerge&gt;&lt;ExternalSources&gt;U:\Budgetary projections 2018\Reports\2018 AR\Tables_and_graphs\Part II Annex 3\AR 2018 Collecteddata_List - HC.xls*U:\Budgetary projections 2018\Reports\2018 AR\Tables_and_graphs\Part II Annex 3\Sector specific scenario Annex 3 table.xlsx*&lt;/ExternalSources&gt;&lt;/Manage&gt;&lt;/Meta&gt;&lt;Format&gt;&lt;Header&gt;&lt;FirstPage&gt;&lt;Active&gt;true&lt;/Active&gt;&lt;LinkToPrevious&gt;false&lt;/LinkToPrevious&gt;&lt;FirstLine&gt;&lt;Style&gt;Section Title (two lines)&lt;/Style&gt;&lt;Text&gt;%NameAnnex% %SectionNumber%&lt;/Text&gt;&lt;/FirstLine&gt;&lt;SecondLine&gt;&lt;Style&gt;Annex Title&lt;/Style&gt;&lt;Text&gt;%SectionTitle%&lt;/Text&gt;&lt;/SecondLine&gt;&lt;/FirstPage&gt;&lt;/Header&gt;&lt;AutoNumbering&gt;&lt;LevelOne&gt;&lt;Style&gt;Numbered Heading 1&lt;/Style&gt;&lt;Prefix&gt;%NameAnnexAbbreviation%%SectionNumber%.&lt;/Prefix&gt;&lt;/LevelOne&gt;&lt;LevelTwo&gt;&lt;Style&gt;Numbered Heading 2&lt;/Style&gt;&lt;Prefix&gt;%NameAnnexAbbreviation%%SectionNumber%.&lt;/Prefix&gt;&lt;/LevelTwo&gt;&lt;LevelThree&gt;&lt;Style&gt;Numbered Heading 3&lt;/Style&gt;&lt;Prefix&gt;%NameAnnexAbbreviation%%SectionNumber%.&lt;/Prefix&gt;&lt;/LevelThree&gt;&lt;/AutoNumbering&gt;&lt;SpecialNumbering&gt;&lt;Box&gt;%ChapterNumber%.%NameAnnexAbbreviation%%SectionNumber%.&lt;/Box&gt;&lt;Graph&gt;%ChapterNumber%.%NameAnnexAbbreviation%%SectionNumber%.&lt;/Graph&gt;&lt;Table&gt;%ChapterNumber%.%NameAnnexAbbreviation%%SectionNumber%.&lt;/Table&gt;&lt;Map&gt;%ChapterNumber%.%NameAnnexAbbreviation%%SectionNumber%.&lt;/Map&gt;&lt;Formula&gt;%ChapterNumber%.%NameAnnexAbbreviation%%SectionNumber%.&lt;/Formula&gt;&lt;/SpecialNumbering&gt;&lt;ToCFields&gt;&lt;Start&gt;&lt;Text&gt;%NameAnnexAbbreviation%%SectionNumber%._x0009_%SectionTitle%&lt;/Text&gt;&lt;Name /&gt;&lt;Level&gt;2&lt;/Level&gt;&lt;/Start&gt;&lt;Box&gt;&lt;Text&gt;%ChapterNumber%.%NameAnnexAbbreviation%%SectionNumber%.%EPShapeNumber%._x0009_%EPShapeTitle%&lt;/Text&gt;&lt;Name&gt;box&lt;/Name&gt;&lt;Level&gt;5&lt;/Level&gt;&lt;/Box&gt;&lt;Graph&gt;&lt;Text&gt;%ChapterNumber%.%NameAnnexAbbreviation%%SectionNumber%.%EPShapeNumber%._x0009_%EPShapeTitle%&lt;/Text&gt;&lt;Name&gt;graph&lt;/Name&gt;&lt;Level&gt;5&lt;/Level&gt;&lt;/Graph&gt;&lt;Table&gt;&lt;Text&gt;%ChapterNumber%.%NameAnnexAbbreviation%%SectionNumber%.%EPShapeNumber%._x0009_%EPShapeTitle%&lt;/Text&gt;&lt;Name&gt;table&lt;/Name&gt;&lt;Level&gt;5&lt;/Level&gt;&lt;/Table&gt;&lt;Map&gt;&lt;Text&gt;%ChapterNumber%.%NameAnnexAbbreviation%%SectionNumber%.%EPShapeNumber%._x0009_%EPShapeTitle%&lt;/Text&gt;&lt;Name&gt;map&lt;/Name&gt;&lt;Level&gt;5&lt;/Level&gt;&lt;/Map&gt;&lt;/ToCFields&gt;&lt;/Format&gt;&lt;Content&gt;&lt;SectionNumber Automatic=&quot;true&quot;&gt;III&lt;/SectionNumber&gt;&lt;SectionTitle Edit=&quot;true&quot;&gt;Input data used to project health care expenditure&lt;/SectionTitle&gt;&lt;/Content&gt;&lt;/PublicFinancesAnnexSection&gt;&lt;PublicFinancesAnnexSection characteristic=&quot;Annex&quot;&gt;&lt;Meta&gt;&lt;Design&gt;&lt;GUID&gt;{CF133F39-EA06-4626-988B-60DF5E9E70E0}&lt;/GUID&gt;&lt;DisplayName&gt;Annex IV: Input data used and long-term care expenditure&lt;/DisplayName&gt;&lt;/Design&gt;&lt;Create&gt;&lt;Creatable&gt;true&lt;/Creatable&gt;&lt;Template&gt;EPGeneralSection.dot&lt;/Template&gt;&lt;/Create&gt;&lt;Manage&gt;&lt;Path&gt;U:\Budgetary projections 2018\Reports\2018 AR\The 2018 Ageing Report Economic\Part II Long-term projections of\Annex IV Input data used and long-term care expend.docx&lt;/Path&gt;&lt;LastMerge&gt;2018-04-12T17:03:30&lt;/LastMerge&gt;&lt;ExternalSources&gt;*U:\Budgetary projections 2018\Reports\2018 AR\Tables_and_graphs\Part II Annex 4\Annex 4 Tables and Charts.xlsx*U:\Budgetary projections 2018\Reports\2018 AR\Tables_and_graphs\Part II Annex 4\Table II.A4.1.tif*U:\Budgetary projections 2018\Reports\2018 AR\Tables_and_graphs\Part II Chapter 3\Tables &amp;amp; charts - CHAP 3.xlsx*&lt;/ExternalSources&gt;&lt;/Manage&gt;&lt;/Meta&gt;&lt;Format&gt;&lt;Header&gt;&lt;FirstPage&gt;&lt;Active&gt;true&lt;/Active&gt;&lt;LinkToPrevious&gt;false&lt;/LinkToPrevious&gt;&lt;FirstLine&gt;&lt;Style&gt;Section Title (two lines)&lt;/Style&gt;&lt;Text&gt;%NameAnnex% %SectionNumber%&lt;/Text&gt;&lt;/FirstLine&gt;&lt;SecondLine&gt;&lt;Style&gt;Annex Title&lt;/Style&gt;&lt;Text&gt;%SectionTitle%&lt;/Text&gt;&lt;/SecondLine&gt;&lt;/FirstPage&gt;&lt;/Header&gt;&lt;AutoNumbering&gt;&lt;LevelOne&gt;&lt;Style&gt;Numbered Heading 1&lt;/Style&gt;&lt;Prefix&gt;%NameAnnexAbbreviation%%SectionNumber%.&lt;/Prefix&gt;&lt;/LevelOne&gt;&lt;LevelTwo&gt;&lt;Style&gt;Numbered Heading 2&lt;/Style&gt;&lt;Prefix&gt;%NameAnnexAbbreviation%%SectionNumber%.&lt;/Prefix&gt;&lt;/LevelTwo&gt;&lt;LevelThree&gt;&lt;Style&gt;Numbered Heading 3&lt;/Style&gt;&lt;Prefix&gt;%NameAnnexAbbreviation%%SectionNumber%.&lt;/Prefix&gt;&lt;/LevelThree&gt;&lt;/AutoNumbering&gt;&lt;SpecialNumbering&gt;&lt;Box&gt;%ChapterNumber%.%NameAnnexAbbreviation%%SectionNumber%.&lt;/Box&gt;&lt;Graph&gt;%ChapterNumber%.%NameAnnexAbbreviation%%SectionNumber%.&lt;/Graph&gt;&lt;Table&gt;%ChapterNumber%.%NameAnnexAbbreviation%%SectionNumber%.&lt;/Table&gt;&lt;Map&gt;%ChapterNumber%.%NameAnnexAbbreviation%%SectionNumber%.&lt;/Map&gt;&lt;Formula&gt;%ChapterNumber%.%NameAnnexAbbreviation%%SectionNumber%.&lt;/Formula&gt;&lt;/SpecialNumbering&gt;&lt;ToCFields&gt;&lt;Start&gt;&lt;Text&gt;%NameAnnexAbbreviation%%SectionNumber%._x0009_%SectionTitle%&lt;/Text&gt;&lt;Name /&gt;&lt;Level&gt;2&lt;/Level&gt;&lt;/Start&gt;&lt;Box&gt;&lt;Text&gt;%ChapterNumber%.%NameAnnexAbbreviation%%SectionNumber%.%EPShapeNumber%._x0009_%EPShapeTitle%&lt;/Text&gt;&lt;Name&gt;box&lt;/Name&gt;&lt;Level&gt;5&lt;/Level&gt;&lt;/Box&gt;&lt;Graph&gt;&lt;Text&gt;%ChapterNumber%.%NameAnnexAbbreviation%%SectionNumber%.%EPShapeNumber%._x0009_%EPShapeTitle%&lt;/Text&gt;&lt;Name&gt;graph&lt;/Name&gt;&lt;Level&gt;5&lt;/Level&gt;&lt;/Graph&gt;&lt;Table&gt;&lt;Text&gt;%ChapterNumber%.%NameAnnexAbbreviation%%SectionNumber%.%EPShapeNumber%._x0009_%EPShapeTitle%&lt;/Text&gt;&lt;Name&gt;table&lt;/Name&gt;&lt;Level&gt;2&lt;/Level&gt;&lt;/Table&gt;&lt;Map&gt;&lt;Text&gt;%ChapterNumber%.%NameAnnexAbbreviation%%SectionNumber%.%EPShapeNumber%._x0009_%EPShapeTitle%&lt;/Text&gt;&lt;Name&gt;map&lt;/Name&gt;&lt;Level&gt;5&lt;/Level&gt;&lt;/Map&gt;&lt;/ToCFields&gt;&lt;/Format&gt;&lt;Content&gt;&lt;SectionNumber Automatic=&quot;true&quot;&gt;IV&lt;/SectionNumber&gt;&lt;SectionTitle Edit=&quot;true&quot;&gt;Input data used and long-term care expenditure&lt;/SectionTitle&gt;&lt;/Content&gt;&lt;/PublicFinancesAnnexSection&gt;&lt;PublicFinancesAnnexSection characteristic=&quot;Annex&quot;&gt;&lt;Meta&gt;&lt;Design&gt;&lt;GUID&gt;{6CF589FA-8BE4-4F41-A181-8A1A46EC1D4D}&lt;/GUID&gt;&lt;DisplayName&gt;Annex V: Input data used to project education expenditure&lt;/DisplayName&gt;&lt;/Design&gt;&lt;Create&gt;&lt;Creatable&gt;true&lt;/Creatable&gt;&lt;Template&gt;EPGeneralSection.dot&lt;/Template&gt;&lt;/Create&gt;&lt;Manage&gt;&lt;Path&gt;U:\Budgetary projections 2018\Reports\2018 AR\The 2018 Ageing Report Economic\Part II Long-term projections of\Annex V Input data used to project education expen.docx&lt;/Path&gt;&lt;LastMerge&gt;2018-03-09T15:05:01&lt;/LastMerge&gt;&lt;ExternalSources&gt;U:\Budgetary projections 2018\Reports\2018 AR\Tables_and_graphs\Part II  Chapter 4\Annex V Tables\Table II.AV.1-Table II.AV.6.xlsx*&lt;/ExternalSources&gt;&lt;/Manage&gt;&lt;/Meta&gt;&lt;Format&gt;&lt;Header&gt;&lt;FirstPage&gt;&lt;Active&gt;true&lt;/Active&gt;&lt;LinkToPrevious&gt;false&lt;/LinkToPrevious&gt;&lt;FirstLine&gt;&lt;Style&gt;Section Title (two lines)&lt;/Style&gt;&lt;Text&gt;%NameAnnex% %SectionNumber%&lt;/Text&gt;&lt;/FirstLine&gt;&lt;SecondLine&gt;&lt;Style&gt;Annex Title&lt;/Style&gt;&lt;Text&gt;%SectionTitle%&lt;/Text&gt;&lt;/SecondLine&gt;&lt;/FirstPage&gt;&lt;/Header&gt;&lt;AutoNumbering&gt;&lt;LevelOne&gt;&lt;Style&gt;Numbered Heading 1&lt;/Style&gt;&lt;Prefix&gt;%NameAnnexAbbreviation%%SectionNumber%.&lt;/Prefix&gt;&lt;/LevelOne&gt;&lt;LevelTwo&gt;&lt;Style&gt;Numbered Heading 2&lt;/Style&gt;&lt;Prefix&gt;%NameAnnexAbbreviation%%SectionNumber%.&lt;/Prefix&gt;&lt;/LevelTwo&gt;&lt;LevelThree&gt;&lt;Style&gt;Numbered Heading 3&lt;/Style&gt;&lt;Prefix&gt;%NameAnnexAbbreviation%%SectionNumber%.&lt;/Prefix&gt;&lt;/LevelThree&gt;&lt;/AutoNumbering&gt;&lt;SpecialNumbering&gt;&lt;Box&gt;%ChapterNumber%.%NameAnnexAbbreviation%%SectionNumber%.&lt;/Box&gt;&lt;Graph&gt;%ChapterNumber%.%NameAnnexAbbreviation%%SectionNumber%.&lt;/Graph&gt;&lt;Table&gt;%ChapterNumber%.%NameAnnexAbbreviation%%SectionNumber%.&lt;/Table&gt;&lt;Map&gt;%ChapterNumber%.%NameAnnexAbbreviation%%SectionNumber%.&lt;/Map&gt;&lt;Formula&gt;%ChapterNumber%.%NameAnnexAbbreviation%%SectionNumber%.&lt;/Formula&gt;&lt;/SpecialNumbering&gt;&lt;ToCFields&gt;&lt;Start&gt;&lt;Text&gt;%NameAnnexAbbreviation%%SectionNumber%._x0009_%SectionTitle%&lt;/Text&gt;&lt;Name /&gt;&lt;Level&gt;2&lt;/Level&gt;&lt;/Start&gt;&lt;Box&gt;&lt;Text&gt;%ChapterNumber%.%NameAnnexAbbreviation%%SectionNumber%.%EPShapeNumber%._x0009_%EPShapeTitle%&lt;/Text&gt;&lt;Name&gt;box&lt;/Name&gt;&lt;Level&gt;5&lt;/Level&gt;&lt;/Box&gt;&lt;Graph&gt;&lt;Text&gt;%ChapterNumber%.%NameAnnexAbbreviation%%SectionNumber%.%EPShapeNumber%._x0009_%EPShapeTitle%&lt;/Text&gt;&lt;Name&gt;graph&lt;/Name&gt;&lt;Level&gt;5&lt;/Level&gt;&lt;/Graph&gt;&lt;Table&gt;&lt;Text&gt;%ChapterNumber%.%NameAnnexAbbreviation%%SectionNumber%.%EPShapeNumber%._x0009_%EPShapeTitle%&lt;/Text&gt;&lt;Name&gt;table&lt;/Name&gt;&lt;Level&gt;5&lt;/Level&gt;&lt;/Table&gt;&lt;Map&gt;&lt;Text&gt;%ChapterNumber%.%NameAnnexAbbreviation%%SectionNumber%.%EPShapeNumber%._x0009_%EPShapeTitle%&lt;/Text&gt;&lt;Name&gt;map&lt;/Name&gt;&lt;Level&gt;5&lt;/Level&gt;&lt;/Map&gt;&lt;/ToCFields&gt;&lt;/Format&gt;&lt;Content&gt;&lt;SectionNumber Automatic=&quot;true&quot;&gt;V&lt;/SectionNumber&gt;&lt;SectionTitle Edit=&quot;true&quot;&gt;Input data used to project education expenditure&lt;/SectionTitle&gt;&lt;/Content&gt;&lt;/PublicFinancesAnnexSection&gt;&lt;/Structure&gt;&lt;/PublicFinancesGeneralChapter&gt;&lt;PublicFinancesGeneralChapter&gt;&lt;Meta&gt;&lt;Design&gt;&lt;GUID&gt;{7F0F67E9-86A0-40E7-9FBB-6ACE188D6A6B}&lt;/GUID&gt;&lt;DisplayName&gt;Part III: Statistical Annex – CROSS-COUNTRY TABLES&lt;/DisplayName&gt;&lt;/Design&gt;&lt;Create&gt;&lt;Creatable&gt;false&lt;/Creatable&gt;&lt;/Create&gt;&lt;/Meta&gt;&lt;Format&gt;&lt;ToCFields&gt;&lt;Start&gt;&lt;Text&gt;%SectionNumber%._x0009_%SectionTitle%&lt;/Text&gt;&lt;Name /&gt;&lt;Level&gt;2&lt;/Level&gt;&lt;/Start&gt;&lt;/ToCFields&gt;&lt;/Format&gt;&lt;Content&gt;&lt;ChapterNumber DisplayName=&quot;Level 1 Number&quot;&gt;III&lt;/ChapterNumber&gt;&lt;ChapterTitle DisplayName=&quot;Level 1 Title&quot; Edit=&quot;true&quot;&gt;Statistical Annex – CROSS-COUNTRY TABLES&lt;/ChapterTitle&gt;&lt;/Content&gt;&lt;Structure&gt;&lt;PublicFinancesChapterCoverPage&gt;&lt;Meta&gt;&lt;Design&gt;&lt;GUID&gt;{1A144713-49B8-4632-8998-A3EF28CE7374}&lt;/GUID&gt;&lt;DisplayName&gt;Part Cover Page&lt;/DisplayName&gt;&lt;/Design&gt;&lt;Create&gt;&lt;Creatable&gt;false&lt;/Creatable&gt;&lt;Template&gt;EPGeneralSection.dot&lt;/Template&gt;&lt;/Create&gt;&lt;/Meta&gt;&lt;Format&gt;&lt;PageSettings&gt;&lt;SectionStart&gt;4&lt;/SectionStart&gt;&lt;/PageSettings&gt;&lt;ColumnSettings&gt;&lt;SetCount&gt;1&lt;/SetCount&gt;&lt;/ColumnSettings&gt;&lt;Header&gt;&lt;Primary&gt;&lt;Active&gt;false&lt;/Active&gt;&lt;/Primary&gt;&lt;FirstPage&gt;&lt;Active&gt;true&lt;/Active&gt;&lt;LinkToPrevious&gt;false&lt;/LinkToPrevious&gt;&lt;FirstLine&gt;&lt;Style&gt;Chapter Name&lt;/Style&gt;&lt;Text&gt;%NameLevelOne% %ChapterNumber%&lt;/Text&gt;&lt;/FirstLine&gt;&lt;SecondLine&gt;&lt;Style&gt;Chapter Title&lt;/Style&gt;&lt;Text&gt;%ChapterTitle%&lt;/Text&gt;&lt;/SecondLine&gt;&lt;/FirstPage&gt;&lt;EvenPages&gt;&lt;Active&gt;false&lt;/Active&gt;&lt;/EvenPages&gt;&lt;/Header&gt;&lt;Footer&gt;&lt;Primary&gt;&lt;Active&gt;false&lt;/Active&gt;&lt;/Primary&gt;&lt;FirstPage&gt;&lt;Active&gt;false&lt;/Active&gt;&lt;/FirstPage&gt;&lt;EvenPages&gt;&lt;Active&gt;false&lt;/Active&gt;&lt;LinkToPrevious&gt;false&lt;/LinkToPrevious&gt;&lt;/EvenPages&gt;&lt;/Footer&gt;&lt;ToCFields&gt;&lt;Start&gt;&lt;Text&gt;%NameLevelOne% %ChapterNumber%:_x0009_%ChapterTitle%&lt;/Text&gt;&lt;Name /&gt;&lt;Level&gt;1&lt;/Level&gt;&lt;/Start&gt;&lt;/ToCFields&gt;&lt;/Format&gt;&lt;Content /&gt;&lt;/PublicFinancesChapterCoverPage&gt;&lt;PublicFinancesGeneralSection&gt;&lt;Meta&gt;&lt;Design&gt;&lt;GUID&gt;{5B5B752F-AD3A-422F-8A75-BF9F38DC752A}&lt;/GUID&gt;&lt;DisplayName&gt;Chapter 1: Tables&lt;/DisplayName&gt;&lt;/Design&gt;&lt;Create&gt;&lt;Creatable&gt;true&lt;/Creatable&gt;&lt;Template&gt;EPGeneralSection.dot&lt;/Template&gt;&lt;/Create&gt;&lt;Manage&gt;&lt;Path&gt;U:\Budgetary projections 2018\Reports\2018 AR\The 2018 Ageing Report Economic\Part III Statistical Annex – CRO\Chapter 1 Tables.docx&lt;/Path&gt;&lt;LastMerge&gt;2018-04-13T17:55:40&lt;/LastMerge&gt;&lt;ExternalSources&gt;*&lt;/ExternalSources&gt;&lt;/Manage&gt;&lt;/Meta&gt;&lt;Format&gt;&lt;ColumnSettings&gt;&lt;SetCount&gt;1&lt;/SetCount&gt;&lt;/ColumnSettings&gt;&lt;/Format&gt;&lt;Content&gt;&lt;SectionNumber DisplayName=&quot;Level 2 Number&quot; Automatic=&quot;true&quot;&gt;1&lt;/SectionNumber&gt;&lt;SectionTitle DisplayName=&quot;Level 2 Title&quot; Edit=&quot;true&quot;&gt;Tables&lt;/SectionTitle&gt;&lt;/Content&gt;&lt;/PublicFinancesGeneralSection&gt;&lt;/Structure&gt;&lt;/PublicFinancesGeneralChapter&gt;&lt;PublicFinancesCountryChapter&gt;&lt;Meta&gt;&lt;Design&gt;&lt;GUID&gt;{6BF112D1-9E1F-47B2-BE2F-0F97E667474B}&lt;/GUID&gt;&lt;DisplayName&gt;Part IV: Statistical Annex  – COUNTRY FICHES&lt;/DisplayName&gt;&lt;/Design&gt;&lt;Create&gt;&lt;Creatable&gt;false&lt;/Creatable&gt;&lt;/Create&gt;&lt;/Meta&gt;&lt;Format&gt;&lt;Header&gt;&lt;Primary&gt;&lt;Active&gt;true&lt;/Active&gt;&lt;LinkToPrevious&gt;false&lt;/LinkToPrevious&gt;&lt;FirstLine&gt;&lt;Style&gt;Header Title Right&lt;/Style&gt;&lt;Text&gt;%NameLevelOne% %ChapterNumber%&lt;/Text&gt;&lt;/FirstLine&gt;&lt;SecondLine&gt;&lt;Style&gt;Header Subtitle Right&lt;/Style&gt;&lt;Text&gt;%ChapterTitle%, %SectionTitle%&lt;/Text&gt;&lt;/SecondLine&gt;&lt;/Primary&gt;&lt;FirstPage&gt;&lt;Active&gt;true&lt;/Active&gt;&lt;LinkToPrevious&gt;false&lt;/LinkToPrevious&gt;&lt;FirstLine&gt;&lt;Style&gt;Section Title&lt;/Style&gt;&lt;TextWithCharacterStyle&gt;&lt;CharacterStyle&gt;Section Number&lt;/CharacterStyle&gt;&lt;TextPart&gt;%SectionNumber%.&lt;/TextPart&gt;&lt;/TextWithCharacterStyle&gt;&lt;TextWithCharacterStyle&gt;&lt;CharacterStyle&gt;&lt;/CharacterStyle&gt;&lt;TextPart&gt;_x0009_%SectionTitle%&lt;/TextPart&gt;&lt;/TextWithCharacterStyle&gt;&lt;/FirstLine&gt;&lt;SecondLine&gt;&lt;Style&gt;Section Subitle&lt;/Style&gt;&lt;Text&gt;%SectionSubtitle%&lt;/Text&gt;&lt;/SecondLine&gt;&lt;/FirstPage&gt;&lt;EvenPages&gt;&lt;Active&gt;true&lt;/Active&gt;&lt;FirstLine&gt;&lt;Style&gt;Header Title Left&lt;/Style&gt;&lt;Text&gt;European Commission&lt;/Text&gt;&lt;/FirstLine&gt;&lt;SecondLine&gt;&lt;Style&gt;Header Title Left&lt;/Style&gt;&lt;Text&gt;%PublicationTitle%&lt;/Text&gt;&lt;/SecondLine&gt;&lt;/EvenPages&gt;&lt;/Header&gt;&lt;ToCFields&gt;&lt;Start&gt;&lt;Text&gt;%SectionNumber%._x0009_%SectionTitle%&lt;/Text&gt;&lt;Name /&gt;&lt;Level&gt;2&lt;/Level&gt;&lt;/Start&gt;&lt;Box&gt;&lt;Text&gt;%ChapterNumber%.%SectionNumber%.%EPShapeNumber%._x0009_%EPShapeTitle%&lt;/Text&gt;&lt;Name&gt;DoNotShow&lt;/Name&gt;&lt;Level&gt;5&lt;/Level&gt;&lt;/Box&gt;&lt;Graph&gt;&lt;Text&gt;%ChapterNumber%.%SectionNumber%.%EPShapeNumber%._x0009_%EPShapeTitle%&lt;/Text&gt;&lt;Name&gt;DoNotShow&lt;/Name&gt;&lt;Level&gt;5&lt;/Level&gt;&lt;/Graph&gt;&lt;Table&gt;&lt;Text&gt;%ChapterNumber%.%SectionNumber%.%EPShapeNumber%._x0009_%EPShapeTitle%&lt;/Text&gt;&lt;Name&gt;DoNotShow&lt;/Name&gt;&lt;Level&gt;5&lt;/Level&gt;&lt;/Table&gt;&lt;/ToCFields&gt;&lt;/Format&gt;&lt;Content&gt;&lt;ChapterNumber DisplayName=&quot;Level 1 Number&quot;&gt;IV&lt;/ChapterNumber&gt;&lt;ChapterTitle&gt;Statistical Annex  – COUNTRY FICHES&lt;/ChapterTitle&gt;&lt;/Content&gt;&lt;Structure&gt;&lt;PublicFinancesChapterCoverPage&gt;&lt;Meta&gt;&lt;Design&gt;&lt;GUID&gt;{9699D91C-F3A1-4F81-8F85-6C4A2F44FAB6}&lt;/GUID&gt;&lt;DisplayName&gt;Part Cover Page&lt;/DisplayName&gt;&lt;/Design&gt;&lt;Create&gt;&lt;Creatable&gt;false&lt;/Creatable&gt;&lt;Template&gt;EPGeneralSection.dot&lt;/Template&gt;&lt;/Create&gt;&lt;/Meta&gt;&lt;Format&gt;&lt;PageSettings&gt;&lt;SectionStart&gt;4&lt;/SectionStart&gt;&lt;/PageSettings&gt;&lt;ColumnSettings&gt;&lt;SetCount&gt;1&lt;/SetCount&gt;&lt;/ColumnSettings&gt;&lt;Header&gt;&lt;Primary&gt;&lt;Active&gt;false&lt;/Active&gt;&lt;/Primary&gt;&lt;FirstPage&gt;&lt;Active&gt;true&lt;/Active&gt;&lt;LinkToPrevious&gt;false&lt;/LinkToPrevious&gt;&lt;FirstLine&gt;&lt;Style&gt;Chapter Name&lt;/Style&gt;&lt;Text&gt;%NameLevelOne% %ChapterNumber%&lt;/Text&gt;&lt;/FirstLine&gt;&lt;SecondLine&gt;&lt;Style&gt;Chapter Title&lt;/Style&gt;&lt;Text&gt;%ChapterTitle%&lt;/Text&gt;&lt;/SecondLine&gt;&lt;/FirstPage&gt;&lt;EvenPages&gt;&lt;Active&gt;false&lt;/Active&gt;&lt;/EvenPages&gt;&lt;/Header&gt;&lt;Footer&gt;&lt;Primary&gt;&lt;Active&gt;false&lt;/Active&gt;&lt;/Primary&gt;&lt;FirstPage&gt;&lt;Active&gt;false&lt;/Active&gt;&lt;/FirstPage&gt;&lt;EvenPages&gt;&lt;Active&gt;false&lt;/Active&gt;&lt;LinkToPrevious&gt;false&lt;/LinkToPrevious&gt;&lt;/EvenPages&gt;&lt;/Footer&gt;&lt;ToCFields&gt;&lt;Start&gt;&lt;Text&gt;%NameLevelOne% %ChapterNumber%:_x0009_%ChapterTitle%&lt;/Text&gt;&lt;Name /&gt;&lt;Level&gt;1&lt;/Level&gt;&lt;/Start&gt;&lt;/ToCFields&gt;&lt;/Format&gt;&lt;Content /&gt;&lt;/PublicFinancesChapterCoverPage&gt;&lt;PublicFinancesCountrySection characteristic=&quot;Country Chapter&quot;&gt;&lt;Meta&gt;&lt;Design&gt;&lt;GUID&gt;{C4D45CF7-B78A-411F-ACD3-25260F94CF1D}&lt;/GUID&gt;&lt;DisplayName&gt;Belgium&lt;/DisplayName&gt;&lt;/Design&gt;&lt;Create&gt;&lt;Creatable&gt;true&lt;/Creatable&gt;&lt;Template&gt;EPGeneralSection.DOT&lt;/Template&gt;&lt;/Create&gt;&lt;Manage&gt;&lt;Path&gt;U:\Budgetary projections 2018\Reports\2018 AR\The 2018 Ageing Report Economic\Part IV Statistical Annex  – COU\Belgium.docx&lt;/Path&gt;&lt;LastMerge&gt;2018-03-09T15:05:47&lt;/LastMerge&gt;&lt;ExternalSources&gt;&lt;/ExternalSources&gt;&lt;/Manage&gt;&lt;/Meta&gt;&lt;Format&gt;&lt;ColumnSettings&gt;&lt;SetCount&gt;1&lt;/SetCount&gt;&lt;/ColumnSettings&gt;&lt;/Format&gt;&lt;Content&gt;&lt;SectionNumber DisplayName=&quot;Level 2 Number&quot; Automatic=&quot;true&quot;&gt;1&lt;/SectionNumber&gt;&lt;SectionTitle DisplayName=&quot;Level 2 Title&quot;&gt;Belgium&lt;/SectionTitle&gt;&lt;SectionSubtitle Edit=&quot;true&quot;&gt;&lt;/SectionSubtitle&gt;&lt;/Content&gt;&lt;/PublicFinancesCountrySection&gt;&lt;PublicFinancesCountrySection characteristic=&quot;Country Chapter&quot;&gt;&lt;Meta&gt;&lt;Design&gt;&lt;GUID&gt;{2B87B062-8A75-4DE2-8512-8F1481573283}&lt;/GUID&gt;&lt;DisplayName&gt;Bulgaria&lt;/DisplayName&gt;&lt;/Design&gt;&lt;Create&gt;&lt;Creatable&gt;true&lt;/Creatable&gt;&lt;Template&gt;EPGeneralSection.DOT&lt;/Template&gt;&lt;/Create&gt;&lt;Manage&gt;&lt;Path&gt;U:\Budgetary projections 2018\Reports\2018 AR\The 2018 Ageing Report Economic\Part IV Statistical Annex  – COU\Bulgaria.docx&lt;/Path&gt;&lt;LastMerge&gt;2018-03-09T15:06:06&lt;/LastMerge&gt;&lt;ExternalSources&gt;&lt;/ExternalSources&gt;&lt;/Manage&gt;&lt;/Meta&gt;&lt;Format&gt;&lt;ColumnSettings&gt;&lt;SetCount&gt;1&lt;/SetCount&gt;&lt;/ColumnSettings&gt;&lt;/Format&gt;&lt;Content&gt;&lt;SectionNumber DisplayName=&quot;Level 2 Number&quot; Automatic=&quot;true&quot;&gt;2&lt;/SectionNumber&gt;&lt;SectionTitle DisplayName=&quot;Level 2 Title&quot;&gt;Bulgaria&lt;/SectionTitle&gt;&lt;SectionSubtitle Edit=&quot;true&quot;&gt;&lt;/SectionSubtitle&gt;&lt;/Content&gt;&lt;/PublicFinancesCountrySection&gt;&lt;PublicFinancesCountrySection characteristic=&quot;Country Chapter&quot;&gt;&lt;Meta&gt;&lt;Design&gt;&lt;GUID&gt;{DEA145CE-F17F-48BD-B059-E489240A5589}&lt;/GUID&gt;&lt;DisplayName&gt;The Czech Republic&lt;/DisplayName&gt;&lt;/Design&gt;&lt;Create&gt;&lt;Creatable&gt;true&lt;/Creatable&gt;&lt;Template&gt;EPGeneralSection.DOT&lt;/Template&gt;&lt;/Create&gt;&lt;Manage&gt;&lt;Path&gt;U:\Budgetary projections 2018\Reports\2018 AR\The 2018 Ageing Report Economic\Part IV Statistical Annex  – COU\The Czech Republic.docx&lt;/Path&gt;&lt;LastMerge&gt;2018-03-09T15:06:25&lt;/LastMerge&gt;&lt;ExternalSources&gt;&lt;/ExternalSources&gt;&lt;/Manage&gt;&lt;/Meta&gt;&lt;Format&gt;&lt;ColumnSettings&gt;&lt;SetCount&gt;1&lt;/SetCount&gt;&lt;/ColumnSettings&gt;&lt;/Format&gt;&lt;Content&gt;&lt;SectionNumber DisplayName=&quot;Level 2 Number&quot; Automatic=&quot;true&quot;&gt;3&lt;/SectionNumber&gt;&lt;SectionTitle DisplayName=&quot;Level 2 Title&quot;&gt;The Czech Republic&lt;/SectionTitle&gt;&lt;SectionSubtitle Edit=&quot;true&quot;&gt;&lt;/SectionSubtitle&gt;&lt;/Content&gt;&lt;/PublicFinancesCountrySection&gt;&lt;PublicFinancesCountrySection characteristic=&quot;Country Chapter&quot;&gt;&lt;Meta&gt;&lt;Design&gt;&lt;GUID&gt;{7C0B6003-0344-4A7C-8CDE-B15CCBAE93A8}&lt;/GUID&gt;&lt;DisplayName&gt;Denmark&lt;/DisplayName&gt;&lt;/Design&gt;&lt;Create&gt;&lt;Creatable&gt;true&lt;/Creatable&gt;&lt;Template&gt;EPGeneralSection.DOT&lt;/Template&gt;&lt;/Create&gt;&lt;Manage&gt;&lt;Path&gt;U:\Budgetary projections 2018\Reports\2018 AR\The 2018 Ageing Report Economic\Part IV Statistical Annex  – COU\Denmark.docx&lt;/Path&gt;&lt;LastMerge&gt;2018-03-09T15:06:44&lt;/LastMerge&gt;&lt;ExternalSources&gt;&lt;/ExternalSources&gt;&lt;/Manage&gt;&lt;/Meta&gt;&lt;Format&gt;&lt;ColumnSettings&gt;&lt;SetCount&gt;1&lt;/SetCount&gt;&lt;/ColumnSettings&gt;&lt;/Format&gt;&lt;Content&gt;&lt;SectionNumber DisplayName=&quot;Level 2 Number&quot; Automatic=&quot;true&quot;&gt;4&lt;/SectionNumber&gt;&lt;SectionTitle DisplayName=&quot;Level 2 Title&quot;&gt;Denmark&lt;/SectionTitle&gt;&lt;SectionSubtitle Edit=&quot;true&quot;&gt;&lt;/SectionSubtitle&gt;&lt;/Content&gt;&lt;/PublicFinancesCountrySection&gt;&lt;PublicFinancesCountrySection characteristic=&quot;Country Chapter&quot;&gt;&lt;Meta&gt;&lt;Design&gt;&lt;GUID&gt;{D4840B2F-C7E0-4398-8A84-4574F2362A55}&lt;/GUID&gt;&lt;DisplayName&gt;Germany&lt;/DisplayName&gt;&lt;/Design&gt;&lt;Create&gt;&lt;Creatable&gt;true&lt;/Creatable&gt;&lt;Template&gt;EPGeneralSection.DOT&lt;/Template&gt;&lt;/Create&gt;&lt;Manage&gt;&lt;Path&gt;U:\Budgetary projections 2018\Reports\2018 AR\The 2018 Ageing Report Economic\Part IV Statistical Annex  – COU\Germany.docx&lt;/Path&gt;&lt;LastMerge&gt;2018-03-09T15:07:04&lt;/LastMerge&gt;&lt;ExternalSources&gt;&lt;/ExternalSources&gt;&lt;/Manage&gt;&lt;/Meta&gt;&lt;Format&gt;&lt;ColumnSettings&gt;&lt;SetCount&gt;1&lt;/SetCount&gt;&lt;/ColumnSettings&gt;&lt;/Format&gt;&lt;Content&gt;&lt;SectionNumber DisplayName=&quot;Level 2 Number&quot; Automatic=&quot;true&quot;&gt;5&lt;/SectionNumber&gt;&lt;SectionTitle DisplayName=&quot;Level 2 Title&quot;&gt;Germany&lt;/SectionTitle&gt;&lt;SectionSubtitle Edit=&quot;true&quot;&gt;&lt;/SectionSubtitle&gt;&lt;/Content&gt;&lt;/PublicFinancesCountrySection&gt;&lt;PublicFinancesCountrySection characteristic=&quot;Country Chapter&quot;&gt;&lt;Meta&gt;&lt;Design&gt;&lt;GUID&gt;{9E4C8AD6-44AD-4A3C-BD9F-8E03F1967342}&lt;/GUID&gt;&lt;DisplayName&gt;Estonia&lt;/DisplayName&gt;&lt;/Design&gt;&lt;Create&gt;&lt;Creatable&gt;true&lt;/Creatable&gt;&lt;Template&gt;EPGeneralSection.DOT&lt;/Template&gt;&lt;/Create&gt;&lt;Manage&gt;&lt;Path&gt;U:\Budgetary projections 2018\Reports\2018 AR\The 2018 Ageing Report Economic\Part IV Statistical Annex  – COU\Estonia.docx&lt;/Path&gt;&lt;LastMerge&gt;2018-03-09T15:07:23&lt;/LastMerge&gt;&lt;ExternalSources&gt;&lt;/ExternalSources&gt;&lt;/Manage&gt;&lt;/Meta&gt;&lt;Format&gt;&lt;ColumnSettings&gt;&lt;SetCount&gt;1&lt;/SetCount&gt;&lt;/ColumnSettings&gt;&lt;/Format&gt;&lt;Content&gt;&lt;SectionNumber DisplayName=&quot;Level 2 Number&quot; Automatic=&quot;true&quot;&gt;6&lt;/SectionNumber&gt;&lt;SectionTitle DisplayName=&quot;Level 2 Title&quot;&gt;Estonia&lt;/SectionTitle&gt;&lt;SectionSubtitle Edit=&quot;true&quot;&gt;&lt;/SectionSubtitle&gt;&lt;/Content&gt;&lt;/PublicFinancesCountrySection&gt;&lt;PublicFinancesCountrySection characteristic=&quot;Country Chapter&quot;&gt;&lt;Meta&gt;&lt;Design&gt;&lt;GUID&gt;{921CF8D2-3B8A-4F3C-A031-57A6D2D7C03D}&lt;/GUID&gt;&lt;DisplayName&gt;Ireland&lt;/DisplayName&gt;&lt;/Design&gt;&lt;Create&gt;&lt;Creatable&gt;true&lt;/Creatable&gt;&lt;Template&gt;EPGeneralSection.DOT&lt;/Template&gt;&lt;/Create&gt;&lt;Manage&gt;&lt;Path&gt;U:\Budgetary projections 2018\Reports\2018 AR\The 2018 Ageing Report Economic\Part IV Statistical Annex  – COU\Ireland.docx&lt;/Path&gt;&lt;LastMerge&gt;2018-03-09T15:07:42&lt;/LastMerge&gt;&lt;ExternalSources&gt;&lt;/ExternalSources&gt;&lt;/Manage&gt;&lt;/Meta&gt;&lt;Format&gt;&lt;ColumnSettings&gt;&lt;SetCount&gt;1&lt;/SetCount&gt;&lt;/ColumnSettings&gt;&lt;/Format&gt;&lt;Content&gt;&lt;SectionNumber DisplayName=&quot;Level 2 Number&quot; Automatic=&quot;true&quot;&gt;7&lt;/SectionNumber&gt;&lt;SectionTitle DisplayName=&quot;Level 2 Title&quot;&gt;Ireland&lt;/SectionTitle&gt;&lt;SectionSubtitle Edit=&quot;true&quot;&gt;&lt;/SectionSubtitle&gt;&lt;/Content&gt;&lt;/PublicFinancesCountrySection&gt;&lt;PublicFinancesCountrySection characteristic=&quot;Country Chapter&quot;&gt;&lt;Meta&gt;&lt;Design&gt;&lt;GUID&gt;{F5654819-C762-4F6D-BACB-25DCD5E5D0DD}&lt;/GUID&gt;&lt;DisplayName&gt;Greece&lt;/DisplayName&gt;&lt;/Design&gt;&lt;Create&gt;&lt;Creatable&gt;true&lt;/Creatable&gt;&lt;Template&gt;EPGeneralSection.DOT&lt;/Template&gt;&lt;/Create&gt;&lt;Manage&gt;&lt;Path&gt;U:\Budgetary projections 2018\Reports\2018 AR\The 2018 Ageing Report Economic\Part IV Statistical Annex  – COU\Greece.docx&lt;/Path&gt;&lt;LastMerge&gt;2018-03-09T15:08:01&lt;/LastMerge&gt;&lt;ExternalSources&gt;&lt;/ExternalSources&gt;&lt;/Manage&gt;&lt;/Meta&gt;&lt;Format&gt;&lt;ColumnSettings&gt;&lt;SetCount&gt;1&lt;/SetCount&gt;&lt;/ColumnSettings&gt;&lt;/Format&gt;&lt;Content&gt;&lt;SectionNumber DisplayName=&quot;Level 2 Number&quot; Automatic=&quot;true&quot;&gt;8&lt;/SectionNumber&gt;&lt;SectionTitle DisplayName=&quot;Level 2 Title&quot;&gt;Greece&lt;/SectionTitle&gt;&lt;SectionSubtitle Edit=&quot;true&quot;&gt;&lt;/SectionSubtitle&gt;&lt;/Content&gt;&lt;/PublicFinancesCountrySection&gt;&lt;PublicFinancesCountrySection characteristic=&quot;Country Chapter&quot;&gt;&lt;Meta&gt;&lt;Design&gt;&lt;GUID&gt;{B1B318EE-B033-4829-9C1A-21571CC43389}&lt;/GUID&gt;&lt;DisplayName&gt;Spain&lt;/DisplayName&gt;&lt;/Design&gt;&lt;Create&gt;&lt;Creatable&gt;true&lt;/Creatable&gt;&lt;Template&gt;EPGeneralSection.DOT&lt;/Template&gt;&lt;/Create&gt;&lt;Manage&gt;&lt;Path&gt;U:\Budgetary projections 2018\Reports\2018 AR\The 2018 Ageing Report Economic\Part IV Statistical Annex  – COU\Spain.docx&lt;/Path&gt;&lt;LastMerge&gt;2018-03-09T15:08:21&lt;/LastMerge&gt;&lt;ExternalSources&gt;&lt;/ExternalSources&gt;&lt;/Manage&gt;&lt;/Meta&gt;&lt;Format&gt;&lt;ColumnSettings&gt;&lt;SetCount&gt;1&lt;/SetCount&gt;&lt;/ColumnSettings&gt;&lt;/Format&gt;&lt;Content&gt;&lt;SectionNumber DisplayName=&quot;Level 2 Number&quot; Automatic=&quot;true&quot;&gt;9&lt;/SectionNumber&gt;&lt;SectionTitle DisplayName=&quot;Level 2 Title&quot;&gt;Spain&lt;/SectionTitle&gt;&lt;SectionSubtitle Edit=&quot;true&quot;&gt;&lt;/SectionSubtitle&gt;&lt;/Content&gt;&lt;/PublicFinancesCountrySection&gt;&lt;PublicFinancesCountrySection characteristic=&quot;Country Chapter&quot;&gt;&lt;Meta&gt;&lt;Design&gt;&lt;GUID&gt;{8C23FD9A-B8CB-4249-A52B-6C9CF2F7B30A}&lt;/GUID&gt;&lt;DisplayName&gt;France&lt;/DisplayName&gt;&lt;/Design&gt;&lt;Create&gt;&lt;Creatable&gt;true&lt;/Creatable&gt;&lt;Template&gt;EPGeneralSection.DOT&lt;/Template&gt;&lt;/Create&gt;&lt;Manage&gt;&lt;Path&gt;U:\Budgetary projections 2018\Reports\2018 AR\The 2018 Ageing Report Economic\Part IV Statistical Annex  – COU\France.docx&lt;/Path&gt;&lt;LastMerge&gt;2018-03-09T15:08:40&lt;/LastMerge&gt;&lt;ExternalSources&gt;&lt;/ExternalSources&gt;&lt;/Manage&gt;&lt;/Meta&gt;&lt;Format&gt;&lt;ColumnSettings&gt;&lt;SetCount&gt;1&lt;/SetCount&gt;&lt;/ColumnSettings&gt;&lt;/Format&gt;&lt;Content&gt;&lt;SectionNumber DisplayName=&quot;Level 2 Number&quot; Automatic=&quot;true&quot;&gt;10&lt;/SectionNumber&gt;&lt;SectionTitle DisplayName=&quot;Level 2 Title&quot;&gt;France&lt;/SectionTitle&gt;&lt;SectionSubtitle Edit=&quot;true&quot;&gt;&lt;/SectionSubtitle&gt;&lt;/Content&gt;&lt;/PublicFinancesCountrySection&gt;&lt;PublicFinancesCountrySection characteristic=&quot;Country Chapter&quot;&gt;&lt;Meta&gt;&lt;Design&gt;&lt;GUID&gt;{9BD7FAFE-7192-4AF1-A9E5-499502BA90DA}&lt;/GUID&gt;&lt;DisplayName&gt;Croatia&lt;/DisplayName&gt;&lt;/Design&gt;&lt;Create&gt;&lt;Creatable&gt;true&lt;/Creatable&gt;&lt;Template&gt;EPGeneralSection.DOT&lt;/Template&gt;&lt;/Create&gt;&lt;Manage&gt;&lt;Path&gt;U:\Budgetary projections 2018\Reports\2018 AR\The 2018 Ageing Report Economic\Part IV Statistical Annex  – COU\Croatia.docx&lt;/Path&gt;&lt;LastMerge&gt;2018-03-09T15:09:00&lt;/LastMerge&gt;&lt;ExternalSources&gt;&lt;/ExternalSources&gt;&lt;/Manage&gt;&lt;/Meta&gt;&lt;Format&gt;&lt;ColumnSettings&gt;&lt;SetCount&gt;1&lt;/SetCount&gt;&lt;/ColumnSettings&gt;&lt;/Format&gt;&lt;Content&gt;&lt;SectionNumber Automatic=&quot;true&quot;&gt;11&lt;/SectionNumber&gt;&lt;SectionTitle&gt;Croatia&lt;/SectionTitle&gt;&lt;SectionSubtitle Edit=&quot;true&quot;&gt;&lt;/SectionSubtitle&gt;&lt;/Content&gt;&lt;/PublicFinancesCountrySection&gt;&lt;PublicFinancesCountrySection characteristic=&quot;Country Chapter&quot;&gt;&lt;Meta&gt;&lt;Design&gt;&lt;GUID&gt;{16886E96-39A2-41CC-B6C8-8E93704FBB10}&lt;/GUID&gt;&lt;DisplayName&gt;Italy&lt;/DisplayName&gt;&lt;/Design&gt;&lt;Create&gt;&lt;Creatable&gt;true&lt;/Creatable&gt;&lt;Template&gt;EPGeneralSection.DOT&lt;/Template&gt;&lt;/Create&gt;&lt;Manage&gt;&lt;Path&gt;U:\Budgetary projections 2018\Reports\2018 AR\The 2018 Ageing Report Economic\Part IV Statistical Annex  – COU\Italy.docx&lt;/Path&gt;&lt;LastMerge&gt;2018-03-09T15:09:19&lt;/LastMerge&gt;&lt;ExternalSources&gt;&lt;/ExternalSources&gt;&lt;/Manage&gt;&lt;/Meta&gt;&lt;Format&gt;&lt;ColumnSettings&gt;&lt;SetCount&gt;1&lt;/SetCount&gt;&lt;/ColumnSettings&gt;&lt;/Format&gt;&lt;Content&gt;&lt;SectionNumber DisplayName=&quot;Level 2 Number&quot; Automatic=&quot;true&quot;&gt;12&lt;/SectionNumber&gt;&lt;SectionTitle DisplayName=&quot;Level 2 Title&quot;&gt;Italy&lt;/SectionTitle&gt;&lt;SectionSubtitle Edit=&quot;true&quot;&gt;&lt;/SectionSubtitle&gt;&lt;/Content&gt;&lt;/PublicFinancesCountrySection&gt;&lt;PublicFinancesCountrySection characteristic=&quot;Country Chapter&quot;&gt;&lt;Meta&gt;&lt;Design&gt;&lt;GUID&gt;{4AA82740-830E-483A-B49A-EEAE564F1F32}&lt;/GUID&gt;&lt;DisplayName&gt;Cyprus&lt;/DisplayName&gt;&lt;/Design&gt;&lt;Create&gt;&lt;Creatable&gt;true&lt;/Creatable&gt;&lt;Template&gt;EPGeneralSection.DOT&lt;/Template&gt;&lt;/Create&gt;&lt;Manage&gt;&lt;Path&gt;U:\Budgetary projections 2018\Reports\2018 AR\The 2018 Ageing Report Economic\Part IV Statistical Annex  – COU\Cyprus.docx&lt;/Path&gt;&lt;LastMerge&gt;2018-03-09T15:09:38&lt;/LastMerge&gt;&lt;ExternalSources&gt;&lt;/ExternalSources&gt;&lt;/Manage&gt;&lt;/Meta&gt;&lt;Format&gt;&lt;ColumnSettings&gt;&lt;SetCount&gt;1&lt;/SetCount&gt;&lt;/ColumnSettings&gt;&lt;/Format&gt;&lt;Content&gt;&lt;SectionNumber DisplayName=&quot;Level 2 Number&quot; Automatic=&quot;true&quot;&gt;13&lt;/SectionNumber&gt;&lt;SectionTitle DisplayName=&quot;Level 2 Title&quot;&gt;Cyprus&lt;/SectionTitle&gt;&lt;SectionSubtitle Edit=&quot;true&quot;&gt;&lt;/SectionSubtitle&gt;&lt;/Content&gt;&lt;/PublicFinancesCountrySection&gt;&lt;PublicFinancesCountrySection characteristic=&quot;Country Chapter&quot;&gt;&lt;Meta&gt;&lt;Design&gt;&lt;GUID&gt;{DB0ABD12-B9B6-4339-B41E-DE4B83B628F4}&lt;/GUID&gt;&lt;DisplayName&gt;Latvia&lt;/DisplayName&gt;&lt;/Design&gt;&lt;Create&gt;&lt;Creatable&gt;true&lt;/Creatable&gt;&lt;Template&gt;EPGeneralSection.DOT&lt;/Template&gt;&lt;/Create&gt;&lt;Manage&gt;&lt;Path&gt;U:\Budgetary projections 2018\Reports\2018 AR\The 2018 Ageing Report Economic\Part IV Statistical Annex  – COU\Latvia.docx&lt;/Path&gt;&lt;LastMerge&gt;2018-03-09T15:09:58&lt;/LastMerge&gt;&lt;ExternalSources&gt;&lt;/ExternalSources&gt;&lt;/Manage&gt;&lt;/Meta&gt;&lt;Format&gt;&lt;ColumnSettings&gt;&lt;SetCount&gt;1&lt;/SetCount&gt;&lt;/ColumnSettings&gt;&lt;/Format&gt;&lt;Content&gt;&lt;SectionNumber DisplayName=&quot;Level 2 Number&quot; Automatic=&quot;true&quot;&gt;14&lt;/SectionNumber&gt;&lt;SectionTitle DisplayName=&quot;Level 2 Title&quot;&gt;Latvia&lt;/SectionTitle&gt;&lt;SectionSubtitle Edit=&quot;true&quot;&gt;&lt;/SectionSubtitle&gt;&lt;/Content&gt;&lt;/PublicFinancesCountrySection&gt;&lt;PublicFinancesCountrySection characteristic=&quot;Country Chapter&quot;&gt;&lt;Meta&gt;&lt;Design&gt;&lt;GUID&gt;{702BD262-1AC4-435B-8DF8-8526FDD7E288}&lt;/GUID&gt;&lt;DisplayName&gt;Lithuania&lt;/DisplayName&gt;&lt;/Design&gt;&lt;Create&gt;&lt;Creatable&gt;true&lt;/Creatable&gt;&lt;Template&gt;EPGeneralSection.DOT&lt;/Template&gt;&lt;/Create&gt;&lt;Manage&gt;&lt;Path&gt;U:\Budgetary projections 2018\Reports\2018 AR\The 2018 Ageing Report Economic\Part IV Statistical Annex  – COU\Lithuania.docx&lt;/Path&gt;&lt;LastMerge&gt;2018-03-09T15:10:17&lt;/LastMerge&gt;&lt;ExternalSources&gt;&lt;/ExternalSources&gt;&lt;/Manage&gt;&lt;/Meta&gt;&lt;Format&gt;&lt;ColumnSettings&gt;&lt;SetCount&gt;1&lt;/SetCount&gt;&lt;/ColumnSettings&gt;&lt;/Format&gt;&lt;Content&gt;&lt;SectionNumber DisplayName=&quot;Level 2 Number&quot; Automatic=&quot;true&quot;&gt;15&lt;/SectionNumber&gt;&lt;SectionTitle DisplayName=&quot;Level 2 Title&quot;&gt;Lithuania&lt;/SectionTitle&gt;&lt;SectionSubtitle Edit=&quot;true&quot;&gt;&lt;/SectionSubtitle&gt;&lt;/Content&gt;&lt;/PublicFinancesCountrySection&gt;&lt;PublicFinancesCountrySection characteristic=&quot;Country Chapter&quot;&gt;&lt;Meta&gt;&lt;Design&gt;&lt;GUID&gt;{52B1D28E-F476-40AF-99D3-DA789B6BF436}&lt;/GUID&gt;&lt;DisplayName&gt;Luxembourg&lt;/DisplayName&gt;&lt;/Design&gt;&lt;Create&gt;&lt;Creatable&gt;true&lt;/Creatable&gt;&lt;Template&gt;EPGeneralSection.DOT&lt;/Template&gt;&lt;/Create&gt;&lt;Manage&gt;&lt;Path&gt;U:\Budgetary projections 2018\Reports\2018 AR\The 2018 Ageing Report Economic\Part IV Statistical Annex  – COU\Luxembourg.docx&lt;/Path&gt;&lt;LastMerge&gt;2018-03-09T15:10:37&lt;/LastMerge&gt;&lt;ExternalSources&gt;&lt;/ExternalSources&gt;&lt;/Manage&gt;&lt;/Meta&gt;&lt;Format&gt;&lt;ColumnSettings&gt;&lt;SetCount&gt;1&lt;/SetCount&gt;&lt;/ColumnSettings&gt;&lt;/Format&gt;&lt;Content&gt;&lt;SectionNumber DisplayName=&quot;Level 2 Number&quot; Automatic=&quot;true&quot;&gt;16&lt;/SectionNumber&gt;&lt;SectionTitle DisplayName=&quot;Level 2 Title&quot;&gt;Luxembourg&lt;/SectionTitle&gt;&lt;SectionSubtitle Edit=&quot;true&quot;&gt;&lt;/SectionSubtitle&gt;&lt;/Content&gt;&lt;/PublicFinancesCountrySection&gt;&lt;PublicFinancesCountrySection characteristic=&quot;Country Chapter&quot;&gt;&lt;Meta&gt;&lt;Design&gt;&lt;GUID&gt;{CCD57A9C-8833-42E9-8B70-D64254B1A070}&lt;/GUID&gt;&lt;DisplayName&gt;Hungary&lt;/DisplayName&gt;&lt;/Design&gt;&lt;Create&gt;&lt;Creatable&gt;true&lt;/Creatable&gt;&lt;Template&gt;EPGeneralSection.DOT&lt;/Template&gt;&lt;/Create&gt;&lt;Manage&gt;&lt;Path&gt;U:\Budgetary projections 2018\Reports\2018 AR\The 2018 Ageing Report Economic\Part IV Statistical Annex  – COU\Hungary.docx&lt;/Path&gt;&lt;LastMerge&gt;2018-03-09T15:11:01&lt;/LastMerge&gt;&lt;ExternalSources&gt;&lt;/ExternalSources&gt;&lt;/Manage&gt;&lt;/Meta&gt;&lt;Format&gt;&lt;ColumnSettings&gt;&lt;SetCount&gt;1&lt;/SetCount&gt;&lt;/ColumnSettings&gt;&lt;/Format&gt;&lt;Content&gt;&lt;SectionNumber DisplayName=&quot;Level 2 Number&quot; Automatic=&quot;true&quot;&gt;17&lt;/SectionNumber&gt;&lt;SectionTitle DisplayName=&quot;Level 2 Title&quot;&gt;Hungary&lt;/SectionTitle&gt;&lt;SectionSubtitle Edit=&quot;true&quot;&gt;&lt;/SectionSubtitle&gt;&lt;/Content&gt;&lt;/PublicFinancesCountrySection&gt;&lt;PublicFinancesCountrySection characteristic=&quot;Country Chapter&quot;&gt;&lt;Meta&gt;&lt;Design&gt;&lt;GUID&gt;{7E8F0B08-EC4B-41CB-B2B0-D5B5CDDE03EE}&lt;/GUID&gt;&lt;DisplayName&gt;Malta&lt;/DisplayName&gt;&lt;/Design&gt;&lt;Create&gt;&lt;Creatable&gt;true&lt;/Creatable&gt;&lt;Template&gt;EPGeneralSection.DOT&lt;/Template&gt;&lt;/Create&gt;&lt;Manage&gt;&lt;Path&gt;U:\Budgetary projections 2018\Reports\2018 AR\The 2018 Ageing Report Economic\Part IV Statistical Annex  – COU\Malta.docx&lt;/Path&gt;&lt;LastMerge&gt;2018-03-09T15:11:20&lt;/LastMerge&gt;&lt;ExternalSources&gt;&lt;/ExternalSources&gt;&lt;/Manage&gt;&lt;/Meta&gt;&lt;Format&gt;&lt;ColumnSettings&gt;&lt;SetCount&gt;1&lt;/SetCount&gt;&lt;/ColumnSettings&gt;&lt;/Format&gt;&lt;Content&gt;&lt;SectionNumber DisplayName=&quot;Level 2 Number&quot; Automatic=&quot;true&quot;&gt;18&lt;/SectionNumber&gt;&lt;SectionTitle DisplayName=&quot;Level 2 Title&quot;&gt;Malta&lt;/SectionTitle&gt;&lt;SectionSubtitle Edit=&quot;true&quot;&gt;&lt;/SectionSubtitle&gt;&lt;/Content&gt;&lt;/PublicFinancesCountrySection&gt;&lt;PublicFinancesCountrySection characteristic=&quot;Country Chapter&quot;&gt;&lt;Meta&gt;&lt;Design&gt;&lt;GUID&gt;{8DD2B4F6-7695-456A-8563-6BD208C94702}&lt;/GUID&gt;&lt;DisplayName&gt;The Netherlands&lt;/DisplayName&gt;&lt;/Design&gt;&lt;Create&gt;&lt;Creatable&gt;true&lt;/Creatable&gt;&lt;Template&gt;EPGeneralSection.DOT&lt;/Template&gt;&lt;/Create&gt;&lt;Manage&gt;&lt;Path&gt;U:\Budgetary projections 2018\Reports\2018 AR\The 2018 Ageing Report Economic\Part IV Statistical Annex  – COU\The Netherlands.docx&lt;/Path&gt;&lt;LastMerge&gt;2018-03-09T15:11:39&lt;/LastMerge&gt;&lt;ExternalSources&gt;&lt;/ExternalSources&gt;&lt;/Manage&gt;&lt;/Meta&gt;&lt;Format&gt;&lt;ColumnSettings&gt;&lt;SetCount&gt;1&lt;/SetCount&gt;&lt;/ColumnSettings&gt;&lt;/Format&gt;&lt;Content&gt;&lt;SectionNumber DisplayName=&quot;Level 2 Number&quot; Automatic=&quot;true&quot;&gt;19&lt;/SectionNumber&gt;&lt;SectionTitle DisplayName=&quot;Level 2 Title&quot;&gt;The Netherlands&lt;/SectionTitle&gt;&lt;SectionSubtitle Edit=&quot;true&quot;&gt;&lt;/SectionSubtitle&gt;&lt;/Content&gt;&lt;/PublicFinancesCountrySection&gt;&lt;PublicFinancesCountrySection characteristic=&quot;Country Chapter&quot;&gt;&lt;Meta&gt;&lt;Design&gt;&lt;GUID&gt;{934B8EF0-761C-406D-BC9F-FBA4F03C86F8}&lt;/GUID&gt;&lt;DisplayName&gt;Austria&lt;/DisplayName&gt;&lt;/Design&gt;&lt;Create&gt;&lt;Creatable&gt;true&lt;/Creatable&gt;&lt;Template&gt;EPGeneralSection.DOT&lt;/Template&gt;&lt;/Create&gt;&lt;Manage&gt;&lt;Path&gt;U:\Budgetary projections 2018\Reports\2018 AR\The 2018 Ageing Report Economic\Part IV Statistical Annex  – COU\Austria.docx&lt;/Path&gt;&lt;LastMerge&gt;2018-03-09T15:11:59&lt;/LastMerge&gt;&lt;ExternalSources&gt;&lt;/ExternalSources&gt;&lt;/Manage&gt;&lt;/Meta&gt;&lt;Format&gt;&lt;ColumnSettings&gt;&lt;SetCount&gt;1&lt;/SetCount&gt;&lt;/ColumnSettings&gt;&lt;/Format&gt;&lt;Content&gt;&lt;SectionNumber DisplayName=&quot;Level 2 Number&quot; Automatic=&quot;true&quot;&gt;20&lt;/SectionNumber&gt;&lt;SectionTitle DisplayName=&quot;Level 2 Title&quot;&gt;Austria&lt;/SectionTitle&gt;&lt;SectionSubtitle Edit=&quot;true&quot;&gt;&lt;/SectionSubtitle&gt;&lt;/Content&gt;&lt;/PublicFinancesCountrySection&gt;&lt;PublicFinancesCountrySection characteristic=&quot;Country Chapter&quot;&gt;&lt;Meta&gt;&lt;Design&gt;&lt;GUID&gt;{CFEBDD65-E119-4A0A-9432-86661C8A15A5}&lt;/GUID&gt;&lt;DisplayName&gt;Poland&lt;/DisplayName&gt;&lt;/Design&gt;&lt;Create&gt;&lt;Creatable&gt;true&lt;/Creatable&gt;&lt;Template&gt;EPGeneralSection.DOT&lt;/Template&gt;&lt;/Create&gt;&lt;Manage&gt;&lt;Path&gt;U:\Budgetary projections 2018\Reports\2018 AR\The 2018 Ageing Report Economic\Part IV Statistical Annex  – COU\Poland.docx&lt;/Path&gt;&lt;LastMerge&gt;2018-03-09T15:12:18&lt;/LastMerge&gt;&lt;ExternalSources&gt;&lt;/ExternalSources&gt;&lt;/Manage&gt;&lt;/Meta&gt;&lt;Format&gt;&lt;ColumnSettings&gt;&lt;SetCount&gt;1&lt;/SetCount&gt;&lt;/ColumnSettings&gt;&lt;/Format&gt;&lt;Content&gt;&lt;SectionNumber DisplayName=&quot;Level 2 Number&quot; Automatic=&quot;true&quot;&gt;21&lt;/SectionNumber&gt;&lt;SectionTitle DisplayName=&quot;Level 2 Title&quot;&gt;Poland&lt;/SectionTitle&gt;&lt;SectionSubtitle Edit=&quot;true&quot;&gt;&lt;/SectionSubtitle&gt;&lt;/Content&gt;&lt;/PublicFinancesCountrySection&gt;&lt;PublicFinancesCountrySection characteristic=&quot;Country Chapter&quot;&gt;&lt;Meta&gt;&lt;Design&gt;&lt;GUID&gt;{1616AC95-6D5C-4AD5-9184-6C5D3C147CF2}&lt;/GUID&gt;&lt;DisplayName&gt;Portugal&lt;/DisplayName&gt;&lt;/Design&gt;&lt;Create&gt;&lt;Creatable&gt;true&lt;/Creatable&gt;&lt;Template&gt;EPGeneralSection.DOT&lt;/Template&gt;&lt;/Create&gt;&lt;Manage&gt;&lt;Path&gt;U:\Budgetary projections 2018\Reports\2018 AR\The 2018 Ageing Report Economic\Part IV Statistical Annex  – COU\Portugal.docx&lt;/Path&gt;&lt;LastMerge&gt;2018-03-09T15:12:37&lt;/LastMerge&gt;&lt;ExternalSources&gt;&lt;/ExternalSources&gt;&lt;/Manage&gt;&lt;/Meta&gt;&lt;Format&gt;&lt;ColumnSettings&gt;&lt;SetCount&gt;1&lt;/SetCount&gt;&lt;/ColumnSettings&gt;&lt;/Format&gt;&lt;Content&gt;&lt;SectionNumber Di"/>
    <w:docVar w:name="PublicationXML_PART_2" w:val="splayName=&quot;Level 2 Number&quot; Automatic=&quot;true&quot;&gt;22&lt;/SectionNumber&gt;&lt;SectionTitle DisplayName=&quot;Level 2 Title&quot;&gt;Portugal&lt;/SectionTitle&gt;&lt;SectionSubtitle Edit=&quot;true&quot;&gt;&lt;/SectionSubtitle&gt;&lt;/Content&gt;&lt;/PublicFinancesCountrySection&gt;&lt;PublicFinancesCountrySection characteristic=&quot;Country Chapter&quot;&gt;&lt;Meta&gt;&lt;Design&gt;&lt;GUID&gt;{ACCBBFE1-7DDB-4E6E-8929-456A6E488BA4}&lt;/GUID&gt;&lt;DisplayName&gt;Romania&lt;/DisplayName&gt;&lt;/Design&gt;&lt;Create&gt;&lt;Creatable&gt;true&lt;/Creatable&gt;&lt;Template&gt;EPGeneralSection.DOT&lt;/Template&gt;&lt;/Create&gt;&lt;Manage&gt;&lt;Path&gt;U:\Budgetary projections 2018\Reports\2018 AR\The 2018 Ageing Report Economic\Part IV Statistical Annex  – COU\Romania.docx&lt;/Path&gt;&lt;LastMerge&gt;2018-03-09T15:12:57&lt;/LastMerge&gt;&lt;ExternalSources&gt;&lt;/ExternalSources&gt;&lt;/Manage&gt;&lt;/Meta&gt;&lt;Format&gt;&lt;ColumnSettings&gt;&lt;SetCount&gt;1&lt;/SetCount&gt;&lt;/ColumnSettings&gt;&lt;/Format&gt;&lt;Content&gt;&lt;SectionNumber DisplayName=&quot;Level 2 Number&quot; Automatic=&quot;true&quot;&gt;23&lt;/SectionNumber&gt;&lt;SectionTitle DisplayName=&quot;Level 2 Title&quot;&gt;Romania&lt;/SectionTitle&gt;&lt;SectionSubtitle Edit=&quot;true&quot;&gt;&lt;/SectionSubtitle&gt;&lt;/Content&gt;&lt;/PublicFinancesCountrySection&gt;&lt;PublicFinancesCountrySection characteristic=&quot;Country Chapter&quot;&gt;&lt;Meta&gt;&lt;Design&gt;&lt;GUID&gt;{F2FB3BBB-C90E-4AB8-BA0D-1171A162FC74}&lt;/GUID&gt;&lt;DisplayName&gt;Slovenia&lt;/DisplayName&gt;&lt;/Design&gt;&lt;Create&gt;&lt;Creatable&gt;true&lt;/Creatable&gt;&lt;Template&gt;EPGeneralSection.DOT&lt;/Template&gt;&lt;/Create&gt;&lt;Manage&gt;&lt;Path&gt;U:\Budgetary projections 2018\Reports\2018 AR\The 2018 Ageing Report Economic\Part IV Statistical Annex  – COU\Slovenia.docx&lt;/Path&gt;&lt;LastMerge&gt;2018-03-09T15:13:16&lt;/LastMerge&gt;&lt;ExternalSources&gt;&lt;/ExternalSources&gt;&lt;/Manage&gt;&lt;/Meta&gt;&lt;Format&gt;&lt;ColumnSettings&gt;&lt;SetCount&gt;1&lt;/SetCount&gt;&lt;/ColumnSettings&gt;&lt;/Format&gt;&lt;Content&gt;&lt;SectionNumber DisplayName=&quot;Level 2 Number&quot; Automatic=&quot;true&quot;&gt;24&lt;/SectionNumber&gt;&lt;SectionTitle DisplayName=&quot;Level 2 Title&quot;&gt;Slovenia&lt;/SectionTitle&gt;&lt;SectionSubtitle Edit=&quot;true&quot;&gt;&lt;/SectionSubtitle&gt;&lt;/Content&gt;&lt;/PublicFinancesCountrySection&gt;&lt;PublicFinancesCountrySection characteristic=&quot;Country Chapter&quot;&gt;&lt;Meta&gt;&lt;Design&gt;&lt;GUID&gt;{EF34A248-E346-403D-ADD6-3CA106787A64}&lt;/GUID&gt;&lt;DisplayName&gt;Slovakia&lt;/DisplayName&gt;&lt;/Design&gt;&lt;Create&gt;&lt;Creatable&gt;true&lt;/Creatable&gt;&lt;Template&gt;EPGeneralSection.DOT&lt;/Template&gt;&lt;/Create&gt;&lt;Manage&gt;&lt;Path&gt;U:\Budgetary projections 2018\Reports\2018 AR\The 2018 Ageing Report Economic\Part IV Statistical Annex  – COU\Slovakia.docx&lt;/Path&gt;&lt;LastMerge&gt;2018-03-09T15:13:35&lt;/LastMerge&gt;&lt;ExternalSources&gt;&lt;/ExternalSources&gt;&lt;/Manage&gt;&lt;/Meta&gt;&lt;Format&gt;&lt;ColumnSettings&gt;&lt;SetCount&gt;1&lt;/SetCount&gt;&lt;/ColumnSettings&gt;&lt;/Format&gt;&lt;Content&gt;&lt;SectionNumber DisplayName=&quot;Level 2 Number&quot; Automatic=&quot;true&quot;&gt;25&lt;/SectionNumber&gt;&lt;SectionTitle DisplayName=&quot;Level 2 Title&quot;&gt;Slovakia&lt;/SectionTitle&gt;&lt;SectionSubtitle Edit=&quot;true&quot;&gt;&lt;/SectionSubtitle&gt;&lt;/Content&gt;&lt;/PublicFinancesCountrySection&gt;&lt;PublicFinancesCountrySection characteristic=&quot;Country Chapter&quot;&gt;&lt;Meta&gt;&lt;Design&gt;&lt;GUID&gt;{B42D648A-262F-4D3E-803F-55F6D8A2B8E5}&lt;/GUID&gt;&lt;DisplayName&gt;Finland&lt;/DisplayName&gt;&lt;/Design&gt;&lt;Create&gt;&lt;Creatable&gt;true&lt;/Creatable&gt;&lt;Template&gt;EPGeneralSection.DOT&lt;/Template&gt;&lt;/Create&gt;&lt;Manage&gt;&lt;Path&gt;U:\Budgetary projections 2018\Reports\2018 AR\The 2018 Ageing Report Economic\Part IV Statistical Annex  – COU\Finland.docx&lt;/Path&gt;&lt;LastMerge&gt;2018-03-09T15:13:55&lt;/LastMerge&gt;&lt;ExternalSources&gt;&lt;/ExternalSources&gt;&lt;/Manage&gt;&lt;/Meta&gt;&lt;Format&gt;&lt;ColumnSettings&gt;&lt;SetCount&gt;1&lt;/SetCount&gt;&lt;/ColumnSettings&gt;&lt;/Format&gt;&lt;Content&gt;&lt;SectionNumber DisplayName=&quot;Level 2 Number&quot; Automatic=&quot;true&quot;&gt;26&lt;/SectionNumber&gt;&lt;SectionTitle DisplayName=&quot;Level 2 Title&quot;&gt;Finland&lt;/SectionTitle&gt;&lt;SectionSubtitle Edit=&quot;true&quot;&gt;&lt;/SectionSubtitle&gt;&lt;/Content&gt;&lt;/PublicFinancesCountrySection&gt;&lt;PublicFinancesCountrySection characteristic=&quot;Country Chapter&quot;&gt;&lt;Meta&gt;&lt;Design&gt;&lt;GUID&gt;{7E1D6674-1537-482D-9EF2-EB5AD0FD6739}&lt;/GUID&gt;&lt;DisplayName&gt;Sweden&lt;/DisplayName&gt;&lt;/Design&gt;&lt;Create&gt;&lt;Creatable&gt;true&lt;/Creatable&gt;&lt;Template&gt;EPGeneralSection.DOT&lt;/Template&gt;&lt;/Create&gt;&lt;Manage&gt;&lt;Path&gt;U:\Budgetary projections 2018\Reports\2018 AR\The 2018 Ageing Report Economic\Part IV Statistical Annex  – COU\Sweden.docx&lt;/Path&gt;&lt;LastMerge&gt;2018-03-09T15:14:14&lt;/LastMerge&gt;&lt;ExternalSources&gt;&lt;/ExternalSources&gt;&lt;/Manage&gt;&lt;/Meta&gt;&lt;Format&gt;&lt;ColumnSettings&gt;&lt;SetCount&gt;1&lt;/SetCount&gt;&lt;/ColumnSettings&gt;&lt;/Format&gt;&lt;Content&gt;&lt;SectionNumber DisplayName=&quot;Level 2 Number&quot; Automatic=&quot;true&quot;&gt;27&lt;/SectionNumber&gt;&lt;SectionTitle DisplayName=&quot;Level 2 Title&quot;&gt;Sweden&lt;/SectionTitle&gt;&lt;SectionSubtitle Edit=&quot;true&quot;&gt;&lt;/SectionSubtitle&gt;&lt;/Content&gt;&lt;/PublicFinancesCountrySection&gt;&lt;PublicFinancesCountrySection characteristic=&quot;Country Chapter&quot;&gt;&lt;Meta&gt;&lt;Design&gt;&lt;GUID&gt;{D0F622B5-8C07-4CE1-80C3-B5CF2796FED0}&lt;/GUID&gt;&lt;DisplayName&gt;United Kingdom&lt;/DisplayName&gt;&lt;/Design&gt;&lt;Create&gt;&lt;Creatable&gt;true&lt;/Creatable&gt;&lt;Template&gt;EPGeneralSection.DOT&lt;/Template&gt;&lt;/Create&gt;&lt;Manage&gt;&lt;Path&gt;U:\Budgetary projections 2018\Reports\2018 AR\The 2018 Ageing Report Economic\Part IV Statistical Annex  – COU\United Kingdom.docx&lt;/Path&gt;&lt;LastMerge&gt;2018-03-09T15:14:34&lt;/LastMerge&gt;&lt;ExternalSources&gt;&lt;/ExternalSources&gt;&lt;/Manage&gt;&lt;/Meta&gt;&lt;Format&gt;&lt;ColumnSettings&gt;&lt;SetCount&gt;1&lt;/SetCount&gt;&lt;/ColumnSettings&gt;&lt;/Format&gt;&lt;Content&gt;&lt;SectionNumber DisplayName=&quot;Level 2 Number&quot; Automatic=&quot;true&quot;&gt;28&lt;/SectionNumber&gt;&lt;SectionTitle DisplayName=&quot;Level 2 Title&quot;&gt;United Kingdom&lt;/SectionTitle&gt;&lt;SectionSubtitle Edit=&quot;true&quot;&gt;&lt;/SectionSubtitle&gt;&lt;/Content&gt;&lt;/PublicFinancesCountrySection&gt;&lt;PublicFinancesCountrySection characteristic=&quot;Country Chapter&quot;&gt;&lt;Meta&gt;&lt;Design&gt;&lt;GUID&gt;{815D17CC-86F4-4008-8767-720AF4335E76}&lt;/GUID&gt;&lt;DisplayName&gt;Norway&lt;/DisplayName&gt;&lt;/Design&gt;&lt;Create&gt;&lt;Creatable&gt;true&lt;/Creatable&gt;&lt;Template&gt;EPGeneralSection.DOT&lt;/Template&gt;&lt;/Create&gt;&lt;Manage&gt;&lt;Path&gt;U:\Budgetary projections 2018\Reports\2018 AR\The 2018 Ageing Report Economic\Part IV Statistical Annex  – COU\Norway.docx&lt;/Path&gt;&lt;LastMerge&gt;2018-03-09T15:14:53&lt;/LastMerge&gt;&lt;ExternalSources&gt;&lt;/ExternalSources&gt;&lt;/Manage&gt;&lt;/Meta&gt;&lt;Format&gt;&lt;ColumnSettings&gt;&lt;SetCount&gt;1&lt;/SetCount&gt;&lt;/ColumnSettings&gt;&lt;/Format&gt;&lt;Content&gt;&lt;SectionNumber Automatic=&quot;true&quot;&gt;29&lt;/SectionNumber&gt;&lt;SectionTitle&gt;Norway&lt;/SectionTitle&gt;&lt;SectionSubtitle Edit=&quot;true&quot;&gt;&lt;/SectionSubtitle&gt;&lt;/Content&gt;&lt;/PublicFinancesCountrySection&gt;&lt;PublicFinancesCountrySection characteristic=&quot;Country Chapter&quot;&gt;&lt;Meta&gt;&lt;Design&gt;&lt;GUID&gt;{A9238FA6-3BD5-4044-A759-DF6FCB8C14CA}&lt;/GUID&gt;&lt;DisplayName&gt;Euro Area&lt;/DisplayName&gt;&lt;/Design&gt;&lt;Create&gt;&lt;Creatable&gt;true&lt;/Creatable&gt;&lt;Template&gt;EPGeneralSection.DOT&lt;/Template&gt;&lt;/Create&gt;&lt;Manage&gt;&lt;Path&gt;U:\Budgetary projections 2018\Reports\2018 AR\The 2018 Ageing Report Economic\Part IV Statistical Annex  – COU\Euro Area.docx&lt;/Path&gt;&lt;LastMerge&gt;2018-03-09T15:15:13&lt;/LastMerge&gt;&lt;ExternalSources&gt;&lt;/ExternalSources&gt;&lt;/Manage&gt;&lt;/Meta&gt;&lt;Format&gt;&lt;ColumnSettings&gt;&lt;SetCount&gt;1&lt;/SetCount&gt;&lt;/ColumnSettings&gt;&lt;/Format&gt;&lt;Content&gt;&lt;SectionNumber Automatic=&quot;true&quot;&gt;30&lt;/SectionNumber&gt;&lt;SectionTitle&gt;Euro Area&lt;/SectionTitle&gt;&lt;SectionSubtitle Edit=&quot;true&quot;&gt;&lt;/SectionSubtitle&gt;&lt;/Content&gt;&lt;/PublicFinancesCountrySection&gt;&lt;PublicFinancesCountrySection characteristic=&quot;Country chapter&quot;&gt;&lt;Meta&gt;&lt;Design&gt;&lt;GUID&gt;{1D92281D-1961-4CB0-9A4E-8E4AAF9DC301}&lt;/GUID&gt;&lt;DisplayName&gt;European Union 27&lt;/DisplayName&gt;&lt;/Design&gt;&lt;Create&gt;&lt;Creatable&gt;true&lt;/Creatable&gt;&lt;Template&gt;EPGeneralSection.DOT&lt;/Template&gt;&lt;/Create&gt;&lt;Manage&gt;&lt;Path&gt;U:\Budgetary projections 2018\Reports\2018 AR\The 2018 Ageing Report Economic\Part IV Statistical Annex  – COU\European Union 27.docx&lt;/Path&gt;&lt;LastMerge&gt;2018-03-09T15:15:32&lt;/LastMerge&gt;&lt;ExternalSources&gt;&lt;/ExternalSources&gt;&lt;/Manage&gt;&lt;/Meta&gt;&lt;Format&gt;&lt;ColumnSettings&gt;&lt;SetCount&gt;1&lt;/SetCount&gt;&lt;/ColumnSettings&gt;&lt;/Format&gt;&lt;Content&gt;&lt;SectionNumber Automatic=&quot;true&quot;&gt;31&lt;/SectionNumber&gt;&lt;SectionTitle&gt;European Union 27&lt;/SectionTitle&gt;&lt;SectionSubtitle Edit=&quot;true&quot;&gt;&lt;/SectionSubtitle&gt;&lt;/Content&gt;&lt;/PublicFinancesCountrySection&gt;&lt;PublicFinancesCountrySection characteristic=&quot;Country Chapter&quot;&gt;&lt;Meta&gt;&lt;Design&gt;&lt;GUID&gt;{839CD71D-E168-4481-AF23-B470DA3A3956}&lt;/GUID&gt;&lt;DisplayName&gt;European Union*&lt;/DisplayName&gt;&lt;/Design&gt;&lt;Create&gt;&lt;Creatable&gt;true&lt;/Creatable&gt;&lt;Template&gt;EPGeneralSection.DOT&lt;/Template&gt;&lt;/Create&gt;&lt;Manage&gt;&lt;Path&gt;U:\Budgetary projections 2018\Reports\2018 AR\The 2018 Ageing Report Economic\Part IV Statistical Annex  – COU\European Union.docx&lt;/Path&gt;&lt;LastMerge&gt;2018-03-09T15:15:52&lt;/LastMerge&gt;&lt;ExternalSources&gt;&lt;/ExternalSources&gt;&lt;/Manage&gt;&lt;/Meta&gt;&lt;Format&gt;&lt;ColumnSettings&gt;&lt;SetCount&gt;1&lt;/SetCount&gt;&lt;/ColumnSettings&gt;&lt;/Format&gt;&lt;Content&gt;&lt;SectionNumber Automatic=&quot;true&quot;&gt;32&lt;/SectionNumber&gt;&lt;SectionTitle&gt;European Union*&lt;/SectionTitle&gt;&lt;SectionSubtitle Edit=&quot;true&quot;&gt;&lt;/SectionSubtitle&gt;&lt;/Content&gt;&lt;/PublicFinancesCountrySection&gt;&lt;/Structure&gt;&lt;/PublicFinancesCountryChapter&gt;&lt;ResourcesChapter&gt;&lt;Meta&gt;&lt;Design&gt;&lt;GUID&gt;{B76FC1A1-8602-493A-873C-2CE8C7409131}&lt;/GUID&gt;&lt;DisplayName&gt;Part V: Resources&lt;/DisplayName&gt;&lt;/Design&gt;&lt;Create&gt;&lt;Creatable&gt;false&lt;/Creatable&gt;&lt;/Create&gt;&lt;/Meta&gt;&lt;Content&gt;&lt;ChapterNumber DisplayName=&quot;Level 1 Number&quot;&gt;V&lt;/ChapterNumber&gt;&lt;ChapterTitle&gt;Resources&lt;/ChapterTitle&gt;&lt;/Content&gt;&lt;Structure&gt;&lt;PublicFinancesChapterCoverPage&gt;&lt;Meta&gt;&lt;Design&gt;&lt;GUID&gt;{0338E91C-C473-43EF-94AB-1DA3C4CDC1C1}&lt;/GUID&gt;&lt;DisplayName&gt;Part Cover Page&lt;/DisplayName&gt;&lt;/Design&gt;&lt;Create&gt;&lt;Creatable&gt;false&lt;/Creatable&gt;&lt;Template&gt;EPGeneralSection.dot&lt;/Template&gt;&lt;/Create&gt;&lt;/Meta&gt;&lt;Format&gt;&lt;PageSettings&gt;&lt;SectionStart&gt;4&lt;/SectionStart&gt;&lt;/PageSettings&gt;&lt;ColumnSettings&gt;&lt;SetCount&gt;1&lt;/SetCount&gt;&lt;/ColumnSettings&gt;&lt;Header&gt;&lt;Primary&gt;&lt;Active&gt;false&lt;/Active&gt;&lt;/Primary&gt;&lt;FirstPage&gt;&lt;Active&gt;true&lt;/Active&gt;&lt;LinkToPrevious&gt;false&lt;/LinkToPrevious&gt;&lt;FirstLine&gt;&lt;Style&gt;Chapter Name&lt;/Style&gt;&lt;Text&gt;%NameLevelOne% %ChapterNumber%&lt;/Text&gt;&lt;/FirstLine&gt;&lt;SecondLine&gt;&lt;Style&gt;Chapter Title&lt;/Style&gt;&lt;Text&gt;%ChapterTitle%&lt;/Text&gt;&lt;/SecondLine&gt;&lt;/FirstPage&gt;&lt;EvenPages&gt;&lt;Active&gt;false&lt;/Active&gt;&lt;/EvenPages&gt;&lt;/Header&gt;&lt;Footer&gt;&lt;Primary&gt;&lt;Active&gt;false&lt;/Active&gt;&lt;/Primary&gt;&lt;FirstPage&gt;&lt;Active&gt;false&lt;/Active&gt;&lt;/FirstPage&gt;&lt;EvenPages&gt;&lt;Active&gt;false&lt;/Active&gt;&lt;LinkToPrevious&gt;false&lt;/LinkToPrevious&gt;&lt;/EvenPages&gt;&lt;/Footer&gt;&lt;ToCFields&gt;&lt;Start&gt;&lt;Text&gt;%NameLevelOne% %ChapterNumber%:_x0009_%ChapterTitle%&lt;/Text&gt;&lt;Name /&gt;&lt;Level&gt;1&lt;/Level&gt;&lt;/Start&gt;&lt;/ToCFields&gt;&lt;/Format&gt;&lt;Content /&gt;&lt;/PublicFinancesChapterCoverPage&gt;&lt;PublicFinancesAbbreviations characteristic=&quot;Abbreviations&quot;&gt;&lt;Meta&gt;&lt;Design&gt;&lt;GUID&gt;{37409A5E-6FE4-4FAF-A4FD-42E3DDC2D318}&lt;/GUID&gt;&lt;DisplayName&gt;1. Abbreviations&lt;/DisplayName&gt;&lt;/Design&gt;&lt;Create&gt;&lt;Creatable&gt;true&lt;/Creatable&gt;&lt;Template&gt;EPSimpleSection.dot&lt;/Template&gt;&lt;/Create&gt;&lt;Manage&gt;&lt;Path&gt;U:\Budgetary projections 2018\Reports\2018 AR\The 2018 Ageing Report Economic\Part V Resources\1. Abbreviations.docx&lt;/Path&gt;&lt;LastMerge&gt;2018-03-09T15:16:16&lt;/LastMerge&gt;&lt;ExternalSources&gt;&lt;/ExternalSources&gt;&lt;/Manage&gt;&lt;/Meta&gt;&lt;Format&gt;&lt;ColumnSettings&gt;&lt;SetCount&gt;1&lt;/SetCount&gt;&lt;Spacing&gt;17&lt;/Spacing&gt;&lt;EvenlySpaced&gt;true&lt;/EvenlySpaced&gt;&lt;LineBetween&gt;false&lt;/LineBetween&gt;&lt;/ColumnSettings&gt;&lt;Header&gt;&lt;FirstPage&gt;&lt;Active&gt;true&lt;/Active&gt;&lt;LinkToPrevious&gt;false&lt;/LinkToPrevious&gt;&lt;FirstLine&gt;&lt;Style&gt;Section Title&lt;/Style&gt;&lt;TextWithCharacterStyle&gt;&lt;CharacterStyle&gt;Section Number&lt;/CharacterStyle&gt;&lt;TextPart&gt;%SectionNumber%.&lt;/TextPart&gt;&lt;/TextWithCharacterStyle&gt;&lt;TextWithCharacterStyle&gt;&lt;CharacterStyle /&gt;&lt;TextPart&gt;_x0009_%Title%&lt;/TextPart&gt;&lt;/TextWithCharacterStyle&gt;&lt;/FirstLine&gt;&lt;/FirstPage&gt;&lt;/Header&gt;&lt;ToCFields&gt;&lt;Start&gt;&lt;Text&gt;%SectionNumber%._x0009_%Title%&lt;/Text&gt;&lt;Name /&gt;&lt;Level&gt;2&lt;/Level&gt;&lt;/Start&gt;&lt;/ToCFields&gt;&lt;/Format&gt;&lt;Content&gt;&lt;SectionNumber Automatic=&quot;true&quot;&gt;1&lt;/SectionNumber&gt;&lt;Title&gt;Abbreviations and symbols used&lt;/Title&gt;&lt;/Content&gt;&lt;/PublicFinancesAbbreviations&gt;&lt;GlobalReferences&gt;&lt;Meta&gt;&lt;Design&gt;&lt;GUID&gt;{82A19CC5-6DA0-4959-967A-8B9D1EE0E9FA}&lt;/GUID&gt;&lt;DisplayName&gt;2. References&lt;/DisplayName&gt;&lt;/Design&gt;&lt;Create&gt;&lt;Creatable&gt;true&lt;/Creatable&gt;&lt;Template&gt;EPSimpleSection.dot&lt;/Template&gt;&lt;/Create&gt;&lt;Manage&gt;&lt;Path&gt;U:\Budgetary projections 2018\Reports\2018 AR\The 2018 Ageing Report Economic\Part V Resources\2. References.docx&lt;/Path&gt;&lt;LastMerge&gt;2018-03-09T15:16:54&lt;/LastMerge&gt;&lt;ExternalSources&gt;&lt;/ExternalSources&gt;&lt;/Manage&gt;&lt;/Meta&gt;&lt;Format&gt;&lt;Header&gt;&lt;FirstPage&gt;&lt;Active&gt;true&lt;/Active&gt;&lt;LinkToPrevious&gt;false&lt;/LinkToPrevious&gt;&lt;FirstLine&gt;&lt;Style&gt;Section Title&lt;/Style&gt;&lt;TextWithCharacterStyle&gt;&lt;CharacterStyle&gt;Section Number&lt;/CharacterStyle&gt;&lt;TextPart&gt;%SectionNumber%.&lt;/TextPart&gt;&lt;/TextWithCharacterStyle&gt;&lt;TextWithCharacterStyle&gt;&lt;CharacterStyle&gt;&lt;/CharacterStyle&gt;&lt;TextPart&gt;_x0009_%Title%&lt;/TextPart&gt;&lt;/TextWithCharacterStyle&gt;&lt;/FirstLine&gt;&lt;/FirstPage&gt;&lt;/Header&gt;&lt;ToCFields&gt;&lt;Start&gt;&lt;Text&gt;%SectionNumber%._x0009_%Title%&lt;/Text&gt;&lt;Name /&gt;&lt;Level&gt;2&lt;/Level&gt;&lt;/Start&gt;&lt;/ToCFields&gt;&lt;/Format&gt;&lt;Content&gt;&lt;SectionNumber DisplayName=&quot;Level 2 Number&quot; Automatic=&quot;true&quot;&gt;2&lt;/SectionNumber&gt;&lt;Title&gt;References&lt;/Title&gt;&lt;/Content&gt;&lt;/GlobalReferences&gt;&lt;/Structure&gt;&lt;/ResourcesChapter&gt;&lt;/Structure&gt;&lt;/PublicFinancesInEMU&gt;"/>
    <w:docVar w:name="PublicationXMLFileName" w:val="U:\Budgetary projections 2018\Reports\2018 AR\2018 AR UA PM Part 2.xml"/>
    <w:docVar w:name="VSSDB_IniPath" w:val="\\at100\user\wovo\Project\CEC\ECFIN\VSS\srcsafe.ini"/>
    <w:docVar w:name="VSSDB_ProjectPath" w:val="$/EPKit/SRC/EPPublication"/>
  </w:docVars>
  <w:rsids>
    <w:rsidRoot w:val="0015437F"/>
    <w:rsid w:val="000623F4"/>
    <w:rsid w:val="000A0788"/>
    <w:rsid w:val="000F5CEE"/>
    <w:rsid w:val="001068EF"/>
    <w:rsid w:val="0015437F"/>
    <w:rsid w:val="001E58FC"/>
    <w:rsid w:val="00223A02"/>
    <w:rsid w:val="002A66F4"/>
    <w:rsid w:val="0032748D"/>
    <w:rsid w:val="00394B95"/>
    <w:rsid w:val="003B4781"/>
    <w:rsid w:val="00460C69"/>
    <w:rsid w:val="00495B9F"/>
    <w:rsid w:val="00586BF7"/>
    <w:rsid w:val="00590A61"/>
    <w:rsid w:val="00696336"/>
    <w:rsid w:val="007353E5"/>
    <w:rsid w:val="00780D16"/>
    <w:rsid w:val="007F624B"/>
    <w:rsid w:val="00821E73"/>
    <w:rsid w:val="00852622"/>
    <w:rsid w:val="0087660D"/>
    <w:rsid w:val="008A6BEE"/>
    <w:rsid w:val="00966900"/>
    <w:rsid w:val="00977956"/>
    <w:rsid w:val="009E7F79"/>
    <w:rsid w:val="009F3ED8"/>
    <w:rsid w:val="00A74472"/>
    <w:rsid w:val="00AC1048"/>
    <w:rsid w:val="00C03D25"/>
    <w:rsid w:val="00C34595"/>
    <w:rsid w:val="00D27781"/>
    <w:rsid w:val="00D641C9"/>
    <w:rsid w:val="00E57B11"/>
    <w:rsid w:val="00E7609F"/>
    <w:rsid w:val="00EE1CE5"/>
    <w:rsid w:val="00EF0133"/>
    <w:rsid w:val="00F05A2E"/>
    <w:rsid w:val="00F1364E"/>
    <w:rsid w:val="00F2291C"/>
    <w:rsid w:val="00F63027"/>
    <w:rsid w:val="00FB130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martTagType w:namespaceuri="urn:schemas-microsoft-com:office:smarttags" w:name="country-region"/>
  <w:smartTagType w:namespaceuri="urn:schemas-microsoft-com:office:smarttags" w:name="metricconverter"/>
  <w:smartTagType w:namespaceuri="urn:schemas-microsoft-com:office:smarttags" w:name="stockticker"/>
  <w:shapeDefaults>
    <o:shapedefaults v:ext="edit" spidmax="45057"/>
    <o:shapelayout v:ext="edit">
      <o:idmap v:ext="edit" data="1"/>
    </o:shapelayout>
  </w:shapeDefaults>
  <w:decimalSymbol w:val=","/>
  <w:listSeparator w:val=";"/>
  <w14:docId w14:val="276B9D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qFormat="1"/>
    <w:lsdException w:name="footnote reference" w:uiPriority="99"/>
    <w:lsdException w:name="annotation reference" w:uiPriority="99"/>
    <w:lsdException w:name="endnote reference" w:uiPriority="99"/>
    <w:lsdException w:name="endnote text" w:uiPriority="99"/>
    <w:lsdException w:name="List Bullet"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F3ED8"/>
    <w:pPr>
      <w:spacing w:after="240" w:line="240" w:lineRule="atLeast"/>
      <w:jc w:val="both"/>
    </w:pPr>
    <w:rPr>
      <w:rFonts w:eastAsia="Calibri"/>
      <w:color w:val="000000"/>
      <w:szCs w:val="22"/>
      <w:lang w:eastAsia="en-US"/>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Sadraj2">
    <w:name w:val="toc 2"/>
    <w:basedOn w:val="Normal"/>
    <w:uiPriority w:val="39"/>
    <w:unhideWhenUsed/>
    <w:rsid w:val="00FB1300"/>
    <w:pPr>
      <w:keepLines/>
      <w:tabs>
        <w:tab w:val="left" w:pos="1417"/>
        <w:tab w:val="left" w:pos="1559"/>
        <w:tab w:val="right" w:pos="8504"/>
      </w:tabs>
      <w:spacing w:before="20" w:after="0"/>
      <w:ind w:left="1417" w:right="425" w:hanging="425"/>
      <w:jc w:val="left"/>
    </w:pPr>
    <w:rPr>
      <w:rFonts w:ascii="Century Gothic" w:hAnsi="Century Gothic"/>
      <w:color w:val="333399"/>
    </w:rPr>
  </w:style>
  <w:style w:type="paragraph" w:styleId="Sadraj1">
    <w:name w:val="toc 1"/>
    <w:basedOn w:val="Normal"/>
    <w:next w:val="Sadraj2"/>
    <w:uiPriority w:val="39"/>
    <w:unhideWhenUsed/>
    <w:rsid w:val="00FB1300"/>
    <w:pPr>
      <w:keepNext/>
      <w:keepLines/>
      <w:tabs>
        <w:tab w:val="left" w:pos="992"/>
        <w:tab w:val="left" w:pos="1134"/>
        <w:tab w:val="right" w:pos="8504"/>
      </w:tabs>
      <w:spacing w:before="320" w:after="120"/>
      <w:ind w:left="992" w:right="425" w:hanging="992"/>
      <w:jc w:val="left"/>
    </w:pPr>
    <w:rPr>
      <w:rFonts w:ascii="Century Gothic" w:hAnsi="Century Gothic"/>
      <w:color w:val="333399"/>
      <w:sz w:val="24"/>
    </w:rPr>
  </w:style>
  <w:style w:type="paragraph" w:styleId="Sadraj3">
    <w:name w:val="toc 3"/>
    <w:basedOn w:val="Normal"/>
    <w:uiPriority w:val="39"/>
    <w:unhideWhenUsed/>
    <w:rsid w:val="00FB1300"/>
    <w:pPr>
      <w:keepLines/>
      <w:tabs>
        <w:tab w:val="left" w:pos="1984"/>
        <w:tab w:val="left" w:pos="2126"/>
        <w:tab w:val="right" w:pos="8504"/>
      </w:tabs>
      <w:spacing w:before="20" w:after="0"/>
      <w:ind w:left="1984" w:right="425" w:hanging="567"/>
      <w:jc w:val="left"/>
    </w:pPr>
    <w:rPr>
      <w:rFonts w:ascii="Century Gothic" w:hAnsi="Century Gothic"/>
      <w:sz w:val="16"/>
    </w:rPr>
  </w:style>
  <w:style w:type="paragraph" w:styleId="Sadraj5">
    <w:name w:val="toc 5"/>
    <w:basedOn w:val="Normal"/>
    <w:uiPriority w:val="39"/>
    <w:unhideWhenUsed/>
    <w:rsid w:val="00FB1300"/>
    <w:pPr>
      <w:keepLines/>
      <w:tabs>
        <w:tab w:val="left" w:pos="1701"/>
        <w:tab w:val="left" w:pos="1843"/>
        <w:tab w:val="right" w:pos="8504"/>
      </w:tabs>
      <w:spacing w:before="20" w:after="0"/>
      <w:ind w:left="1701" w:right="425" w:hanging="709"/>
      <w:jc w:val="left"/>
    </w:pPr>
    <w:rPr>
      <w:rFonts w:ascii="Century Gothic" w:hAnsi="Century Gothic"/>
      <w:color w:val="333399"/>
      <w:sz w:val="18"/>
    </w:rPr>
  </w:style>
  <w:style w:type="paragraph" w:styleId="Sadraj6">
    <w:name w:val="toc 6"/>
    <w:basedOn w:val="Normal"/>
    <w:uiPriority w:val="39"/>
    <w:unhideWhenUsed/>
    <w:rsid w:val="00FB1300"/>
    <w:pPr>
      <w:keepLines/>
      <w:tabs>
        <w:tab w:val="right" w:pos="8504"/>
      </w:tabs>
      <w:spacing w:after="0"/>
      <w:ind w:left="1786" w:right="425" w:hanging="425"/>
      <w:jc w:val="left"/>
    </w:pPr>
    <w:rPr>
      <w:rFonts w:ascii="Century Gothic" w:hAnsi="Century Gothic"/>
      <w:color w:val="333399"/>
    </w:rPr>
  </w:style>
  <w:style w:type="paragraph" w:styleId="Sadraj7">
    <w:name w:val="toc 7"/>
    <w:basedOn w:val="Normal"/>
    <w:uiPriority w:val="39"/>
    <w:unhideWhenUsed/>
    <w:rsid w:val="00FB1300"/>
    <w:pPr>
      <w:keepNext/>
      <w:keepLines/>
      <w:tabs>
        <w:tab w:val="right" w:pos="8504"/>
      </w:tabs>
      <w:spacing w:before="320" w:after="120"/>
      <w:ind w:right="425"/>
      <w:jc w:val="left"/>
    </w:pPr>
    <w:rPr>
      <w:rFonts w:ascii="Century Gothic" w:hAnsi="Century Gothic"/>
      <w:color w:val="333399"/>
      <w:sz w:val="24"/>
    </w:rPr>
  </w:style>
  <w:style w:type="paragraph" w:styleId="Tekstfusnote">
    <w:name w:val="footnote text"/>
    <w:aliases w:val="Footnote Text Char2,Footnote Text Char1 Char,Footnote Text Char2 Char Char,Footnote Text Char1 Char Char Char,Footnote Text Char2 Char Char Char Char,Footnote Text Char Char1 Char Char Char Char,Footnote Text Char1,Footnote Text Char2 Cha"/>
    <w:basedOn w:val="Normal"/>
    <w:link w:val="TekstfusnoteChar"/>
    <w:uiPriority w:val="99"/>
    <w:unhideWhenUsed/>
    <w:rsid w:val="00FB1300"/>
    <w:pPr>
      <w:spacing w:after="0" w:line="240" w:lineRule="auto"/>
      <w:ind w:left="283" w:hanging="283"/>
    </w:pPr>
    <w:rPr>
      <w:sz w:val="16"/>
      <w:szCs w:val="20"/>
    </w:rPr>
  </w:style>
  <w:style w:type="paragraph" w:styleId="Podnoje">
    <w:name w:val="footer"/>
    <w:basedOn w:val="Normal"/>
    <w:next w:val="Normal"/>
    <w:link w:val="PodnojeChar"/>
    <w:uiPriority w:val="99"/>
    <w:unhideWhenUsed/>
    <w:rsid w:val="00FB1300"/>
    <w:pPr>
      <w:spacing w:after="0" w:line="240" w:lineRule="auto"/>
      <w:jc w:val="left"/>
    </w:pPr>
  </w:style>
  <w:style w:type="paragraph" w:styleId="Tekstkrajnjebiljeke">
    <w:name w:val="endnote text"/>
    <w:basedOn w:val="Normal"/>
    <w:link w:val="TekstkrajnjebiljekeChar"/>
    <w:uiPriority w:val="99"/>
    <w:semiHidden/>
    <w:unhideWhenUsed/>
    <w:rsid w:val="00FB1300"/>
    <w:pPr>
      <w:spacing w:after="0" w:line="240" w:lineRule="auto"/>
      <w:ind w:left="283" w:hanging="283"/>
    </w:pPr>
    <w:rPr>
      <w:sz w:val="16"/>
      <w:szCs w:val="20"/>
    </w:rPr>
  </w:style>
  <w:style w:type="paragraph" w:styleId="Grafikeoznake">
    <w:name w:val="List Bullet"/>
    <w:basedOn w:val="Normal"/>
    <w:uiPriority w:val="99"/>
    <w:unhideWhenUsed/>
    <w:rsid w:val="00FB1300"/>
    <w:pPr>
      <w:numPr>
        <w:numId w:val="9"/>
      </w:numPr>
    </w:pPr>
  </w:style>
  <w:style w:type="paragraph" w:customStyle="1" w:styleId="NormalCompact">
    <w:name w:val="Normal Compact"/>
    <w:basedOn w:val="Normal"/>
    <w:rsid w:val="00FB1300"/>
    <w:pPr>
      <w:spacing w:after="0"/>
    </w:pPr>
  </w:style>
  <w:style w:type="paragraph" w:customStyle="1" w:styleId="NormalFramed">
    <w:name w:val="Normal Framed"/>
    <w:basedOn w:val="Normal"/>
    <w:next w:val="Normal"/>
    <w:rsid w:val="00FB1300"/>
    <w:pPr>
      <w:pBdr>
        <w:top w:val="single" w:sz="8" w:space="5" w:color="333399"/>
        <w:left w:val="single" w:sz="8" w:space="4" w:color="333399"/>
        <w:bottom w:val="single" w:sz="8" w:space="5" w:color="333399"/>
        <w:right w:val="single" w:sz="8" w:space="4" w:color="333399"/>
      </w:pBdr>
      <w:ind w:left="113" w:right="113"/>
    </w:pPr>
  </w:style>
  <w:style w:type="paragraph" w:customStyle="1" w:styleId="NormalLeft">
    <w:name w:val="Normal Left"/>
    <w:basedOn w:val="Normal"/>
    <w:rsid w:val="00FB1300"/>
    <w:pPr>
      <w:jc w:val="left"/>
    </w:pPr>
  </w:style>
  <w:style w:type="paragraph" w:customStyle="1" w:styleId="NormalRight">
    <w:name w:val="Normal Right"/>
    <w:basedOn w:val="Normal"/>
    <w:rsid w:val="00FB1300"/>
    <w:pPr>
      <w:jc w:val="right"/>
    </w:pPr>
  </w:style>
  <w:style w:type="paragraph" w:customStyle="1" w:styleId="NormalCentered">
    <w:name w:val="Normal Centered"/>
    <w:basedOn w:val="Normal"/>
    <w:rsid w:val="00FB1300"/>
    <w:pPr>
      <w:jc w:val="center"/>
    </w:pPr>
  </w:style>
  <w:style w:type="paragraph" w:customStyle="1" w:styleId="NormalNumbered">
    <w:name w:val="Normal Numbered"/>
    <w:basedOn w:val="Normal"/>
    <w:rsid w:val="00FB1300"/>
    <w:pPr>
      <w:numPr>
        <w:numId w:val="8"/>
      </w:numPr>
    </w:pPr>
  </w:style>
  <w:style w:type="paragraph" w:customStyle="1" w:styleId="SideNote">
    <w:name w:val="Side Note"/>
    <w:basedOn w:val="Normal"/>
    <w:next w:val="Normal"/>
    <w:rsid w:val="00FB1300"/>
    <w:pPr>
      <w:keepNext/>
      <w:framePr w:w="1701" w:h="567" w:hSpace="227" w:wrap="around" w:vAnchor="text" w:hAnchor="page" w:xAlign="outside" w:y="1"/>
      <w:spacing w:after="200" w:line="240" w:lineRule="auto"/>
      <w:jc w:val="left"/>
    </w:pPr>
    <w:rPr>
      <w:rFonts w:ascii="Century Gothic" w:hAnsi="Century Gothic"/>
      <w:color w:val="333399"/>
      <w:sz w:val="14"/>
    </w:rPr>
  </w:style>
  <w:style w:type="paragraph" w:customStyle="1" w:styleId="SubsectionTitle">
    <w:name w:val="Subsection Title"/>
    <w:basedOn w:val="Normal"/>
    <w:next w:val="Normal"/>
    <w:rsid w:val="00FB1300"/>
    <w:pPr>
      <w:keepNext/>
      <w:pageBreakBefore/>
      <w:spacing w:before="240"/>
      <w:ind w:left="567" w:hanging="567"/>
      <w:outlineLvl w:val="2"/>
    </w:pPr>
    <w:rPr>
      <w:rFonts w:ascii="Century Gothic" w:hAnsi="Century Gothic"/>
      <w:b/>
      <w:caps/>
      <w:color w:val="333399"/>
      <w:sz w:val="18"/>
    </w:rPr>
  </w:style>
  <w:style w:type="paragraph" w:customStyle="1" w:styleId="NumberedList">
    <w:name w:val="Numbered List"/>
    <w:basedOn w:val="Normal"/>
    <w:rsid w:val="00FB1300"/>
    <w:pPr>
      <w:numPr>
        <w:numId w:val="7"/>
      </w:numPr>
    </w:pPr>
  </w:style>
  <w:style w:type="paragraph" w:customStyle="1" w:styleId="Heading">
    <w:name w:val="Heading"/>
    <w:basedOn w:val="Normal"/>
    <w:next w:val="Normal"/>
    <w:rsid w:val="00FB1300"/>
    <w:pPr>
      <w:keepNext/>
      <w:spacing w:before="120" w:after="120"/>
      <w:jc w:val="left"/>
    </w:pPr>
    <w:rPr>
      <w:rFonts w:ascii="Century Gothic" w:hAnsi="Century Gothic"/>
      <w:b/>
      <w:color w:val="333399"/>
      <w:sz w:val="18"/>
    </w:rPr>
  </w:style>
  <w:style w:type="paragraph" w:customStyle="1" w:styleId="NumberedHeading1">
    <w:name w:val="Numbered Heading 1"/>
    <w:basedOn w:val="Normal"/>
    <w:next w:val="Normal"/>
    <w:rsid w:val="00FB1300"/>
    <w:pPr>
      <w:keepNext/>
      <w:spacing w:before="240"/>
      <w:ind w:left="567" w:hanging="567"/>
      <w:jc w:val="left"/>
      <w:outlineLvl w:val="2"/>
    </w:pPr>
    <w:rPr>
      <w:rFonts w:ascii="Century Gothic" w:hAnsi="Century Gothic"/>
      <w:b/>
      <w:caps/>
      <w:color w:val="333399"/>
      <w:sz w:val="18"/>
    </w:rPr>
  </w:style>
  <w:style w:type="paragraph" w:customStyle="1" w:styleId="NumberedHeading2">
    <w:name w:val="Numbered Heading 2"/>
    <w:basedOn w:val="Normal"/>
    <w:next w:val="Normal"/>
    <w:rsid w:val="00FB1300"/>
    <w:pPr>
      <w:keepNext/>
      <w:spacing w:before="80" w:after="160"/>
      <w:ind w:left="567" w:hanging="567"/>
      <w:jc w:val="left"/>
      <w:outlineLvl w:val="3"/>
    </w:pPr>
    <w:rPr>
      <w:rFonts w:ascii="Century Gothic" w:hAnsi="Century Gothic"/>
      <w:color w:val="333399"/>
      <w:sz w:val="18"/>
    </w:rPr>
  </w:style>
  <w:style w:type="paragraph" w:customStyle="1" w:styleId="NumberedHeading3">
    <w:name w:val="Numbered Heading 3"/>
    <w:basedOn w:val="Normal"/>
    <w:next w:val="Normal"/>
    <w:rsid w:val="00FB1300"/>
    <w:pPr>
      <w:keepNext/>
      <w:spacing w:before="80" w:after="160"/>
      <w:ind w:left="709" w:hanging="709"/>
      <w:jc w:val="left"/>
      <w:outlineLvl w:val="3"/>
    </w:pPr>
    <w:rPr>
      <w:rFonts w:ascii="Century Gothic" w:hAnsi="Century Gothic"/>
      <w:i/>
      <w:color w:val="333399"/>
      <w:sz w:val="18"/>
    </w:rPr>
  </w:style>
  <w:style w:type="paragraph" w:customStyle="1" w:styleId="HeadingTop">
    <w:name w:val="Heading Top"/>
    <w:basedOn w:val="Heading"/>
    <w:next w:val="Normal"/>
    <w:rsid w:val="00FB1300"/>
    <w:pPr>
      <w:spacing w:before="0"/>
    </w:pPr>
  </w:style>
  <w:style w:type="paragraph" w:customStyle="1" w:styleId="NumberedHeading1Top">
    <w:name w:val="Numbered Heading 1 Top"/>
    <w:basedOn w:val="NumberedHeading1"/>
    <w:next w:val="Normal"/>
    <w:rsid w:val="00FB1300"/>
    <w:pPr>
      <w:spacing w:before="0"/>
    </w:pPr>
  </w:style>
  <w:style w:type="paragraph" w:customStyle="1" w:styleId="NumberedHeading2Top">
    <w:name w:val="Numbered Heading 2 Top"/>
    <w:basedOn w:val="NumberedHeading2"/>
    <w:next w:val="Normal"/>
    <w:rsid w:val="00FB1300"/>
    <w:pPr>
      <w:spacing w:before="0"/>
    </w:pPr>
  </w:style>
  <w:style w:type="paragraph" w:customStyle="1" w:styleId="NumberedHeading3Top">
    <w:name w:val="Numbered Heading 3 Top"/>
    <w:basedOn w:val="NumberedHeading3"/>
    <w:next w:val="Normal"/>
    <w:rsid w:val="00FB1300"/>
    <w:pPr>
      <w:spacing w:before="0"/>
    </w:pPr>
  </w:style>
  <w:style w:type="paragraph" w:customStyle="1" w:styleId="ListDash">
    <w:name w:val="List Dash"/>
    <w:basedOn w:val="Normal"/>
    <w:rsid w:val="00FB1300"/>
    <w:pPr>
      <w:numPr>
        <w:numId w:val="10"/>
      </w:numPr>
    </w:pPr>
  </w:style>
  <w:style w:type="paragraph" w:customStyle="1" w:styleId="ChapterName">
    <w:name w:val="Chapter Name"/>
    <w:basedOn w:val="Normal"/>
    <w:next w:val="Normal"/>
    <w:rsid w:val="00FB1300"/>
    <w:pPr>
      <w:spacing w:before="1080" w:line="240" w:lineRule="auto"/>
      <w:jc w:val="left"/>
    </w:pPr>
    <w:rPr>
      <w:b/>
      <w:color w:val="808080"/>
      <w:sz w:val="72"/>
    </w:rPr>
  </w:style>
  <w:style w:type="paragraph" w:customStyle="1" w:styleId="ChapterTitle">
    <w:name w:val="Chapter Title"/>
    <w:basedOn w:val="Normal"/>
    <w:next w:val="Normal"/>
    <w:rsid w:val="00FB1300"/>
    <w:pPr>
      <w:spacing w:line="240" w:lineRule="auto"/>
      <w:jc w:val="left"/>
    </w:pPr>
    <w:rPr>
      <w:rFonts w:ascii="Century Gothic" w:hAnsi="Century Gothic"/>
      <w:color w:val="333399"/>
      <w:sz w:val="36"/>
    </w:rPr>
  </w:style>
  <w:style w:type="paragraph" w:customStyle="1" w:styleId="SectionSubtitle">
    <w:name w:val="Section Subtitle"/>
    <w:basedOn w:val="Normal"/>
    <w:next w:val="Normal"/>
    <w:rsid w:val="00FB1300"/>
    <w:pPr>
      <w:spacing w:after="360" w:line="240" w:lineRule="auto"/>
      <w:ind w:left="992"/>
      <w:jc w:val="left"/>
    </w:pPr>
    <w:rPr>
      <w:rFonts w:ascii="Century Gothic" w:hAnsi="Century Gothic"/>
      <w:color w:val="333399"/>
      <w:sz w:val="24"/>
    </w:rPr>
  </w:style>
  <w:style w:type="paragraph" w:customStyle="1" w:styleId="SectionTitle">
    <w:name w:val="Section Title"/>
    <w:basedOn w:val="Normal"/>
    <w:next w:val="SectionSubtitle"/>
    <w:rsid w:val="00FB1300"/>
    <w:pPr>
      <w:keepNext/>
      <w:spacing w:before="1080" w:line="240" w:lineRule="auto"/>
      <w:ind w:left="992" w:hanging="992"/>
      <w:jc w:val="left"/>
    </w:pPr>
    <w:rPr>
      <w:rFonts w:ascii="Century Gothic" w:hAnsi="Century Gothic"/>
      <w:caps/>
      <w:color w:val="333399"/>
      <w:sz w:val="28"/>
    </w:rPr>
  </w:style>
  <w:style w:type="paragraph" w:customStyle="1" w:styleId="SectionTitletwolines">
    <w:name w:val="Section Title (two lines)"/>
    <w:basedOn w:val="Normal"/>
    <w:next w:val="SectionSubtitle"/>
    <w:rsid w:val="00FB1300"/>
    <w:pPr>
      <w:keepNext/>
      <w:spacing w:before="600" w:after="0" w:line="240" w:lineRule="auto"/>
      <w:ind w:left="992" w:hanging="992"/>
      <w:jc w:val="left"/>
    </w:pPr>
    <w:rPr>
      <w:rFonts w:ascii="Century Gothic" w:hAnsi="Century Gothic"/>
      <w:caps/>
      <w:color w:val="333399"/>
      <w:sz w:val="28"/>
    </w:rPr>
  </w:style>
  <w:style w:type="paragraph" w:customStyle="1" w:styleId="HeaderTitleLeft">
    <w:name w:val="Header Title Left"/>
    <w:basedOn w:val="Normal"/>
    <w:next w:val="Normal"/>
    <w:rsid w:val="00FB1300"/>
    <w:pPr>
      <w:tabs>
        <w:tab w:val="right" w:pos="8220"/>
      </w:tabs>
      <w:spacing w:before="100" w:after="40" w:line="240" w:lineRule="auto"/>
      <w:ind w:left="-850"/>
    </w:pPr>
    <w:rPr>
      <w:rFonts w:ascii="Century Gothic" w:hAnsi="Century Gothic"/>
      <w:color w:val="333399"/>
      <w:sz w:val="14"/>
    </w:rPr>
  </w:style>
  <w:style w:type="paragraph" w:customStyle="1" w:styleId="HeaderSubtitleLeft">
    <w:name w:val="Header Subtitle Left"/>
    <w:basedOn w:val="Normal"/>
    <w:next w:val="Normal"/>
    <w:rsid w:val="00FB1300"/>
    <w:pPr>
      <w:tabs>
        <w:tab w:val="right" w:pos="8220"/>
      </w:tabs>
      <w:spacing w:after="0" w:line="240" w:lineRule="auto"/>
      <w:ind w:left="-850"/>
    </w:pPr>
    <w:rPr>
      <w:rFonts w:ascii="Century Gothic" w:hAnsi="Century Gothic"/>
      <w:color w:val="333399"/>
      <w:sz w:val="14"/>
    </w:rPr>
  </w:style>
  <w:style w:type="paragraph" w:customStyle="1" w:styleId="HeaderTitleRight">
    <w:name w:val="Header Title Right"/>
    <w:basedOn w:val="Normal"/>
    <w:next w:val="Normal"/>
    <w:rsid w:val="00FB1300"/>
    <w:pPr>
      <w:spacing w:before="100" w:after="40" w:line="240" w:lineRule="auto"/>
      <w:ind w:right="-850"/>
      <w:jc w:val="right"/>
    </w:pPr>
    <w:rPr>
      <w:rFonts w:ascii="Century Gothic" w:hAnsi="Century Gothic"/>
      <w:color w:val="333399"/>
      <w:sz w:val="14"/>
    </w:rPr>
  </w:style>
  <w:style w:type="paragraph" w:customStyle="1" w:styleId="HeaderSubtitleRight">
    <w:name w:val="Header Subtitle Right"/>
    <w:basedOn w:val="Normal"/>
    <w:next w:val="Normal"/>
    <w:rsid w:val="00FB1300"/>
    <w:pPr>
      <w:spacing w:after="0" w:line="240" w:lineRule="auto"/>
      <w:ind w:right="-850"/>
      <w:jc w:val="right"/>
    </w:pPr>
    <w:rPr>
      <w:rFonts w:ascii="Century Gothic" w:hAnsi="Century Gothic"/>
      <w:color w:val="333399"/>
      <w:sz w:val="14"/>
    </w:rPr>
  </w:style>
  <w:style w:type="paragraph" w:customStyle="1" w:styleId="FooterPageNumber">
    <w:name w:val="Footer PageNumber"/>
    <w:basedOn w:val="Normal"/>
    <w:next w:val="Normal"/>
    <w:rsid w:val="00FB1300"/>
    <w:pPr>
      <w:framePr w:w="567" w:hSpace="992" w:wrap="around" w:vAnchor="page" w:hAnchor="page" w:xAlign="outside" w:y="16046"/>
      <w:spacing w:after="0" w:line="240" w:lineRule="auto"/>
      <w:jc w:val="center"/>
    </w:pPr>
    <w:rPr>
      <w:rFonts w:ascii="Century Gothic" w:hAnsi="Century Gothic"/>
      <w:color w:val="333399"/>
      <w:sz w:val="18"/>
    </w:rPr>
  </w:style>
  <w:style w:type="paragraph" w:customStyle="1" w:styleId="AnnexTitle">
    <w:name w:val="Annex Title"/>
    <w:basedOn w:val="Normal"/>
    <w:rsid w:val="00FB1300"/>
    <w:pPr>
      <w:spacing w:before="120" w:after="120" w:line="240" w:lineRule="auto"/>
      <w:jc w:val="left"/>
    </w:pPr>
    <w:rPr>
      <w:rFonts w:ascii="Century Gothic" w:hAnsi="Century Gothic"/>
      <w:color w:val="333399"/>
      <w:sz w:val="28"/>
    </w:rPr>
  </w:style>
  <w:style w:type="paragraph" w:customStyle="1" w:styleId="PublicationTitle">
    <w:name w:val="Publication Title"/>
    <w:basedOn w:val="Normal"/>
    <w:next w:val="Normal"/>
    <w:rsid w:val="00FB1300"/>
    <w:pPr>
      <w:spacing w:line="240" w:lineRule="auto"/>
      <w:jc w:val="left"/>
    </w:pPr>
    <w:rPr>
      <w:rFonts w:ascii="Georgia" w:hAnsi="Georgia"/>
      <w:color w:val="333399"/>
      <w:sz w:val="48"/>
    </w:rPr>
  </w:style>
  <w:style w:type="paragraph" w:customStyle="1" w:styleId="PublicationSubtitle">
    <w:name w:val="Publication Subtitle"/>
    <w:basedOn w:val="Normal"/>
    <w:next w:val="Normal"/>
    <w:rsid w:val="00FB1300"/>
    <w:pPr>
      <w:spacing w:line="240" w:lineRule="auto"/>
      <w:jc w:val="left"/>
    </w:pPr>
    <w:rPr>
      <w:rFonts w:ascii="Century Gothic" w:hAnsi="Century Gothic"/>
      <w:sz w:val="32"/>
    </w:rPr>
  </w:style>
  <w:style w:type="paragraph" w:customStyle="1" w:styleId="Series">
    <w:name w:val="Series"/>
    <w:basedOn w:val="Normal"/>
    <w:next w:val="Normal"/>
    <w:rsid w:val="00FB1300"/>
    <w:pPr>
      <w:tabs>
        <w:tab w:val="right" w:pos="8787"/>
      </w:tabs>
      <w:spacing w:before="5400" w:line="240" w:lineRule="auto"/>
      <w:jc w:val="left"/>
    </w:pPr>
    <w:rPr>
      <w:rFonts w:ascii="Century Gothic" w:hAnsi="Century Gothic"/>
      <w:color w:val="333399"/>
    </w:rPr>
  </w:style>
  <w:style w:type="paragraph" w:customStyle="1" w:styleId="Institution">
    <w:name w:val="Institution"/>
    <w:basedOn w:val="Normal"/>
    <w:next w:val="Normal"/>
    <w:rsid w:val="009F3ED8"/>
    <w:pPr>
      <w:spacing w:after="120" w:line="240" w:lineRule="auto"/>
      <w:jc w:val="left"/>
    </w:pPr>
    <w:rPr>
      <w:rFonts w:ascii="Century Gothic" w:hAnsi="Century Gothic"/>
      <w:sz w:val="24"/>
    </w:rPr>
  </w:style>
  <w:style w:type="paragraph" w:customStyle="1" w:styleId="InstitutionSubtitle">
    <w:name w:val="Institution Subtitle"/>
    <w:basedOn w:val="Normal"/>
    <w:next w:val="Normal"/>
    <w:rsid w:val="00FB1300"/>
    <w:pPr>
      <w:spacing w:line="240" w:lineRule="auto"/>
      <w:jc w:val="left"/>
    </w:pPr>
    <w:rPr>
      <w:rFonts w:ascii="Century Gothic" w:hAnsi="Century Gothic"/>
    </w:rPr>
  </w:style>
  <w:style w:type="paragraph" w:customStyle="1" w:styleId="PartTitle">
    <w:name w:val="Part Title"/>
    <w:basedOn w:val="Normal"/>
    <w:next w:val="Normal"/>
    <w:rsid w:val="00FB1300"/>
    <w:pPr>
      <w:spacing w:before="1080" w:line="240" w:lineRule="auto"/>
      <w:jc w:val="left"/>
    </w:pPr>
    <w:rPr>
      <w:rFonts w:ascii="Georgia" w:hAnsi="Georgia"/>
      <w:color w:val="333399"/>
      <w:sz w:val="40"/>
    </w:rPr>
  </w:style>
  <w:style w:type="paragraph" w:customStyle="1" w:styleId="PartSubtitle">
    <w:name w:val="Part Subtitle"/>
    <w:basedOn w:val="Normal"/>
    <w:next w:val="Normal"/>
    <w:rsid w:val="00FB1300"/>
    <w:pPr>
      <w:spacing w:line="240" w:lineRule="auto"/>
      <w:jc w:val="left"/>
    </w:pPr>
    <w:rPr>
      <w:rFonts w:ascii="Georgia" w:hAnsi="Georgia"/>
      <w:color w:val="333399"/>
      <w:sz w:val="32"/>
    </w:rPr>
  </w:style>
  <w:style w:type="paragraph" w:customStyle="1" w:styleId="HeaderTitleLeft30">
    <w:name w:val="Header Title Left (30)"/>
    <w:basedOn w:val="Normal"/>
    <w:next w:val="Normal"/>
    <w:rsid w:val="00FB1300"/>
    <w:pPr>
      <w:tabs>
        <w:tab w:val="right" w:pos="8504"/>
      </w:tabs>
      <w:spacing w:before="100" w:after="40" w:line="240" w:lineRule="auto"/>
      <w:ind w:left="-850"/>
    </w:pPr>
    <w:rPr>
      <w:rFonts w:ascii="Century Gothic" w:hAnsi="Century Gothic"/>
      <w:color w:val="333399"/>
      <w:sz w:val="14"/>
    </w:rPr>
  </w:style>
  <w:style w:type="paragraph" w:customStyle="1" w:styleId="HeaderSubtitleLeft30">
    <w:name w:val="Header Subtitle Left (30)"/>
    <w:basedOn w:val="Normal"/>
    <w:next w:val="Normal"/>
    <w:rsid w:val="00FB1300"/>
    <w:pPr>
      <w:tabs>
        <w:tab w:val="right" w:pos="8504"/>
      </w:tabs>
      <w:spacing w:after="0" w:line="240" w:lineRule="auto"/>
      <w:ind w:left="-850"/>
    </w:pPr>
    <w:rPr>
      <w:rFonts w:ascii="Century Gothic" w:hAnsi="Century Gothic"/>
      <w:color w:val="333399"/>
      <w:sz w:val="14"/>
    </w:rPr>
  </w:style>
  <w:style w:type="paragraph" w:customStyle="1" w:styleId="HeaderTitleRight30">
    <w:name w:val="Header Title Right (30)"/>
    <w:basedOn w:val="Normal"/>
    <w:next w:val="Normal"/>
    <w:rsid w:val="00FB1300"/>
    <w:pPr>
      <w:spacing w:before="100" w:after="40" w:line="240" w:lineRule="auto"/>
      <w:ind w:right="-850"/>
      <w:jc w:val="right"/>
    </w:pPr>
    <w:rPr>
      <w:rFonts w:ascii="Century Gothic" w:hAnsi="Century Gothic"/>
      <w:color w:val="333399"/>
      <w:sz w:val="14"/>
    </w:rPr>
  </w:style>
  <w:style w:type="paragraph" w:customStyle="1" w:styleId="HeaderSubtitleRight30">
    <w:name w:val="Header Subtitle Right (30)"/>
    <w:basedOn w:val="Normal"/>
    <w:next w:val="Normal"/>
    <w:rsid w:val="00FB1300"/>
    <w:pPr>
      <w:spacing w:after="0" w:line="240" w:lineRule="auto"/>
      <w:ind w:right="-850"/>
      <w:jc w:val="right"/>
    </w:pPr>
    <w:rPr>
      <w:rFonts w:ascii="Century Gothic" w:hAnsi="Century Gothic"/>
      <w:color w:val="333399"/>
      <w:sz w:val="14"/>
    </w:rPr>
  </w:style>
  <w:style w:type="paragraph" w:customStyle="1" w:styleId="FooterPageNumber30">
    <w:name w:val="Footer PageNumber (30)"/>
    <w:basedOn w:val="Normal"/>
    <w:next w:val="Normal"/>
    <w:rsid w:val="00FB1300"/>
    <w:pPr>
      <w:framePr w:w="567" w:hSpace="567" w:wrap="around" w:vAnchor="page" w:hAnchor="page" w:xAlign="outside" w:y="16046"/>
      <w:spacing w:after="0" w:line="240" w:lineRule="auto"/>
      <w:jc w:val="center"/>
    </w:pPr>
    <w:rPr>
      <w:rFonts w:ascii="Century Gothic" w:hAnsi="Century Gothic"/>
      <w:color w:val="333399"/>
      <w:sz w:val="18"/>
    </w:rPr>
  </w:style>
  <w:style w:type="paragraph" w:customStyle="1" w:styleId="FooterPageNumber15">
    <w:name w:val="Footer PageNumber (15)"/>
    <w:basedOn w:val="Normal"/>
    <w:next w:val="Normal"/>
    <w:rsid w:val="00FB1300"/>
    <w:pPr>
      <w:framePr w:w="567" w:wrap="around" w:vAnchor="page" w:hAnchor="margin" w:xAlign="outside" w:y="16046"/>
      <w:spacing w:after="0" w:line="240" w:lineRule="auto"/>
      <w:jc w:val="center"/>
    </w:pPr>
    <w:rPr>
      <w:rFonts w:ascii="Century Gothic" w:hAnsi="Century Gothic"/>
      <w:color w:val="333399"/>
      <w:sz w:val="18"/>
    </w:rPr>
  </w:style>
  <w:style w:type="paragraph" w:customStyle="1" w:styleId="SectionTitlelarge">
    <w:name w:val="Section Title (large)"/>
    <w:basedOn w:val="Normal"/>
    <w:next w:val="SectionSubtitle"/>
    <w:rsid w:val="00FB1300"/>
    <w:pPr>
      <w:keepNext/>
      <w:spacing w:before="1080" w:line="240" w:lineRule="auto"/>
      <w:ind w:left="992" w:hanging="992"/>
      <w:jc w:val="left"/>
    </w:pPr>
    <w:rPr>
      <w:rFonts w:ascii="Century Gothic" w:hAnsi="Century Gothic"/>
      <w:caps/>
      <w:color w:val="333399"/>
      <w:sz w:val="32"/>
    </w:rPr>
  </w:style>
  <w:style w:type="paragraph" w:customStyle="1" w:styleId="SectionTitletwolineslarge">
    <w:name w:val="Section Title (two lines) (large)"/>
    <w:basedOn w:val="Normal"/>
    <w:next w:val="SectionSubtitle"/>
    <w:rsid w:val="00FB1300"/>
    <w:pPr>
      <w:keepNext/>
      <w:spacing w:before="1080" w:after="40" w:line="240" w:lineRule="auto"/>
      <w:ind w:left="992" w:hanging="992"/>
      <w:jc w:val="left"/>
    </w:pPr>
    <w:rPr>
      <w:rFonts w:ascii="Century Gothic" w:hAnsi="Century Gothic"/>
      <w:caps/>
      <w:color w:val="333399"/>
      <w:sz w:val="32"/>
    </w:rPr>
  </w:style>
  <w:style w:type="paragraph" w:customStyle="1" w:styleId="SectionTitlethreelineslarge">
    <w:name w:val="Section Title (three lines) (large)"/>
    <w:basedOn w:val="Normal"/>
    <w:next w:val="SectionSubtitle"/>
    <w:rsid w:val="00FB1300"/>
    <w:pPr>
      <w:keepNext/>
      <w:spacing w:before="800" w:after="40" w:line="240" w:lineRule="auto"/>
      <w:ind w:left="992" w:hanging="992"/>
      <w:jc w:val="left"/>
    </w:pPr>
    <w:rPr>
      <w:rFonts w:ascii="Century Gothic" w:hAnsi="Century Gothic"/>
      <w:caps/>
      <w:color w:val="333399"/>
      <w:sz w:val="32"/>
    </w:rPr>
  </w:style>
  <w:style w:type="paragraph" w:customStyle="1" w:styleId="HeaderSubtitleOutside30">
    <w:name w:val="Header Subtitle Outside (30)"/>
    <w:basedOn w:val="Normal"/>
    <w:next w:val="Normal"/>
    <w:rsid w:val="00FB1300"/>
    <w:pPr>
      <w:framePr w:w="4000" w:wrap="around" w:vAnchor="page" w:hAnchor="page" w:xAlign="outside" w:y="737"/>
      <w:spacing w:after="0" w:line="240" w:lineRule="auto"/>
      <w:jc w:val="center"/>
    </w:pPr>
    <w:rPr>
      <w:rFonts w:ascii="Century Gothic" w:hAnsi="Century Gothic"/>
      <w:color w:val="333399"/>
      <w:sz w:val="14"/>
    </w:rPr>
  </w:style>
  <w:style w:type="paragraph" w:customStyle="1" w:styleId="PublicationSupertitle">
    <w:name w:val="Publication Supertitle"/>
    <w:basedOn w:val="Normal"/>
    <w:next w:val="Normal"/>
    <w:rsid w:val="00FB1300"/>
    <w:pPr>
      <w:spacing w:before="2640" w:line="240" w:lineRule="auto"/>
      <w:jc w:val="left"/>
    </w:pPr>
    <w:rPr>
      <w:rFonts w:ascii="Georgia" w:hAnsi="Georgia"/>
      <w:color w:val="333399"/>
    </w:rPr>
  </w:style>
  <w:style w:type="paragraph" w:customStyle="1" w:styleId="HeaderTitleLeft15">
    <w:name w:val="Header Title Left (15)"/>
    <w:basedOn w:val="Normal"/>
    <w:next w:val="Normal"/>
    <w:rsid w:val="00FB1300"/>
    <w:pPr>
      <w:tabs>
        <w:tab w:val="right" w:pos="9921"/>
      </w:tabs>
      <w:spacing w:before="100" w:after="40" w:line="240" w:lineRule="auto"/>
    </w:pPr>
    <w:rPr>
      <w:rFonts w:ascii="Century Gothic" w:hAnsi="Century Gothic"/>
      <w:color w:val="333399"/>
      <w:sz w:val="14"/>
    </w:rPr>
  </w:style>
  <w:style w:type="paragraph" w:customStyle="1" w:styleId="HeaderSubtitleLeft15">
    <w:name w:val="Header Subtitle Left (15)"/>
    <w:basedOn w:val="Normal"/>
    <w:next w:val="Normal"/>
    <w:rsid w:val="00FB1300"/>
    <w:pPr>
      <w:tabs>
        <w:tab w:val="right" w:pos="9921"/>
      </w:tabs>
      <w:spacing w:after="0" w:line="240" w:lineRule="auto"/>
    </w:pPr>
    <w:rPr>
      <w:rFonts w:ascii="Century Gothic" w:hAnsi="Century Gothic"/>
      <w:color w:val="333399"/>
      <w:sz w:val="14"/>
    </w:rPr>
  </w:style>
  <w:style w:type="paragraph" w:customStyle="1" w:styleId="HeaderTitleRight15">
    <w:name w:val="Header Title Right (15)"/>
    <w:basedOn w:val="Normal"/>
    <w:next w:val="Normal"/>
    <w:rsid w:val="00FB1300"/>
    <w:pPr>
      <w:spacing w:before="100" w:after="40" w:line="240" w:lineRule="auto"/>
      <w:jc w:val="right"/>
    </w:pPr>
    <w:rPr>
      <w:rFonts w:ascii="Century Gothic" w:hAnsi="Century Gothic"/>
      <w:color w:val="333399"/>
      <w:sz w:val="14"/>
    </w:rPr>
  </w:style>
  <w:style w:type="paragraph" w:customStyle="1" w:styleId="HeaderSubtitleRight15">
    <w:name w:val="Header Subtitle Right (15)"/>
    <w:basedOn w:val="Normal"/>
    <w:next w:val="Normal"/>
    <w:rsid w:val="00FB1300"/>
    <w:pPr>
      <w:spacing w:after="0" w:line="240" w:lineRule="auto"/>
      <w:jc w:val="right"/>
    </w:pPr>
    <w:rPr>
      <w:rFonts w:ascii="Century Gothic" w:hAnsi="Century Gothic"/>
      <w:color w:val="333399"/>
      <w:sz w:val="14"/>
    </w:rPr>
  </w:style>
  <w:style w:type="paragraph" w:customStyle="1" w:styleId="HeaderTitleLeft45">
    <w:name w:val="Header Title Left (45)"/>
    <w:basedOn w:val="Normal"/>
    <w:next w:val="Normal"/>
    <w:rsid w:val="00FB1300"/>
    <w:pPr>
      <w:tabs>
        <w:tab w:val="right" w:pos="8504"/>
      </w:tabs>
      <w:spacing w:before="100" w:after="40" w:line="240" w:lineRule="auto"/>
      <w:ind w:left="-1701"/>
    </w:pPr>
    <w:rPr>
      <w:rFonts w:ascii="Century Gothic" w:hAnsi="Century Gothic"/>
      <w:color w:val="333399"/>
      <w:sz w:val="14"/>
    </w:rPr>
  </w:style>
  <w:style w:type="paragraph" w:customStyle="1" w:styleId="HeaderSubtitleLeft45">
    <w:name w:val="Header Subtitle Left (45)"/>
    <w:basedOn w:val="Normal"/>
    <w:next w:val="Normal"/>
    <w:rsid w:val="00FB1300"/>
    <w:pPr>
      <w:tabs>
        <w:tab w:val="right" w:pos="8504"/>
      </w:tabs>
      <w:spacing w:after="0" w:line="240" w:lineRule="auto"/>
      <w:ind w:left="-1701"/>
    </w:pPr>
    <w:rPr>
      <w:rFonts w:ascii="Century Gothic" w:hAnsi="Century Gothic"/>
      <w:color w:val="333399"/>
      <w:sz w:val="14"/>
    </w:rPr>
  </w:style>
  <w:style w:type="paragraph" w:customStyle="1" w:styleId="HeaderTitleRight45">
    <w:name w:val="Header Title Right (45)"/>
    <w:basedOn w:val="Normal"/>
    <w:next w:val="Normal"/>
    <w:rsid w:val="00FB1300"/>
    <w:pPr>
      <w:spacing w:before="100" w:after="40" w:line="240" w:lineRule="auto"/>
      <w:ind w:right="-1701"/>
      <w:jc w:val="right"/>
    </w:pPr>
    <w:rPr>
      <w:rFonts w:ascii="Century Gothic" w:hAnsi="Century Gothic"/>
      <w:color w:val="333399"/>
      <w:sz w:val="14"/>
    </w:rPr>
  </w:style>
  <w:style w:type="paragraph" w:customStyle="1" w:styleId="HeaderSubtitleRight45">
    <w:name w:val="Header Subtitle Right (45)"/>
    <w:basedOn w:val="Normal"/>
    <w:next w:val="Normal"/>
    <w:rsid w:val="00FB1300"/>
    <w:pPr>
      <w:spacing w:after="0" w:line="240" w:lineRule="auto"/>
      <w:ind w:right="-1701"/>
      <w:jc w:val="right"/>
    </w:pPr>
    <w:rPr>
      <w:rFonts w:ascii="Century Gothic" w:hAnsi="Century Gothic"/>
      <w:color w:val="333399"/>
      <w:sz w:val="14"/>
    </w:rPr>
  </w:style>
  <w:style w:type="paragraph" w:customStyle="1" w:styleId="FooterPageNumber45">
    <w:name w:val="Footer PageNumber (45)"/>
    <w:basedOn w:val="Normal"/>
    <w:next w:val="Normal"/>
    <w:rsid w:val="00FB1300"/>
    <w:pPr>
      <w:framePr w:w="567" w:hSpace="1417" w:wrap="around" w:vAnchor="page" w:hAnchor="page" w:xAlign="outside" w:y="16046"/>
      <w:spacing w:after="0" w:line="240" w:lineRule="auto"/>
      <w:jc w:val="center"/>
    </w:pPr>
    <w:rPr>
      <w:rFonts w:ascii="Century Gothic" w:hAnsi="Century Gothic"/>
      <w:color w:val="333399"/>
      <w:sz w:val="18"/>
    </w:rPr>
  </w:style>
  <w:style w:type="paragraph" w:customStyle="1" w:styleId="HEADINGTOC">
    <w:name w:val="HEADING TOC"/>
    <w:basedOn w:val="Normal"/>
    <w:next w:val="Normal"/>
    <w:rsid w:val="00FB1300"/>
    <w:pPr>
      <w:keepNext/>
      <w:spacing w:before="120" w:after="120"/>
    </w:pPr>
    <w:rPr>
      <w:rFonts w:ascii="Century Gothic" w:hAnsi="Century Gothic"/>
      <w:caps/>
      <w:color w:val="333399"/>
      <w:sz w:val="28"/>
    </w:rPr>
  </w:style>
  <w:style w:type="paragraph" w:customStyle="1" w:styleId="Abbreviation">
    <w:name w:val="Abbreviation"/>
    <w:basedOn w:val="Normal"/>
    <w:rsid w:val="00FB1300"/>
    <w:pPr>
      <w:spacing w:after="0"/>
      <w:ind w:left="1134" w:hanging="1134"/>
    </w:pPr>
  </w:style>
  <w:style w:type="paragraph" w:customStyle="1" w:styleId="SNText">
    <w:name w:val="SN Text"/>
    <w:basedOn w:val="Normal"/>
    <w:rsid w:val="00FB1300"/>
    <w:pPr>
      <w:tabs>
        <w:tab w:val="left" w:pos="2268"/>
      </w:tabs>
      <w:spacing w:after="200"/>
      <w:ind w:left="2268"/>
    </w:pPr>
  </w:style>
  <w:style w:type="paragraph" w:customStyle="1" w:styleId="SNSideNote">
    <w:name w:val="SN SideNote"/>
    <w:basedOn w:val="Normal"/>
    <w:next w:val="SNText"/>
    <w:rsid w:val="00FB1300"/>
    <w:pPr>
      <w:keepNext/>
      <w:framePr w:w="1984" w:h="567" w:hSpace="283" w:wrap="around" w:vAnchor="text" w:hAnchor="margin" w:y="1"/>
      <w:spacing w:after="200"/>
      <w:jc w:val="left"/>
    </w:pPr>
    <w:rPr>
      <w:rFonts w:ascii="Century Gothic" w:hAnsi="Century Gothic"/>
      <w:color w:val="333399"/>
      <w:sz w:val="18"/>
    </w:rPr>
  </w:style>
  <w:style w:type="paragraph" w:customStyle="1" w:styleId="SNNumberedHeading1">
    <w:name w:val="SN Numbered Heading 1"/>
    <w:basedOn w:val="Normal"/>
    <w:next w:val="SNText"/>
    <w:rsid w:val="00FB1300"/>
    <w:pPr>
      <w:keepNext/>
      <w:tabs>
        <w:tab w:val="left" w:pos="2835"/>
      </w:tabs>
      <w:spacing w:before="200"/>
      <w:ind w:left="2835" w:hanging="567"/>
      <w:outlineLvl w:val="0"/>
    </w:pPr>
    <w:rPr>
      <w:rFonts w:ascii="Century Gothic" w:hAnsi="Century Gothic"/>
      <w:b/>
      <w:caps/>
      <w:color w:val="333399"/>
      <w:sz w:val="18"/>
    </w:rPr>
  </w:style>
  <w:style w:type="paragraph" w:customStyle="1" w:styleId="SNNumberedHeading2">
    <w:name w:val="SN Numbered Heading 2"/>
    <w:basedOn w:val="Normal"/>
    <w:next w:val="SNText"/>
    <w:rsid w:val="00FB1300"/>
    <w:pPr>
      <w:keepNext/>
      <w:tabs>
        <w:tab w:val="left" w:pos="2835"/>
      </w:tabs>
      <w:spacing w:before="100"/>
      <w:ind w:left="2835" w:hanging="567"/>
      <w:outlineLvl w:val="0"/>
    </w:pPr>
    <w:rPr>
      <w:rFonts w:ascii="Century Gothic" w:hAnsi="Century Gothic"/>
      <w:color w:val="333399"/>
      <w:sz w:val="18"/>
    </w:rPr>
  </w:style>
  <w:style w:type="paragraph" w:customStyle="1" w:styleId="SNNumberedHeading1Top">
    <w:name w:val="SN Numbered Heading 1 Top"/>
    <w:basedOn w:val="SNNumberedHeading1"/>
    <w:next w:val="SNText"/>
    <w:rsid w:val="00FB1300"/>
    <w:pPr>
      <w:tabs>
        <w:tab w:val="clear" w:pos="2835"/>
      </w:tabs>
      <w:spacing w:before="0"/>
    </w:pPr>
  </w:style>
  <w:style w:type="paragraph" w:customStyle="1" w:styleId="SNNumberedHeading2Top">
    <w:name w:val="SN Numbered Heading 2 Top"/>
    <w:basedOn w:val="SNNumberedHeading2"/>
    <w:next w:val="SNText"/>
    <w:rsid w:val="00FB1300"/>
    <w:pPr>
      <w:tabs>
        <w:tab w:val="clear" w:pos="2835"/>
      </w:tabs>
      <w:spacing w:before="0"/>
    </w:pPr>
  </w:style>
  <w:style w:type="paragraph" w:customStyle="1" w:styleId="BoxShape">
    <w:name w:val="Box Shape"/>
    <w:basedOn w:val="Normal"/>
    <w:next w:val="Normal"/>
    <w:rsid w:val="00FB1300"/>
    <w:pPr>
      <w:keepNext/>
      <w:spacing w:before="120" w:after="120"/>
      <w:jc w:val="center"/>
    </w:pPr>
  </w:style>
  <w:style w:type="paragraph" w:customStyle="1" w:styleId="BoxContinueTop">
    <w:name w:val="Box Continue Top"/>
    <w:basedOn w:val="Normal"/>
    <w:next w:val="Normal"/>
    <w:rsid w:val="00FB1300"/>
    <w:pPr>
      <w:keepNext/>
      <w:spacing w:before="20" w:after="0" w:line="240" w:lineRule="auto"/>
      <w:ind w:left="283"/>
    </w:pPr>
    <w:rPr>
      <w:rFonts w:ascii="Century Gothic" w:hAnsi="Century Gothic"/>
      <w:i/>
      <w:color w:val="333399"/>
      <w:sz w:val="14"/>
    </w:rPr>
  </w:style>
  <w:style w:type="paragraph" w:customStyle="1" w:styleId="BoxContinueBottom">
    <w:name w:val="Box Continue Bottom"/>
    <w:basedOn w:val="Normal"/>
    <w:next w:val="Normal"/>
    <w:rsid w:val="00FB1300"/>
    <w:pPr>
      <w:spacing w:after="20" w:line="240" w:lineRule="auto"/>
      <w:ind w:right="283"/>
      <w:jc w:val="right"/>
    </w:pPr>
    <w:rPr>
      <w:rFonts w:ascii="Century Gothic" w:hAnsi="Century Gothic"/>
      <w:i/>
      <w:color w:val="333399"/>
      <w:sz w:val="14"/>
    </w:rPr>
  </w:style>
  <w:style w:type="paragraph" w:customStyle="1" w:styleId="TableContinueTop">
    <w:name w:val="Table Continue Top"/>
    <w:basedOn w:val="Normal"/>
    <w:next w:val="Normal"/>
    <w:rsid w:val="00FB1300"/>
    <w:pPr>
      <w:keepNext/>
      <w:spacing w:before="20" w:after="0" w:line="240" w:lineRule="auto"/>
      <w:ind w:left="283"/>
    </w:pPr>
    <w:rPr>
      <w:rFonts w:ascii="Century Gothic" w:hAnsi="Century Gothic"/>
      <w:i/>
      <w:color w:val="333399"/>
      <w:sz w:val="14"/>
    </w:rPr>
  </w:style>
  <w:style w:type="paragraph" w:customStyle="1" w:styleId="TableContinueBottom">
    <w:name w:val="Table Continue Bottom"/>
    <w:basedOn w:val="Normal"/>
    <w:next w:val="Normal"/>
    <w:rsid w:val="00FB1300"/>
    <w:pPr>
      <w:spacing w:after="20" w:line="240" w:lineRule="auto"/>
      <w:ind w:right="283"/>
      <w:jc w:val="right"/>
    </w:pPr>
    <w:rPr>
      <w:rFonts w:ascii="Century Gothic" w:hAnsi="Century Gothic"/>
      <w:i/>
      <w:color w:val="333399"/>
      <w:sz w:val="14"/>
    </w:rPr>
  </w:style>
  <w:style w:type="paragraph" w:customStyle="1" w:styleId="BottomTable">
    <w:name w:val="Bottom Table"/>
    <w:basedOn w:val="Normal"/>
    <w:next w:val="Normal"/>
    <w:rsid w:val="00FB1300"/>
    <w:pPr>
      <w:spacing w:after="0" w:line="240" w:lineRule="auto"/>
      <w:jc w:val="left"/>
    </w:pPr>
  </w:style>
  <w:style w:type="paragraph" w:customStyle="1" w:styleId="DefaultTable">
    <w:name w:val="Default Table"/>
    <w:basedOn w:val="Normal"/>
    <w:next w:val="Normal"/>
    <w:rsid w:val="00FB1300"/>
    <w:pPr>
      <w:spacing w:after="0" w:line="240" w:lineRule="auto"/>
      <w:jc w:val="left"/>
    </w:pPr>
  </w:style>
  <w:style w:type="paragraph" w:customStyle="1" w:styleId="BottomCenterTable">
    <w:name w:val="Bottom Center Table"/>
    <w:basedOn w:val="Normal"/>
    <w:next w:val="Normal"/>
    <w:rsid w:val="00FB1300"/>
    <w:pPr>
      <w:spacing w:before="160" w:after="0" w:line="240" w:lineRule="auto"/>
      <w:jc w:val="center"/>
    </w:pPr>
  </w:style>
  <w:style w:type="paragraph" w:customStyle="1" w:styleId="BottomTableRestrictedShape">
    <w:name w:val="Bottom Table Restricted Shape"/>
    <w:basedOn w:val="Normal"/>
    <w:next w:val="Normal"/>
    <w:rsid w:val="00FB1300"/>
    <w:pPr>
      <w:spacing w:before="160" w:after="0" w:line="240" w:lineRule="auto"/>
      <w:jc w:val="center"/>
    </w:pPr>
  </w:style>
  <w:style w:type="paragraph" w:customStyle="1" w:styleId="GraphTitle">
    <w:name w:val="Graph Title"/>
    <w:basedOn w:val="Normal"/>
    <w:next w:val="Normal"/>
    <w:rsid w:val="009F3ED8"/>
    <w:pPr>
      <w:keepNext/>
      <w:pBdr>
        <w:top w:val="single" w:sz="6" w:space="2" w:color="000000"/>
        <w:bottom w:val="single" w:sz="6" w:space="2" w:color="000000"/>
      </w:pBdr>
      <w:spacing w:after="0" w:line="240" w:lineRule="auto"/>
      <w:ind w:left="935" w:hanging="935"/>
      <w:jc w:val="left"/>
    </w:pPr>
    <w:rPr>
      <w:rFonts w:ascii="Century Gothic" w:hAnsi="Century Gothic"/>
      <w:color w:val="333399"/>
      <w:sz w:val="14"/>
    </w:rPr>
  </w:style>
  <w:style w:type="paragraph" w:customStyle="1" w:styleId="GraphSource">
    <w:name w:val="Graph Source"/>
    <w:basedOn w:val="Normal"/>
    <w:rsid w:val="009F3ED8"/>
    <w:pPr>
      <w:pBdr>
        <w:top w:val="single" w:sz="6" w:space="2" w:color="000000"/>
        <w:bottom w:val="single" w:sz="6" w:space="2" w:color="000000"/>
      </w:pBdr>
      <w:spacing w:after="0" w:line="240" w:lineRule="auto"/>
      <w:jc w:val="left"/>
    </w:pPr>
    <w:rPr>
      <w:rFonts w:ascii="Century Gothic" w:hAnsi="Century Gothic"/>
      <w:sz w:val="14"/>
    </w:rPr>
  </w:style>
  <w:style w:type="paragraph" w:customStyle="1" w:styleId="GraphFootnote">
    <w:name w:val="Graph Footnote"/>
    <w:basedOn w:val="Normal"/>
    <w:rsid w:val="009F3ED8"/>
    <w:pPr>
      <w:pBdr>
        <w:top w:val="single" w:sz="6" w:space="2" w:color="000000"/>
        <w:bottom w:val="single" w:sz="6" w:space="2" w:color="000000"/>
      </w:pBdr>
      <w:spacing w:after="0" w:line="240" w:lineRule="auto"/>
      <w:jc w:val="left"/>
    </w:pPr>
    <w:rPr>
      <w:rFonts w:ascii="Century Gothic" w:hAnsi="Century Gothic"/>
      <w:sz w:val="14"/>
    </w:rPr>
  </w:style>
  <w:style w:type="paragraph" w:customStyle="1" w:styleId="GraphShape">
    <w:name w:val="Graph Shape"/>
    <w:basedOn w:val="Normal"/>
    <w:next w:val="Normal"/>
    <w:rsid w:val="00FB1300"/>
    <w:pPr>
      <w:keepNext/>
      <w:spacing w:after="0" w:line="240" w:lineRule="auto"/>
      <w:jc w:val="left"/>
    </w:pPr>
  </w:style>
  <w:style w:type="paragraph" w:customStyle="1" w:styleId="TableTitle">
    <w:name w:val="Table Title"/>
    <w:basedOn w:val="Normal"/>
    <w:next w:val="Normal"/>
    <w:rsid w:val="009F3ED8"/>
    <w:pPr>
      <w:keepNext/>
      <w:pBdr>
        <w:top w:val="single" w:sz="6" w:space="2" w:color="000000"/>
        <w:bottom w:val="single" w:sz="6" w:space="2" w:color="000000"/>
      </w:pBdr>
      <w:spacing w:after="40" w:line="240" w:lineRule="auto"/>
      <w:ind w:left="935" w:hanging="935"/>
      <w:jc w:val="left"/>
    </w:pPr>
    <w:rPr>
      <w:rFonts w:ascii="Century Gothic" w:hAnsi="Century Gothic"/>
      <w:color w:val="333399"/>
      <w:sz w:val="14"/>
    </w:rPr>
  </w:style>
  <w:style w:type="paragraph" w:customStyle="1" w:styleId="TableSource">
    <w:name w:val="Table Source"/>
    <w:basedOn w:val="Normal"/>
    <w:rsid w:val="009F3ED8"/>
    <w:pPr>
      <w:keepNext/>
      <w:pBdr>
        <w:top w:val="single" w:sz="6" w:space="2" w:color="000000"/>
        <w:bottom w:val="single" w:sz="6" w:space="2" w:color="000000"/>
      </w:pBdr>
      <w:spacing w:after="0" w:line="240" w:lineRule="auto"/>
      <w:jc w:val="left"/>
    </w:pPr>
    <w:rPr>
      <w:rFonts w:ascii="Century Gothic" w:hAnsi="Century Gothic"/>
      <w:sz w:val="14"/>
    </w:rPr>
  </w:style>
  <w:style w:type="paragraph" w:customStyle="1" w:styleId="TableFootnote">
    <w:name w:val="Table Footnote"/>
    <w:basedOn w:val="Normal"/>
    <w:rsid w:val="009F3ED8"/>
    <w:pPr>
      <w:keepNext/>
      <w:pBdr>
        <w:top w:val="single" w:sz="6" w:space="2" w:color="000000"/>
        <w:bottom w:val="single" w:sz="6" w:space="2" w:color="000000"/>
      </w:pBdr>
      <w:spacing w:after="0" w:line="240" w:lineRule="auto"/>
      <w:jc w:val="left"/>
    </w:pPr>
    <w:rPr>
      <w:rFonts w:ascii="Century Gothic" w:hAnsi="Century Gothic"/>
      <w:sz w:val="14"/>
    </w:rPr>
  </w:style>
  <w:style w:type="paragraph" w:customStyle="1" w:styleId="TableShape">
    <w:name w:val="Table Shape"/>
    <w:basedOn w:val="Normal"/>
    <w:next w:val="Normal"/>
    <w:rsid w:val="00FB1300"/>
    <w:pPr>
      <w:keepNext/>
      <w:spacing w:after="0" w:line="240" w:lineRule="auto"/>
      <w:jc w:val="left"/>
    </w:pPr>
  </w:style>
  <w:style w:type="paragraph" w:customStyle="1" w:styleId="SlimCell">
    <w:name w:val="Slim Cell"/>
    <w:basedOn w:val="Normal"/>
    <w:next w:val="Normal"/>
    <w:rsid w:val="00FB1300"/>
    <w:pPr>
      <w:spacing w:after="0" w:line="240" w:lineRule="auto"/>
    </w:pPr>
    <w:rPr>
      <w:sz w:val="2"/>
    </w:rPr>
  </w:style>
  <w:style w:type="paragraph" w:customStyle="1" w:styleId="MultipageDelimiter">
    <w:name w:val="Multipage Delimiter"/>
    <w:basedOn w:val="Normal"/>
    <w:next w:val="Normal"/>
    <w:rsid w:val="00FB1300"/>
    <w:pPr>
      <w:spacing w:after="0" w:line="20" w:lineRule="exact"/>
    </w:pPr>
    <w:rPr>
      <w:sz w:val="2"/>
    </w:rPr>
  </w:style>
  <w:style w:type="paragraph" w:customStyle="1" w:styleId="MapTitle">
    <w:name w:val="Map Title"/>
    <w:basedOn w:val="Normal"/>
    <w:next w:val="Normal"/>
    <w:rsid w:val="00FB1300"/>
    <w:pPr>
      <w:keepNext/>
      <w:pBdr>
        <w:top w:val="single" w:sz="2" w:space="2" w:color="auto"/>
        <w:bottom w:val="single" w:sz="2" w:space="2" w:color="auto"/>
      </w:pBdr>
      <w:spacing w:after="40" w:line="240" w:lineRule="auto"/>
      <w:ind w:left="935" w:hanging="935"/>
      <w:jc w:val="left"/>
    </w:pPr>
    <w:rPr>
      <w:rFonts w:ascii="Century Gothic" w:hAnsi="Century Gothic"/>
      <w:color w:val="333399"/>
      <w:sz w:val="14"/>
    </w:rPr>
  </w:style>
  <w:style w:type="paragraph" w:customStyle="1" w:styleId="MapShape">
    <w:name w:val="Map Shape"/>
    <w:basedOn w:val="Normal"/>
    <w:next w:val="Normal"/>
    <w:rsid w:val="00FB1300"/>
    <w:pPr>
      <w:keepNext/>
      <w:spacing w:after="0" w:line="240" w:lineRule="auto"/>
      <w:jc w:val="left"/>
    </w:pPr>
  </w:style>
  <w:style w:type="paragraph" w:customStyle="1" w:styleId="MapSource">
    <w:name w:val="Map Source"/>
    <w:basedOn w:val="Normal"/>
    <w:rsid w:val="00FB1300"/>
    <w:pPr>
      <w:pBdr>
        <w:top w:val="single" w:sz="2" w:space="2" w:color="auto"/>
        <w:bottom w:val="single" w:sz="2" w:space="2" w:color="auto"/>
      </w:pBdr>
      <w:spacing w:after="0" w:line="240" w:lineRule="auto"/>
      <w:jc w:val="center"/>
    </w:pPr>
    <w:rPr>
      <w:rFonts w:ascii="Century Gothic" w:hAnsi="Century Gothic"/>
      <w:sz w:val="14"/>
    </w:rPr>
  </w:style>
  <w:style w:type="paragraph" w:customStyle="1" w:styleId="MapFootnote">
    <w:name w:val="Map Footnote"/>
    <w:basedOn w:val="Normal"/>
    <w:rsid w:val="00FB1300"/>
    <w:pPr>
      <w:pBdr>
        <w:top w:val="single" w:sz="2" w:space="2" w:color="auto"/>
        <w:bottom w:val="single" w:sz="2" w:space="2" w:color="auto"/>
      </w:pBdr>
      <w:spacing w:after="0" w:line="240" w:lineRule="auto"/>
      <w:jc w:val="left"/>
    </w:pPr>
    <w:rPr>
      <w:rFonts w:ascii="Century Gothic" w:hAnsi="Century Gothic"/>
      <w:sz w:val="14"/>
    </w:rPr>
  </w:style>
  <w:style w:type="paragraph" w:customStyle="1" w:styleId="Abstract">
    <w:name w:val="Abstract"/>
    <w:basedOn w:val="Normal"/>
    <w:rsid w:val="00FB1300"/>
    <w:pPr>
      <w:framePr w:w="8504" w:wrap="around" w:vAnchor="text" w:hAnchor="text" w:y="1"/>
      <w:ind w:left="57" w:right="57"/>
    </w:pPr>
    <w:rPr>
      <w:i/>
    </w:rPr>
  </w:style>
  <w:style w:type="paragraph" w:customStyle="1" w:styleId="EPKitHiddenFrame">
    <w:name w:val="EPKit Hidden Frame"/>
    <w:basedOn w:val="Normal"/>
    <w:next w:val="Normal"/>
    <w:rsid w:val="009F3ED8"/>
    <w:pPr>
      <w:framePr w:w="11" w:h="11" w:hRule="exact" w:wrap="around" w:vAnchor="page" w:hAnchor="page" w:yAlign="top"/>
    </w:pPr>
  </w:style>
  <w:style w:type="character" w:styleId="Referencafusnote">
    <w:name w:val="footnote reference"/>
    <w:aliases w:val="Footnote symbol,Footnote reference number,Times 10 Point,Exposant 3 Point,EN Footnote Reference,note TESI,E...,nota de rodapé,Footnote Reference_LVL6,Footnote Reference_LVL61,Footnote Reference_LVL62,texto nota a pi, Exposant 3 Point"/>
    <w:uiPriority w:val="99"/>
    <w:unhideWhenUsed/>
    <w:rsid w:val="00FB1300"/>
    <w:rPr>
      <w:shd w:val="clear" w:color="auto" w:fill="auto"/>
      <w:vertAlign w:val="superscript"/>
    </w:rPr>
  </w:style>
  <w:style w:type="character" w:styleId="Referencakrajnjebiljeke">
    <w:name w:val="endnote reference"/>
    <w:uiPriority w:val="99"/>
    <w:semiHidden/>
    <w:unhideWhenUsed/>
    <w:rsid w:val="00FB1300"/>
    <w:rPr>
      <w:shd w:val="clear" w:color="auto" w:fill="auto"/>
      <w:vertAlign w:val="superscript"/>
    </w:rPr>
  </w:style>
  <w:style w:type="character" w:customStyle="1" w:styleId="SectionNumber">
    <w:name w:val="Section Number"/>
    <w:rsid w:val="00FB1300"/>
    <w:rPr>
      <w:rFonts w:ascii="Times New Roman" w:hAnsi="Times New Roman" w:cs="Times New Roman"/>
      <w:b/>
      <w:color w:val="808080"/>
      <w:sz w:val="72"/>
      <w:shd w:val="clear" w:color="auto" w:fill="auto"/>
    </w:rPr>
  </w:style>
  <w:style w:type="paragraph" w:styleId="Zaglavlje">
    <w:name w:val="header"/>
    <w:basedOn w:val="Normal"/>
    <w:link w:val="ZaglavljeChar"/>
    <w:uiPriority w:val="99"/>
    <w:rsid w:val="0015437F"/>
    <w:pPr>
      <w:tabs>
        <w:tab w:val="center" w:pos="4536"/>
        <w:tab w:val="right" w:pos="9072"/>
      </w:tabs>
    </w:pPr>
  </w:style>
  <w:style w:type="character" w:customStyle="1" w:styleId="ZaglavljeChar">
    <w:name w:val="Zaglavlje Char"/>
    <w:basedOn w:val="Zadanifontodlomka"/>
    <w:link w:val="Zaglavlje"/>
    <w:uiPriority w:val="99"/>
    <w:rsid w:val="0015437F"/>
    <w:rPr>
      <w:color w:val="000000"/>
      <w:szCs w:val="24"/>
      <w:shd w:val="clear" w:color="auto" w:fill="auto"/>
      <w:lang w:eastAsia="en-US"/>
    </w:rPr>
  </w:style>
  <w:style w:type="character" w:customStyle="1" w:styleId="PodnojeChar">
    <w:name w:val="Podnožje Char"/>
    <w:link w:val="Podnoje"/>
    <w:uiPriority w:val="99"/>
    <w:rsid w:val="00FB1300"/>
    <w:rPr>
      <w:rFonts w:eastAsia="Calibri"/>
      <w:color w:val="000000"/>
      <w:szCs w:val="22"/>
      <w:lang w:eastAsia="en-US"/>
    </w:rPr>
  </w:style>
  <w:style w:type="paragraph" w:customStyle="1" w:styleId="EPKitTCFrame">
    <w:name w:val="EPKit TC Frame"/>
    <w:basedOn w:val="Normal"/>
    <w:link w:val="EPKitTCFrameChar"/>
    <w:rsid w:val="0015437F"/>
    <w:rPr>
      <w:vanish/>
    </w:rPr>
  </w:style>
  <w:style w:type="character" w:customStyle="1" w:styleId="EPKitTCFrameChar">
    <w:name w:val="EPKit TC Frame Char"/>
    <w:basedOn w:val="Zadanifontodlomka"/>
    <w:link w:val="EPKitTCFrame"/>
    <w:rsid w:val="0015437F"/>
    <w:rPr>
      <w:rFonts w:eastAsia="Calibri"/>
      <w:vanish/>
      <w:color w:val="000000"/>
      <w:szCs w:val="22"/>
      <w:lang w:eastAsia="en-US"/>
    </w:rPr>
  </w:style>
  <w:style w:type="character" w:styleId="Hiperveza">
    <w:name w:val="Hyperlink"/>
    <w:basedOn w:val="Zadanifontodlomka"/>
    <w:uiPriority w:val="99"/>
    <w:unhideWhenUsed/>
    <w:rsid w:val="0015437F"/>
    <w:rPr>
      <w:color w:val="0000FF" w:themeColor="hyperlink"/>
      <w:u w:val="single"/>
      <w:shd w:val="clear" w:color="auto" w:fill="auto"/>
    </w:rPr>
  </w:style>
  <w:style w:type="character" w:customStyle="1" w:styleId="TekstfusnoteChar">
    <w:name w:val="Tekst fusnote Char"/>
    <w:aliases w:val="Footnote Text Char2 Char,Footnote Text Char1 Char Char,Footnote Text Char2 Char Char Char,Footnote Text Char1 Char Char Char Char,Footnote Text Char2 Char Char Char Char Char,Footnote Text Char Char1 Char Char Char Char Char"/>
    <w:link w:val="Tekstfusnote"/>
    <w:uiPriority w:val="99"/>
    <w:rsid w:val="00FB1300"/>
    <w:rPr>
      <w:rFonts w:eastAsia="Calibri"/>
      <w:color w:val="000000"/>
      <w:sz w:val="16"/>
      <w:lang w:eastAsia="en-US"/>
    </w:rPr>
  </w:style>
  <w:style w:type="character" w:customStyle="1" w:styleId="TekstkrajnjebiljekeChar">
    <w:name w:val="Tekst krajnje bilješke Char"/>
    <w:link w:val="Tekstkrajnjebiljeke"/>
    <w:uiPriority w:val="99"/>
    <w:semiHidden/>
    <w:rsid w:val="00FB1300"/>
    <w:rPr>
      <w:rFonts w:eastAsia="Calibri"/>
      <w:color w:val="000000"/>
      <w:sz w:val="16"/>
      <w:lang w:eastAsia="en-US"/>
    </w:rPr>
  </w:style>
  <w:style w:type="paragraph" w:styleId="Tekstbalonia">
    <w:name w:val="Balloon Text"/>
    <w:basedOn w:val="Normal"/>
    <w:link w:val="TekstbaloniaChar"/>
    <w:uiPriority w:val="99"/>
    <w:unhideWhenUsed/>
    <w:rsid w:val="007F624B"/>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rsid w:val="007F624B"/>
    <w:rPr>
      <w:rFonts w:ascii="Tahoma" w:eastAsia="Calibri" w:hAnsi="Tahoma" w:cs="Tahoma"/>
      <w:color w:val="000000"/>
      <w:sz w:val="16"/>
      <w:szCs w:val="16"/>
      <w:shd w:val="clear" w:color="auto" w:fill="auto"/>
      <w:lang w:eastAsia="en-US"/>
    </w:rPr>
  </w:style>
  <w:style w:type="character" w:styleId="Referencakomentara">
    <w:name w:val="annotation reference"/>
    <w:basedOn w:val="Zadanifontodlomka"/>
    <w:uiPriority w:val="99"/>
    <w:unhideWhenUsed/>
    <w:rsid w:val="007F624B"/>
    <w:rPr>
      <w:sz w:val="16"/>
      <w:szCs w:val="16"/>
      <w:shd w:val="clear" w:color="auto" w:fill="auto"/>
    </w:rPr>
  </w:style>
  <w:style w:type="paragraph" w:styleId="Tekstkomentara">
    <w:name w:val="annotation text"/>
    <w:basedOn w:val="Normal"/>
    <w:link w:val="TekstkomentaraChar"/>
    <w:uiPriority w:val="99"/>
    <w:unhideWhenUsed/>
    <w:rsid w:val="007F624B"/>
    <w:pPr>
      <w:spacing w:line="240" w:lineRule="auto"/>
    </w:pPr>
    <w:rPr>
      <w:szCs w:val="20"/>
    </w:rPr>
  </w:style>
  <w:style w:type="character" w:customStyle="1" w:styleId="TekstkomentaraChar">
    <w:name w:val="Tekst komentara Char"/>
    <w:basedOn w:val="Zadanifontodlomka"/>
    <w:link w:val="Tekstkomentara"/>
    <w:uiPriority w:val="99"/>
    <w:rsid w:val="007F624B"/>
    <w:rPr>
      <w:rFonts w:eastAsia="Calibri"/>
      <w:color w:val="000000"/>
      <w:shd w:val="clear" w:color="auto" w:fill="auto"/>
      <w:lang w:eastAsia="en-US"/>
    </w:rPr>
  </w:style>
  <w:style w:type="paragraph" w:styleId="Predmetkomentara">
    <w:name w:val="annotation subject"/>
    <w:basedOn w:val="Tekstkomentara"/>
    <w:next w:val="Tekstkomentara"/>
    <w:link w:val="PredmetkomentaraChar"/>
    <w:uiPriority w:val="99"/>
    <w:unhideWhenUsed/>
    <w:rsid w:val="007F624B"/>
    <w:rPr>
      <w:b/>
      <w:bCs/>
    </w:rPr>
  </w:style>
  <w:style w:type="character" w:customStyle="1" w:styleId="PredmetkomentaraChar">
    <w:name w:val="Predmet komentara Char"/>
    <w:basedOn w:val="TekstkomentaraChar"/>
    <w:link w:val="Predmetkomentara"/>
    <w:uiPriority w:val="99"/>
    <w:rsid w:val="007F624B"/>
    <w:rPr>
      <w:rFonts w:eastAsia="Calibri"/>
      <w:b/>
      <w:bCs/>
      <w:color w:val="000000"/>
      <w:shd w:val="clear" w:color="auto" w:fill="auto"/>
      <w:lang w:eastAsia="en-US"/>
    </w:rPr>
  </w:style>
  <w:style w:type="numbering" w:customStyle="1" w:styleId="NoList1">
    <w:name w:val="No List1"/>
    <w:next w:val="Bezpopisa"/>
    <w:uiPriority w:val="99"/>
    <w:semiHidden/>
    <w:unhideWhenUsed/>
    <w:rsid w:val="007F624B"/>
  </w:style>
  <w:style w:type="paragraph" w:customStyle="1" w:styleId="MyHeading2">
    <w:name w:val="MyHeading2"/>
    <w:basedOn w:val="Normal"/>
    <w:rsid w:val="007F624B"/>
    <w:pPr>
      <w:numPr>
        <w:ilvl w:val="1"/>
        <w:numId w:val="14"/>
      </w:numPr>
      <w:spacing w:after="0" w:line="240" w:lineRule="auto"/>
      <w:jc w:val="left"/>
    </w:pPr>
    <w:rPr>
      <w:rFonts w:eastAsia="Times New Roman"/>
      <w:b/>
      <w:color w:val="auto"/>
      <w:sz w:val="32"/>
      <w:szCs w:val="24"/>
      <w:lang w:val="fr-BE" w:eastAsia="en-GB"/>
    </w:rPr>
  </w:style>
  <w:style w:type="paragraph" w:customStyle="1" w:styleId="MyHeading3">
    <w:name w:val="MyHeading3"/>
    <w:basedOn w:val="Normal"/>
    <w:autoRedefine/>
    <w:rsid w:val="007F624B"/>
    <w:pPr>
      <w:numPr>
        <w:ilvl w:val="2"/>
        <w:numId w:val="14"/>
      </w:numPr>
      <w:spacing w:before="120" w:after="120" w:line="240" w:lineRule="auto"/>
      <w:jc w:val="left"/>
    </w:pPr>
    <w:rPr>
      <w:rFonts w:eastAsia="Times New Roman"/>
      <w:b/>
      <w:color w:val="auto"/>
      <w:sz w:val="32"/>
      <w:szCs w:val="32"/>
      <w:lang w:val="fr-BE" w:eastAsia="en-GB"/>
    </w:rPr>
  </w:style>
  <w:style w:type="paragraph" w:customStyle="1" w:styleId="MyHeading4">
    <w:name w:val="MyHeading4"/>
    <w:basedOn w:val="Normal"/>
    <w:autoRedefine/>
    <w:rsid w:val="007F624B"/>
    <w:pPr>
      <w:numPr>
        <w:ilvl w:val="3"/>
        <w:numId w:val="14"/>
      </w:numPr>
      <w:spacing w:before="120" w:after="120" w:line="240" w:lineRule="auto"/>
      <w:jc w:val="left"/>
    </w:pPr>
    <w:rPr>
      <w:rFonts w:eastAsia="Times New Roman"/>
      <w:b/>
      <w:color w:val="auto"/>
      <w:sz w:val="24"/>
      <w:szCs w:val="24"/>
      <w:lang w:val="fr-BE" w:eastAsia="en-GB"/>
    </w:rPr>
  </w:style>
  <w:style w:type="paragraph" w:customStyle="1" w:styleId="MyHeading5">
    <w:name w:val="MyHeading5"/>
    <w:basedOn w:val="Normal"/>
    <w:autoRedefine/>
    <w:rsid w:val="007F624B"/>
    <w:pPr>
      <w:keepNext/>
      <w:keepLines/>
      <w:numPr>
        <w:ilvl w:val="4"/>
        <w:numId w:val="14"/>
      </w:numPr>
      <w:tabs>
        <w:tab w:val="left" w:pos="1418"/>
      </w:tabs>
      <w:spacing w:after="0" w:line="240" w:lineRule="auto"/>
      <w:ind w:left="1248"/>
      <w:jc w:val="left"/>
    </w:pPr>
    <w:rPr>
      <w:rFonts w:eastAsia="Times New Roman"/>
      <w:i/>
      <w:color w:val="auto"/>
      <w:sz w:val="24"/>
      <w:szCs w:val="24"/>
      <w:lang w:val="fr-BE" w:eastAsia="en-GB"/>
    </w:rPr>
  </w:style>
  <w:style w:type="paragraph" w:customStyle="1" w:styleId="Nastevanjeviri">
    <w:name w:val="Nastevanje_viri"/>
    <w:basedOn w:val="Normal"/>
    <w:autoRedefine/>
    <w:rsid w:val="007F624B"/>
    <w:pPr>
      <w:numPr>
        <w:numId w:val="15"/>
      </w:numPr>
      <w:autoSpaceDE w:val="0"/>
      <w:autoSpaceDN w:val="0"/>
      <w:adjustRightInd w:val="0"/>
      <w:spacing w:after="200" w:line="240" w:lineRule="auto"/>
    </w:pPr>
    <w:rPr>
      <w:rFonts w:ascii="Myriad Pro" w:eastAsia="Times New Roman" w:hAnsi="Myriad Pro"/>
      <w:noProof/>
      <w:color w:val="auto"/>
      <w:sz w:val="16"/>
      <w:szCs w:val="16"/>
      <w:lang w:val="sl-SI" w:eastAsia="sl-SI"/>
    </w:rPr>
  </w:style>
  <w:style w:type="paragraph" w:styleId="Sadraj4">
    <w:name w:val="toc 4"/>
    <w:basedOn w:val="Normal"/>
    <w:next w:val="Normal"/>
    <w:autoRedefine/>
    <w:uiPriority w:val="39"/>
    <w:unhideWhenUsed/>
    <w:rsid w:val="007F624B"/>
    <w:pPr>
      <w:spacing w:after="100" w:line="276" w:lineRule="auto"/>
      <w:ind w:left="660"/>
      <w:jc w:val="left"/>
    </w:pPr>
    <w:rPr>
      <w:rFonts w:asciiTheme="minorHAnsi" w:eastAsiaTheme="minorEastAsia" w:hAnsiTheme="minorHAnsi" w:cstheme="minorBidi"/>
      <w:color w:val="auto"/>
      <w:sz w:val="22"/>
      <w:lang w:eastAsia="en-GB"/>
    </w:rPr>
  </w:style>
  <w:style w:type="paragraph" w:styleId="Sadraj8">
    <w:name w:val="toc 8"/>
    <w:basedOn w:val="Normal"/>
    <w:next w:val="Normal"/>
    <w:autoRedefine/>
    <w:uiPriority w:val="39"/>
    <w:unhideWhenUsed/>
    <w:rsid w:val="007F624B"/>
    <w:pPr>
      <w:spacing w:after="100" w:line="276" w:lineRule="auto"/>
      <w:ind w:left="1540"/>
      <w:jc w:val="left"/>
    </w:pPr>
    <w:rPr>
      <w:rFonts w:asciiTheme="minorHAnsi" w:eastAsiaTheme="minorEastAsia" w:hAnsiTheme="minorHAnsi" w:cstheme="minorBidi"/>
      <w:color w:val="auto"/>
      <w:sz w:val="22"/>
      <w:lang w:eastAsia="en-GB"/>
    </w:rPr>
  </w:style>
  <w:style w:type="paragraph" w:styleId="Sadraj9">
    <w:name w:val="toc 9"/>
    <w:basedOn w:val="Normal"/>
    <w:next w:val="Normal"/>
    <w:autoRedefine/>
    <w:uiPriority w:val="39"/>
    <w:unhideWhenUsed/>
    <w:rsid w:val="007F624B"/>
    <w:pPr>
      <w:spacing w:after="100" w:line="276" w:lineRule="auto"/>
      <w:ind w:left="1760"/>
      <w:jc w:val="left"/>
    </w:pPr>
    <w:rPr>
      <w:rFonts w:asciiTheme="minorHAnsi" w:eastAsiaTheme="minorEastAsia" w:hAnsiTheme="minorHAnsi" w:cstheme="minorBidi"/>
      <w:color w:val="auto"/>
      <w:sz w:val="22"/>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qFormat="1"/>
    <w:lsdException w:name="footnote reference" w:uiPriority="99"/>
    <w:lsdException w:name="annotation reference" w:uiPriority="99"/>
    <w:lsdException w:name="endnote reference" w:uiPriority="99"/>
    <w:lsdException w:name="endnote text" w:uiPriority="99"/>
    <w:lsdException w:name="List Bullet"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F3ED8"/>
    <w:pPr>
      <w:spacing w:after="240" w:line="240" w:lineRule="atLeast"/>
      <w:jc w:val="both"/>
    </w:pPr>
    <w:rPr>
      <w:rFonts w:eastAsia="Calibri"/>
      <w:color w:val="000000"/>
      <w:szCs w:val="22"/>
      <w:lang w:eastAsia="en-US"/>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Sadraj2">
    <w:name w:val="toc 2"/>
    <w:basedOn w:val="Normal"/>
    <w:uiPriority w:val="39"/>
    <w:unhideWhenUsed/>
    <w:rsid w:val="00FB1300"/>
    <w:pPr>
      <w:keepLines/>
      <w:tabs>
        <w:tab w:val="left" w:pos="1417"/>
        <w:tab w:val="left" w:pos="1559"/>
        <w:tab w:val="right" w:pos="8504"/>
      </w:tabs>
      <w:spacing w:before="20" w:after="0"/>
      <w:ind w:left="1417" w:right="425" w:hanging="425"/>
      <w:jc w:val="left"/>
    </w:pPr>
    <w:rPr>
      <w:rFonts w:ascii="Century Gothic" w:hAnsi="Century Gothic"/>
      <w:color w:val="333399"/>
    </w:rPr>
  </w:style>
  <w:style w:type="paragraph" w:styleId="Sadraj1">
    <w:name w:val="toc 1"/>
    <w:basedOn w:val="Normal"/>
    <w:next w:val="Sadraj2"/>
    <w:uiPriority w:val="39"/>
    <w:unhideWhenUsed/>
    <w:rsid w:val="00FB1300"/>
    <w:pPr>
      <w:keepNext/>
      <w:keepLines/>
      <w:tabs>
        <w:tab w:val="left" w:pos="992"/>
        <w:tab w:val="left" w:pos="1134"/>
        <w:tab w:val="right" w:pos="8504"/>
      </w:tabs>
      <w:spacing w:before="320" w:after="120"/>
      <w:ind w:left="992" w:right="425" w:hanging="992"/>
      <w:jc w:val="left"/>
    </w:pPr>
    <w:rPr>
      <w:rFonts w:ascii="Century Gothic" w:hAnsi="Century Gothic"/>
      <w:color w:val="333399"/>
      <w:sz w:val="24"/>
    </w:rPr>
  </w:style>
  <w:style w:type="paragraph" w:styleId="Sadraj3">
    <w:name w:val="toc 3"/>
    <w:basedOn w:val="Normal"/>
    <w:uiPriority w:val="39"/>
    <w:unhideWhenUsed/>
    <w:rsid w:val="00FB1300"/>
    <w:pPr>
      <w:keepLines/>
      <w:tabs>
        <w:tab w:val="left" w:pos="1984"/>
        <w:tab w:val="left" w:pos="2126"/>
        <w:tab w:val="right" w:pos="8504"/>
      </w:tabs>
      <w:spacing w:before="20" w:after="0"/>
      <w:ind w:left="1984" w:right="425" w:hanging="567"/>
      <w:jc w:val="left"/>
    </w:pPr>
    <w:rPr>
      <w:rFonts w:ascii="Century Gothic" w:hAnsi="Century Gothic"/>
      <w:sz w:val="16"/>
    </w:rPr>
  </w:style>
  <w:style w:type="paragraph" w:styleId="Sadraj5">
    <w:name w:val="toc 5"/>
    <w:basedOn w:val="Normal"/>
    <w:uiPriority w:val="39"/>
    <w:unhideWhenUsed/>
    <w:rsid w:val="00FB1300"/>
    <w:pPr>
      <w:keepLines/>
      <w:tabs>
        <w:tab w:val="left" w:pos="1701"/>
        <w:tab w:val="left" w:pos="1843"/>
        <w:tab w:val="right" w:pos="8504"/>
      </w:tabs>
      <w:spacing w:before="20" w:after="0"/>
      <w:ind w:left="1701" w:right="425" w:hanging="709"/>
      <w:jc w:val="left"/>
    </w:pPr>
    <w:rPr>
      <w:rFonts w:ascii="Century Gothic" w:hAnsi="Century Gothic"/>
      <w:color w:val="333399"/>
      <w:sz w:val="18"/>
    </w:rPr>
  </w:style>
  <w:style w:type="paragraph" w:styleId="Sadraj6">
    <w:name w:val="toc 6"/>
    <w:basedOn w:val="Normal"/>
    <w:uiPriority w:val="39"/>
    <w:unhideWhenUsed/>
    <w:rsid w:val="00FB1300"/>
    <w:pPr>
      <w:keepLines/>
      <w:tabs>
        <w:tab w:val="right" w:pos="8504"/>
      </w:tabs>
      <w:spacing w:after="0"/>
      <w:ind w:left="1786" w:right="425" w:hanging="425"/>
      <w:jc w:val="left"/>
    </w:pPr>
    <w:rPr>
      <w:rFonts w:ascii="Century Gothic" w:hAnsi="Century Gothic"/>
      <w:color w:val="333399"/>
    </w:rPr>
  </w:style>
  <w:style w:type="paragraph" w:styleId="Sadraj7">
    <w:name w:val="toc 7"/>
    <w:basedOn w:val="Normal"/>
    <w:uiPriority w:val="39"/>
    <w:unhideWhenUsed/>
    <w:rsid w:val="00FB1300"/>
    <w:pPr>
      <w:keepNext/>
      <w:keepLines/>
      <w:tabs>
        <w:tab w:val="right" w:pos="8504"/>
      </w:tabs>
      <w:spacing w:before="320" w:after="120"/>
      <w:ind w:right="425"/>
      <w:jc w:val="left"/>
    </w:pPr>
    <w:rPr>
      <w:rFonts w:ascii="Century Gothic" w:hAnsi="Century Gothic"/>
      <w:color w:val="333399"/>
      <w:sz w:val="24"/>
    </w:rPr>
  </w:style>
  <w:style w:type="paragraph" w:styleId="Tekstfusnote">
    <w:name w:val="footnote text"/>
    <w:aliases w:val="Footnote Text Char2,Footnote Text Char1 Char,Footnote Text Char2 Char Char,Footnote Text Char1 Char Char Char,Footnote Text Char2 Char Char Char Char,Footnote Text Char Char1 Char Char Char Char,Footnote Text Char1,Footnote Text Char2 Cha"/>
    <w:basedOn w:val="Normal"/>
    <w:link w:val="TekstfusnoteChar"/>
    <w:uiPriority w:val="99"/>
    <w:unhideWhenUsed/>
    <w:rsid w:val="00FB1300"/>
    <w:pPr>
      <w:spacing w:after="0" w:line="240" w:lineRule="auto"/>
      <w:ind w:left="283" w:hanging="283"/>
    </w:pPr>
    <w:rPr>
      <w:sz w:val="16"/>
      <w:szCs w:val="20"/>
    </w:rPr>
  </w:style>
  <w:style w:type="paragraph" w:styleId="Podnoje">
    <w:name w:val="footer"/>
    <w:basedOn w:val="Normal"/>
    <w:next w:val="Normal"/>
    <w:link w:val="PodnojeChar"/>
    <w:uiPriority w:val="99"/>
    <w:unhideWhenUsed/>
    <w:rsid w:val="00FB1300"/>
    <w:pPr>
      <w:spacing w:after="0" w:line="240" w:lineRule="auto"/>
      <w:jc w:val="left"/>
    </w:pPr>
  </w:style>
  <w:style w:type="paragraph" w:styleId="Tekstkrajnjebiljeke">
    <w:name w:val="endnote text"/>
    <w:basedOn w:val="Normal"/>
    <w:link w:val="TekstkrajnjebiljekeChar"/>
    <w:uiPriority w:val="99"/>
    <w:semiHidden/>
    <w:unhideWhenUsed/>
    <w:rsid w:val="00FB1300"/>
    <w:pPr>
      <w:spacing w:after="0" w:line="240" w:lineRule="auto"/>
      <w:ind w:left="283" w:hanging="283"/>
    </w:pPr>
    <w:rPr>
      <w:sz w:val="16"/>
      <w:szCs w:val="20"/>
    </w:rPr>
  </w:style>
  <w:style w:type="paragraph" w:styleId="Grafikeoznake">
    <w:name w:val="List Bullet"/>
    <w:basedOn w:val="Normal"/>
    <w:uiPriority w:val="99"/>
    <w:unhideWhenUsed/>
    <w:rsid w:val="00FB1300"/>
    <w:pPr>
      <w:numPr>
        <w:numId w:val="9"/>
      </w:numPr>
    </w:pPr>
  </w:style>
  <w:style w:type="paragraph" w:customStyle="1" w:styleId="NormalCompact">
    <w:name w:val="Normal Compact"/>
    <w:basedOn w:val="Normal"/>
    <w:rsid w:val="00FB1300"/>
    <w:pPr>
      <w:spacing w:after="0"/>
    </w:pPr>
  </w:style>
  <w:style w:type="paragraph" w:customStyle="1" w:styleId="NormalFramed">
    <w:name w:val="Normal Framed"/>
    <w:basedOn w:val="Normal"/>
    <w:next w:val="Normal"/>
    <w:rsid w:val="00FB1300"/>
    <w:pPr>
      <w:pBdr>
        <w:top w:val="single" w:sz="8" w:space="5" w:color="333399"/>
        <w:left w:val="single" w:sz="8" w:space="4" w:color="333399"/>
        <w:bottom w:val="single" w:sz="8" w:space="5" w:color="333399"/>
        <w:right w:val="single" w:sz="8" w:space="4" w:color="333399"/>
      </w:pBdr>
      <w:ind w:left="113" w:right="113"/>
    </w:pPr>
  </w:style>
  <w:style w:type="paragraph" w:customStyle="1" w:styleId="NormalLeft">
    <w:name w:val="Normal Left"/>
    <w:basedOn w:val="Normal"/>
    <w:rsid w:val="00FB1300"/>
    <w:pPr>
      <w:jc w:val="left"/>
    </w:pPr>
  </w:style>
  <w:style w:type="paragraph" w:customStyle="1" w:styleId="NormalRight">
    <w:name w:val="Normal Right"/>
    <w:basedOn w:val="Normal"/>
    <w:rsid w:val="00FB1300"/>
    <w:pPr>
      <w:jc w:val="right"/>
    </w:pPr>
  </w:style>
  <w:style w:type="paragraph" w:customStyle="1" w:styleId="NormalCentered">
    <w:name w:val="Normal Centered"/>
    <w:basedOn w:val="Normal"/>
    <w:rsid w:val="00FB1300"/>
    <w:pPr>
      <w:jc w:val="center"/>
    </w:pPr>
  </w:style>
  <w:style w:type="paragraph" w:customStyle="1" w:styleId="NormalNumbered">
    <w:name w:val="Normal Numbered"/>
    <w:basedOn w:val="Normal"/>
    <w:rsid w:val="00FB1300"/>
    <w:pPr>
      <w:numPr>
        <w:numId w:val="8"/>
      </w:numPr>
    </w:pPr>
  </w:style>
  <w:style w:type="paragraph" w:customStyle="1" w:styleId="SideNote">
    <w:name w:val="Side Note"/>
    <w:basedOn w:val="Normal"/>
    <w:next w:val="Normal"/>
    <w:rsid w:val="00FB1300"/>
    <w:pPr>
      <w:keepNext/>
      <w:framePr w:w="1701" w:h="567" w:hSpace="227" w:wrap="around" w:vAnchor="text" w:hAnchor="page" w:xAlign="outside" w:y="1"/>
      <w:spacing w:after="200" w:line="240" w:lineRule="auto"/>
      <w:jc w:val="left"/>
    </w:pPr>
    <w:rPr>
      <w:rFonts w:ascii="Century Gothic" w:hAnsi="Century Gothic"/>
      <w:color w:val="333399"/>
      <w:sz w:val="14"/>
    </w:rPr>
  </w:style>
  <w:style w:type="paragraph" w:customStyle="1" w:styleId="SubsectionTitle">
    <w:name w:val="Subsection Title"/>
    <w:basedOn w:val="Normal"/>
    <w:next w:val="Normal"/>
    <w:rsid w:val="00FB1300"/>
    <w:pPr>
      <w:keepNext/>
      <w:pageBreakBefore/>
      <w:spacing w:before="240"/>
      <w:ind w:left="567" w:hanging="567"/>
      <w:outlineLvl w:val="2"/>
    </w:pPr>
    <w:rPr>
      <w:rFonts w:ascii="Century Gothic" w:hAnsi="Century Gothic"/>
      <w:b/>
      <w:caps/>
      <w:color w:val="333399"/>
      <w:sz w:val="18"/>
    </w:rPr>
  </w:style>
  <w:style w:type="paragraph" w:customStyle="1" w:styleId="NumberedList">
    <w:name w:val="Numbered List"/>
    <w:basedOn w:val="Normal"/>
    <w:rsid w:val="00FB1300"/>
    <w:pPr>
      <w:numPr>
        <w:numId w:val="7"/>
      </w:numPr>
    </w:pPr>
  </w:style>
  <w:style w:type="paragraph" w:customStyle="1" w:styleId="Heading">
    <w:name w:val="Heading"/>
    <w:basedOn w:val="Normal"/>
    <w:next w:val="Normal"/>
    <w:rsid w:val="00FB1300"/>
    <w:pPr>
      <w:keepNext/>
      <w:spacing w:before="120" w:after="120"/>
      <w:jc w:val="left"/>
    </w:pPr>
    <w:rPr>
      <w:rFonts w:ascii="Century Gothic" w:hAnsi="Century Gothic"/>
      <w:b/>
      <w:color w:val="333399"/>
      <w:sz w:val="18"/>
    </w:rPr>
  </w:style>
  <w:style w:type="paragraph" w:customStyle="1" w:styleId="NumberedHeading1">
    <w:name w:val="Numbered Heading 1"/>
    <w:basedOn w:val="Normal"/>
    <w:next w:val="Normal"/>
    <w:rsid w:val="00FB1300"/>
    <w:pPr>
      <w:keepNext/>
      <w:spacing w:before="240"/>
      <w:ind w:left="567" w:hanging="567"/>
      <w:jc w:val="left"/>
      <w:outlineLvl w:val="2"/>
    </w:pPr>
    <w:rPr>
      <w:rFonts w:ascii="Century Gothic" w:hAnsi="Century Gothic"/>
      <w:b/>
      <w:caps/>
      <w:color w:val="333399"/>
      <w:sz w:val="18"/>
    </w:rPr>
  </w:style>
  <w:style w:type="paragraph" w:customStyle="1" w:styleId="NumberedHeading2">
    <w:name w:val="Numbered Heading 2"/>
    <w:basedOn w:val="Normal"/>
    <w:next w:val="Normal"/>
    <w:rsid w:val="00FB1300"/>
    <w:pPr>
      <w:keepNext/>
      <w:spacing w:before="80" w:after="160"/>
      <w:ind w:left="567" w:hanging="567"/>
      <w:jc w:val="left"/>
      <w:outlineLvl w:val="3"/>
    </w:pPr>
    <w:rPr>
      <w:rFonts w:ascii="Century Gothic" w:hAnsi="Century Gothic"/>
      <w:color w:val="333399"/>
      <w:sz w:val="18"/>
    </w:rPr>
  </w:style>
  <w:style w:type="paragraph" w:customStyle="1" w:styleId="NumberedHeading3">
    <w:name w:val="Numbered Heading 3"/>
    <w:basedOn w:val="Normal"/>
    <w:next w:val="Normal"/>
    <w:rsid w:val="00FB1300"/>
    <w:pPr>
      <w:keepNext/>
      <w:spacing w:before="80" w:after="160"/>
      <w:ind w:left="709" w:hanging="709"/>
      <w:jc w:val="left"/>
      <w:outlineLvl w:val="3"/>
    </w:pPr>
    <w:rPr>
      <w:rFonts w:ascii="Century Gothic" w:hAnsi="Century Gothic"/>
      <w:i/>
      <w:color w:val="333399"/>
      <w:sz w:val="18"/>
    </w:rPr>
  </w:style>
  <w:style w:type="paragraph" w:customStyle="1" w:styleId="HeadingTop">
    <w:name w:val="Heading Top"/>
    <w:basedOn w:val="Heading"/>
    <w:next w:val="Normal"/>
    <w:rsid w:val="00FB1300"/>
    <w:pPr>
      <w:spacing w:before="0"/>
    </w:pPr>
  </w:style>
  <w:style w:type="paragraph" w:customStyle="1" w:styleId="NumberedHeading1Top">
    <w:name w:val="Numbered Heading 1 Top"/>
    <w:basedOn w:val="NumberedHeading1"/>
    <w:next w:val="Normal"/>
    <w:rsid w:val="00FB1300"/>
    <w:pPr>
      <w:spacing w:before="0"/>
    </w:pPr>
  </w:style>
  <w:style w:type="paragraph" w:customStyle="1" w:styleId="NumberedHeading2Top">
    <w:name w:val="Numbered Heading 2 Top"/>
    <w:basedOn w:val="NumberedHeading2"/>
    <w:next w:val="Normal"/>
    <w:rsid w:val="00FB1300"/>
    <w:pPr>
      <w:spacing w:before="0"/>
    </w:pPr>
  </w:style>
  <w:style w:type="paragraph" w:customStyle="1" w:styleId="NumberedHeading3Top">
    <w:name w:val="Numbered Heading 3 Top"/>
    <w:basedOn w:val="NumberedHeading3"/>
    <w:next w:val="Normal"/>
    <w:rsid w:val="00FB1300"/>
    <w:pPr>
      <w:spacing w:before="0"/>
    </w:pPr>
  </w:style>
  <w:style w:type="paragraph" w:customStyle="1" w:styleId="ListDash">
    <w:name w:val="List Dash"/>
    <w:basedOn w:val="Normal"/>
    <w:rsid w:val="00FB1300"/>
    <w:pPr>
      <w:numPr>
        <w:numId w:val="10"/>
      </w:numPr>
    </w:pPr>
  </w:style>
  <w:style w:type="paragraph" w:customStyle="1" w:styleId="ChapterName">
    <w:name w:val="Chapter Name"/>
    <w:basedOn w:val="Normal"/>
    <w:next w:val="Normal"/>
    <w:rsid w:val="00FB1300"/>
    <w:pPr>
      <w:spacing w:before="1080" w:line="240" w:lineRule="auto"/>
      <w:jc w:val="left"/>
    </w:pPr>
    <w:rPr>
      <w:b/>
      <w:color w:val="808080"/>
      <w:sz w:val="72"/>
    </w:rPr>
  </w:style>
  <w:style w:type="paragraph" w:customStyle="1" w:styleId="ChapterTitle">
    <w:name w:val="Chapter Title"/>
    <w:basedOn w:val="Normal"/>
    <w:next w:val="Normal"/>
    <w:rsid w:val="00FB1300"/>
    <w:pPr>
      <w:spacing w:line="240" w:lineRule="auto"/>
      <w:jc w:val="left"/>
    </w:pPr>
    <w:rPr>
      <w:rFonts w:ascii="Century Gothic" w:hAnsi="Century Gothic"/>
      <w:color w:val="333399"/>
      <w:sz w:val="36"/>
    </w:rPr>
  </w:style>
  <w:style w:type="paragraph" w:customStyle="1" w:styleId="SectionSubtitle">
    <w:name w:val="Section Subtitle"/>
    <w:basedOn w:val="Normal"/>
    <w:next w:val="Normal"/>
    <w:rsid w:val="00FB1300"/>
    <w:pPr>
      <w:spacing w:after="360" w:line="240" w:lineRule="auto"/>
      <w:ind w:left="992"/>
      <w:jc w:val="left"/>
    </w:pPr>
    <w:rPr>
      <w:rFonts w:ascii="Century Gothic" w:hAnsi="Century Gothic"/>
      <w:color w:val="333399"/>
      <w:sz w:val="24"/>
    </w:rPr>
  </w:style>
  <w:style w:type="paragraph" w:customStyle="1" w:styleId="SectionTitle">
    <w:name w:val="Section Title"/>
    <w:basedOn w:val="Normal"/>
    <w:next w:val="SectionSubtitle"/>
    <w:rsid w:val="00FB1300"/>
    <w:pPr>
      <w:keepNext/>
      <w:spacing w:before="1080" w:line="240" w:lineRule="auto"/>
      <w:ind w:left="992" w:hanging="992"/>
      <w:jc w:val="left"/>
    </w:pPr>
    <w:rPr>
      <w:rFonts w:ascii="Century Gothic" w:hAnsi="Century Gothic"/>
      <w:caps/>
      <w:color w:val="333399"/>
      <w:sz w:val="28"/>
    </w:rPr>
  </w:style>
  <w:style w:type="paragraph" w:customStyle="1" w:styleId="SectionTitletwolines">
    <w:name w:val="Section Title (two lines)"/>
    <w:basedOn w:val="Normal"/>
    <w:next w:val="SectionSubtitle"/>
    <w:rsid w:val="00FB1300"/>
    <w:pPr>
      <w:keepNext/>
      <w:spacing w:before="600" w:after="0" w:line="240" w:lineRule="auto"/>
      <w:ind w:left="992" w:hanging="992"/>
      <w:jc w:val="left"/>
    </w:pPr>
    <w:rPr>
      <w:rFonts w:ascii="Century Gothic" w:hAnsi="Century Gothic"/>
      <w:caps/>
      <w:color w:val="333399"/>
      <w:sz w:val="28"/>
    </w:rPr>
  </w:style>
  <w:style w:type="paragraph" w:customStyle="1" w:styleId="HeaderTitleLeft">
    <w:name w:val="Header Title Left"/>
    <w:basedOn w:val="Normal"/>
    <w:next w:val="Normal"/>
    <w:rsid w:val="00FB1300"/>
    <w:pPr>
      <w:tabs>
        <w:tab w:val="right" w:pos="8220"/>
      </w:tabs>
      <w:spacing w:before="100" w:after="40" w:line="240" w:lineRule="auto"/>
      <w:ind w:left="-850"/>
    </w:pPr>
    <w:rPr>
      <w:rFonts w:ascii="Century Gothic" w:hAnsi="Century Gothic"/>
      <w:color w:val="333399"/>
      <w:sz w:val="14"/>
    </w:rPr>
  </w:style>
  <w:style w:type="paragraph" w:customStyle="1" w:styleId="HeaderSubtitleLeft">
    <w:name w:val="Header Subtitle Left"/>
    <w:basedOn w:val="Normal"/>
    <w:next w:val="Normal"/>
    <w:rsid w:val="00FB1300"/>
    <w:pPr>
      <w:tabs>
        <w:tab w:val="right" w:pos="8220"/>
      </w:tabs>
      <w:spacing w:after="0" w:line="240" w:lineRule="auto"/>
      <w:ind w:left="-850"/>
    </w:pPr>
    <w:rPr>
      <w:rFonts w:ascii="Century Gothic" w:hAnsi="Century Gothic"/>
      <w:color w:val="333399"/>
      <w:sz w:val="14"/>
    </w:rPr>
  </w:style>
  <w:style w:type="paragraph" w:customStyle="1" w:styleId="HeaderTitleRight">
    <w:name w:val="Header Title Right"/>
    <w:basedOn w:val="Normal"/>
    <w:next w:val="Normal"/>
    <w:rsid w:val="00FB1300"/>
    <w:pPr>
      <w:spacing w:before="100" w:after="40" w:line="240" w:lineRule="auto"/>
      <w:ind w:right="-850"/>
      <w:jc w:val="right"/>
    </w:pPr>
    <w:rPr>
      <w:rFonts w:ascii="Century Gothic" w:hAnsi="Century Gothic"/>
      <w:color w:val="333399"/>
      <w:sz w:val="14"/>
    </w:rPr>
  </w:style>
  <w:style w:type="paragraph" w:customStyle="1" w:styleId="HeaderSubtitleRight">
    <w:name w:val="Header Subtitle Right"/>
    <w:basedOn w:val="Normal"/>
    <w:next w:val="Normal"/>
    <w:rsid w:val="00FB1300"/>
    <w:pPr>
      <w:spacing w:after="0" w:line="240" w:lineRule="auto"/>
      <w:ind w:right="-850"/>
      <w:jc w:val="right"/>
    </w:pPr>
    <w:rPr>
      <w:rFonts w:ascii="Century Gothic" w:hAnsi="Century Gothic"/>
      <w:color w:val="333399"/>
      <w:sz w:val="14"/>
    </w:rPr>
  </w:style>
  <w:style w:type="paragraph" w:customStyle="1" w:styleId="FooterPageNumber">
    <w:name w:val="Footer PageNumber"/>
    <w:basedOn w:val="Normal"/>
    <w:next w:val="Normal"/>
    <w:rsid w:val="00FB1300"/>
    <w:pPr>
      <w:framePr w:w="567" w:hSpace="992" w:wrap="around" w:vAnchor="page" w:hAnchor="page" w:xAlign="outside" w:y="16046"/>
      <w:spacing w:after="0" w:line="240" w:lineRule="auto"/>
      <w:jc w:val="center"/>
    </w:pPr>
    <w:rPr>
      <w:rFonts w:ascii="Century Gothic" w:hAnsi="Century Gothic"/>
      <w:color w:val="333399"/>
      <w:sz w:val="18"/>
    </w:rPr>
  </w:style>
  <w:style w:type="paragraph" w:customStyle="1" w:styleId="AnnexTitle">
    <w:name w:val="Annex Title"/>
    <w:basedOn w:val="Normal"/>
    <w:rsid w:val="00FB1300"/>
    <w:pPr>
      <w:spacing w:before="120" w:after="120" w:line="240" w:lineRule="auto"/>
      <w:jc w:val="left"/>
    </w:pPr>
    <w:rPr>
      <w:rFonts w:ascii="Century Gothic" w:hAnsi="Century Gothic"/>
      <w:color w:val="333399"/>
      <w:sz w:val="28"/>
    </w:rPr>
  </w:style>
  <w:style w:type="paragraph" w:customStyle="1" w:styleId="PublicationTitle">
    <w:name w:val="Publication Title"/>
    <w:basedOn w:val="Normal"/>
    <w:next w:val="Normal"/>
    <w:rsid w:val="00FB1300"/>
    <w:pPr>
      <w:spacing w:line="240" w:lineRule="auto"/>
      <w:jc w:val="left"/>
    </w:pPr>
    <w:rPr>
      <w:rFonts w:ascii="Georgia" w:hAnsi="Georgia"/>
      <w:color w:val="333399"/>
      <w:sz w:val="48"/>
    </w:rPr>
  </w:style>
  <w:style w:type="paragraph" w:customStyle="1" w:styleId="PublicationSubtitle">
    <w:name w:val="Publication Subtitle"/>
    <w:basedOn w:val="Normal"/>
    <w:next w:val="Normal"/>
    <w:rsid w:val="00FB1300"/>
    <w:pPr>
      <w:spacing w:line="240" w:lineRule="auto"/>
      <w:jc w:val="left"/>
    </w:pPr>
    <w:rPr>
      <w:rFonts w:ascii="Century Gothic" w:hAnsi="Century Gothic"/>
      <w:sz w:val="32"/>
    </w:rPr>
  </w:style>
  <w:style w:type="paragraph" w:customStyle="1" w:styleId="Series">
    <w:name w:val="Series"/>
    <w:basedOn w:val="Normal"/>
    <w:next w:val="Normal"/>
    <w:rsid w:val="00FB1300"/>
    <w:pPr>
      <w:tabs>
        <w:tab w:val="right" w:pos="8787"/>
      </w:tabs>
      <w:spacing w:before="5400" w:line="240" w:lineRule="auto"/>
      <w:jc w:val="left"/>
    </w:pPr>
    <w:rPr>
      <w:rFonts w:ascii="Century Gothic" w:hAnsi="Century Gothic"/>
      <w:color w:val="333399"/>
    </w:rPr>
  </w:style>
  <w:style w:type="paragraph" w:customStyle="1" w:styleId="Institution">
    <w:name w:val="Institution"/>
    <w:basedOn w:val="Normal"/>
    <w:next w:val="Normal"/>
    <w:rsid w:val="009F3ED8"/>
    <w:pPr>
      <w:spacing w:after="120" w:line="240" w:lineRule="auto"/>
      <w:jc w:val="left"/>
    </w:pPr>
    <w:rPr>
      <w:rFonts w:ascii="Century Gothic" w:hAnsi="Century Gothic"/>
      <w:sz w:val="24"/>
    </w:rPr>
  </w:style>
  <w:style w:type="paragraph" w:customStyle="1" w:styleId="InstitutionSubtitle">
    <w:name w:val="Institution Subtitle"/>
    <w:basedOn w:val="Normal"/>
    <w:next w:val="Normal"/>
    <w:rsid w:val="00FB1300"/>
    <w:pPr>
      <w:spacing w:line="240" w:lineRule="auto"/>
      <w:jc w:val="left"/>
    </w:pPr>
    <w:rPr>
      <w:rFonts w:ascii="Century Gothic" w:hAnsi="Century Gothic"/>
    </w:rPr>
  </w:style>
  <w:style w:type="paragraph" w:customStyle="1" w:styleId="PartTitle">
    <w:name w:val="Part Title"/>
    <w:basedOn w:val="Normal"/>
    <w:next w:val="Normal"/>
    <w:rsid w:val="00FB1300"/>
    <w:pPr>
      <w:spacing w:before="1080" w:line="240" w:lineRule="auto"/>
      <w:jc w:val="left"/>
    </w:pPr>
    <w:rPr>
      <w:rFonts w:ascii="Georgia" w:hAnsi="Georgia"/>
      <w:color w:val="333399"/>
      <w:sz w:val="40"/>
    </w:rPr>
  </w:style>
  <w:style w:type="paragraph" w:customStyle="1" w:styleId="PartSubtitle">
    <w:name w:val="Part Subtitle"/>
    <w:basedOn w:val="Normal"/>
    <w:next w:val="Normal"/>
    <w:rsid w:val="00FB1300"/>
    <w:pPr>
      <w:spacing w:line="240" w:lineRule="auto"/>
      <w:jc w:val="left"/>
    </w:pPr>
    <w:rPr>
      <w:rFonts w:ascii="Georgia" w:hAnsi="Georgia"/>
      <w:color w:val="333399"/>
      <w:sz w:val="32"/>
    </w:rPr>
  </w:style>
  <w:style w:type="paragraph" w:customStyle="1" w:styleId="HeaderTitleLeft30">
    <w:name w:val="Header Title Left (30)"/>
    <w:basedOn w:val="Normal"/>
    <w:next w:val="Normal"/>
    <w:rsid w:val="00FB1300"/>
    <w:pPr>
      <w:tabs>
        <w:tab w:val="right" w:pos="8504"/>
      </w:tabs>
      <w:spacing w:before="100" w:after="40" w:line="240" w:lineRule="auto"/>
      <w:ind w:left="-850"/>
    </w:pPr>
    <w:rPr>
      <w:rFonts w:ascii="Century Gothic" w:hAnsi="Century Gothic"/>
      <w:color w:val="333399"/>
      <w:sz w:val="14"/>
    </w:rPr>
  </w:style>
  <w:style w:type="paragraph" w:customStyle="1" w:styleId="HeaderSubtitleLeft30">
    <w:name w:val="Header Subtitle Left (30)"/>
    <w:basedOn w:val="Normal"/>
    <w:next w:val="Normal"/>
    <w:rsid w:val="00FB1300"/>
    <w:pPr>
      <w:tabs>
        <w:tab w:val="right" w:pos="8504"/>
      </w:tabs>
      <w:spacing w:after="0" w:line="240" w:lineRule="auto"/>
      <w:ind w:left="-850"/>
    </w:pPr>
    <w:rPr>
      <w:rFonts w:ascii="Century Gothic" w:hAnsi="Century Gothic"/>
      <w:color w:val="333399"/>
      <w:sz w:val="14"/>
    </w:rPr>
  </w:style>
  <w:style w:type="paragraph" w:customStyle="1" w:styleId="HeaderTitleRight30">
    <w:name w:val="Header Title Right (30)"/>
    <w:basedOn w:val="Normal"/>
    <w:next w:val="Normal"/>
    <w:rsid w:val="00FB1300"/>
    <w:pPr>
      <w:spacing w:before="100" w:after="40" w:line="240" w:lineRule="auto"/>
      <w:ind w:right="-850"/>
      <w:jc w:val="right"/>
    </w:pPr>
    <w:rPr>
      <w:rFonts w:ascii="Century Gothic" w:hAnsi="Century Gothic"/>
      <w:color w:val="333399"/>
      <w:sz w:val="14"/>
    </w:rPr>
  </w:style>
  <w:style w:type="paragraph" w:customStyle="1" w:styleId="HeaderSubtitleRight30">
    <w:name w:val="Header Subtitle Right (30)"/>
    <w:basedOn w:val="Normal"/>
    <w:next w:val="Normal"/>
    <w:rsid w:val="00FB1300"/>
    <w:pPr>
      <w:spacing w:after="0" w:line="240" w:lineRule="auto"/>
      <w:ind w:right="-850"/>
      <w:jc w:val="right"/>
    </w:pPr>
    <w:rPr>
      <w:rFonts w:ascii="Century Gothic" w:hAnsi="Century Gothic"/>
      <w:color w:val="333399"/>
      <w:sz w:val="14"/>
    </w:rPr>
  </w:style>
  <w:style w:type="paragraph" w:customStyle="1" w:styleId="FooterPageNumber30">
    <w:name w:val="Footer PageNumber (30)"/>
    <w:basedOn w:val="Normal"/>
    <w:next w:val="Normal"/>
    <w:rsid w:val="00FB1300"/>
    <w:pPr>
      <w:framePr w:w="567" w:hSpace="567" w:wrap="around" w:vAnchor="page" w:hAnchor="page" w:xAlign="outside" w:y="16046"/>
      <w:spacing w:after="0" w:line="240" w:lineRule="auto"/>
      <w:jc w:val="center"/>
    </w:pPr>
    <w:rPr>
      <w:rFonts w:ascii="Century Gothic" w:hAnsi="Century Gothic"/>
      <w:color w:val="333399"/>
      <w:sz w:val="18"/>
    </w:rPr>
  </w:style>
  <w:style w:type="paragraph" w:customStyle="1" w:styleId="FooterPageNumber15">
    <w:name w:val="Footer PageNumber (15)"/>
    <w:basedOn w:val="Normal"/>
    <w:next w:val="Normal"/>
    <w:rsid w:val="00FB1300"/>
    <w:pPr>
      <w:framePr w:w="567" w:wrap="around" w:vAnchor="page" w:hAnchor="margin" w:xAlign="outside" w:y="16046"/>
      <w:spacing w:after="0" w:line="240" w:lineRule="auto"/>
      <w:jc w:val="center"/>
    </w:pPr>
    <w:rPr>
      <w:rFonts w:ascii="Century Gothic" w:hAnsi="Century Gothic"/>
      <w:color w:val="333399"/>
      <w:sz w:val="18"/>
    </w:rPr>
  </w:style>
  <w:style w:type="paragraph" w:customStyle="1" w:styleId="SectionTitlelarge">
    <w:name w:val="Section Title (large)"/>
    <w:basedOn w:val="Normal"/>
    <w:next w:val="SectionSubtitle"/>
    <w:rsid w:val="00FB1300"/>
    <w:pPr>
      <w:keepNext/>
      <w:spacing w:before="1080" w:line="240" w:lineRule="auto"/>
      <w:ind w:left="992" w:hanging="992"/>
      <w:jc w:val="left"/>
    </w:pPr>
    <w:rPr>
      <w:rFonts w:ascii="Century Gothic" w:hAnsi="Century Gothic"/>
      <w:caps/>
      <w:color w:val="333399"/>
      <w:sz w:val="32"/>
    </w:rPr>
  </w:style>
  <w:style w:type="paragraph" w:customStyle="1" w:styleId="SectionTitletwolineslarge">
    <w:name w:val="Section Title (two lines) (large)"/>
    <w:basedOn w:val="Normal"/>
    <w:next w:val="SectionSubtitle"/>
    <w:rsid w:val="00FB1300"/>
    <w:pPr>
      <w:keepNext/>
      <w:spacing w:before="1080" w:after="40" w:line="240" w:lineRule="auto"/>
      <w:ind w:left="992" w:hanging="992"/>
      <w:jc w:val="left"/>
    </w:pPr>
    <w:rPr>
      <w:rFonts w:ascii="Century Gothic" w:hAnsi="Century Gothic"/>
      <w:caps/>
      <w:color w:val="333399"/>
      <w:sz w:val="32"/>
    </w:rPr>
  </w:style>
  <w:style w:type="paragraph" w:customStyle="1" w:styleId="SectionTitlethreelineslarge">
    <w:name w:val="Section Title (three lines) (large)"/>
    <w:basedOn w:val="Normal"/>
    <w:next w:val="SectionSubtitle"/>
    <w:rsid w:val="00FB1300"/>
    <w:pPr>
      <w:keepNext/>
      <w:spacing w:before="800" w:after="40" w:line="240" w:lineRule="auto"/>
      <w:ind w:left="992" w:hanging="992"/>
      <w:jc w:val="left"/>
    </w:pPr>
    <w:rPr>
      <w:rFonts w:ascii="Century Gothic" w:hAnsi="Century Gothic"/>
      <w:caps/>
      <w:color w:val="333399"/>
      <w:sz w:val="32"/>
    </w:rPr>
  </w:style>
  <w:style w:type="paragraph" w:customStyle="1" w:styleId="HeaderSubtitleOutside30">
    <w:name w:val="Header Subtitle Outside (30)"/>
    <w:basedOn w:val="Normal"/>
    <w:next w:val="Normal"/>
    <w:rsid w:val="00FB1300"/>
    <w:pPr>
      <w:framePr w:w="4000" w:wrap="around" w:vAnchor="page" w:hAnchor="page" w:xAlign="outside" w:y="737"/>
      <w:spacing w:after="0" w:line="240" w:lineRule="auto"/>
      <w:jc w:val="center"/>
    </w:pPr>
    <w:rPr>
      <w:rFonts w:ascii="Century Gothic" w:hAnsi="Century Gothic"/>
      <w:color w:val="333399"/>
      <w:sz w:val="14"/>
    </w:rPr>
  </w:style>
  <w:style w:type="paragraph" w:customStyle="1" w:styleId="PublicationSupertitle">
    <w:name w:val="Publication Supertitle"/>
    <w:basedOn w:val="Normal"/>
    <w:next w:val="Normal"/>
    <w:rsid w:val="00FB1300"/>
    <w:pPr>
      <w:spacing w:before="2640" w:line="240" w:lineRule="auto"/>
      <w:jc w:val="left"/>
    </w:pPr>
    <w:rPr>
      <w:rFonts w:ascii="Georgia" w:hAnsi="Georgia"/>
      <w:color w:val="333399"/>
    </w:rPr>
  </w:style>
  <w:style w:type="paragraph" w:customStyle="1" w:styleId="HeaderTitleLeft15">
    <w:name w:val="Header Title Left (15)"/>
    <w:basedOn w:val="Normal"/>
    <w:next w:val="Normal"/>
    <w:rsid w:val="00FB1300"/>
    <w:pPr>
      <w:tabs>
        <w:tab w:val="right" w:pos="9921"/>
      </w:tabs>
      <w:spacing w:before="100" w:after="40" w:line="240" w:lineRule="auto"/>
    </w:pPr>
    <w:rPr>
      <w:rFonts w:ascii="Century Gothic" w:hAnsi="Century Gothic"/>
      <w:color w:val="333399"/>
      <w:sz w:val="14"/>
    </w:rPr>
  </w:style>
  <w:style w:type="paragraph" w:customStyle="1" w:styleId="HeaderSubtitleLeft15">
    <w:name w:val="Header Subtitle Left (15)"/>
    <w:basedOn w:val="Normal"/>
    <w:next w:val="Normal"/>
    <w:rsid w:val="00FB1300"/>
    <w:pPr>
      <w:tabs>
        <w:tab w:val="right" w:pos="9921"/>
      </w:tabs>
      <w:spacing w:after="0" w:line="240" w:lineRule="auto"/>
    </w:pPr>
    <w:rPr>
      <w:rFonts w:ascii="Century Gothic" w:hAnsi="Century Gothic"/>
      <w:color w:val="333399"/>
      <w:sz w:val="14"/>
    </w:rPr>
  </w:style>
  <w:style w:type="paragraph" w:customStyle="1" w:styleId="HeaderTitleRight15">
    <w:name w:val="Header Title Right (15)"/>
    <w:basedOn w:val="Normal"/>
    <w:next w:val="Normal"/>
    <w:rsid w:val="00FB1300"/>
    <w:pPr>
      <w:spacing w:before="100" w:after="40" w:line="240" w:lineRule="auto"/>
      <w:jc w:val="right"/>
    </w:pPr>
    <w:rPr>
      <w:rFonts w:ascii="Century Gothic" w:hAnsi="Century Gothic"/>
      <w:color w:val="333399"/>
      <w:sz w:val="14"/>
    </w:rPr>
  </w:style>
  <w:style w:type="paragraph" w:customStyle="1" w:styleId="HeaderSubtitleRight15">
    <w:name w:val="Header Subtitle Right (15)"/>
    <w:basedOn w:val="Normal"/>
    <w:next w:val="Normal"/>
    <w:rsid w:val="00FB1300"/>
    <w:pPr>
      <w:spacing w:after="0" w:line="240" w:lineRule="auto"/>
      <w:jc w:val="right"/>
    </w:pPr>
    <w:rPr>
      <w:rFonts w:ascii="Century Gothic" w:hAnsi="Century Gothic"/>
      <w:color w:val="333399"/>
      <w:sz w:val="14"/>
    </w:rPr>
  </w:style>
  <w:style w:type="paragraph" w:customStyle="1" w:styleId="HeaderTitleLeft45">
    <w:name w:val="Header Title Left (45)"/>
    <w:basedOn w:val="Normal"/>
    <w:next w:val="Normal"/>
    <w:rsid w:val="00FB1300"/>
    <w:pPr>
      <w:tabs>
        <w:tab w:val="right" w:pos="8504"/>
      </w:tabs>
      <w:spacing w:before="100" w:after="40" w:line="240" w:lineRule="auto"/>
      <w:ind w:left="-1701"/>
    </w:pPr>
    <w:rPr>
      <w:rFonts w:ascii="Century Gothic" w:hAnsi="Century Gothic"/>
      <w:color w:val="333399"/>
      <w:sz w:val="14"/>
    </w:rPr>
  </w:style>
  <w:style w:type="paragraph" w:customStyle="1" w:styleId="HeaderSubtitleLeft45">
    <w:name w:val="Header Subtitle Left (45)"/>
    <w:basedOn w:val="Normal"/>
    <w:next w:val="Normal"/>
    <w:rsid w:val="00FB1300"/>
    <w:pPr>
      <w:tabs>
        <w:tab w:val="right" w:pos="8504"/>
      </w:tabs>
      <w:spacing w:after="0" w:line="240" w:lineRule="auto"/>
      <w:ind w:left="-1701"/>
    </w:pPr>
    <w:rPr>
      <w:rFonts w:ascii="Century Gothic" w:hAnsi="Century Gothic"/>
      <w:color w:val="333399"/>
      <w:sz w:val="14"/>
    </w:rPr>
  </w:style>
  <w:style w:type="paragraph" w:customStyle="1" w:styleId="HeaderTitleRight45">
    <w:name w:val="Header Title Right (45)"/>
    <w:basedOn w:val="Normal"/>
    <w:next w:val="Normal"/>
    <w:rsid w:val="00FB1300"/>
    <w:pPr>
      <w:spacing w:before="100" w:after="40" w:line="240" w:lineRule="auto"/>
      <w:ind w:right="-1701"/>
      <w:jc w:val="right"/>
    </w:pPr>
    <w:rPr>
      <w:rFonts w:ascii="Century Gothic" w:hAnsi="Century Gothic"/>
      <w:color w:val="333399"/>
      <w:sz w:val="14"/>
    </w:rPr>
  </w:style>
  <w:style w:type="paragraph" w:customStyle="1" w:styleId="HeaderSubtitleRight45">
    <w:name w:val="Header Subtitle Right (45)"/>
    <w:basedOn w:val="Normal"/>
    <w:next w:val="Normal"/>
    <w:rsid w:val="00FB1300"/>
    <w:pPr>
      <w:spacing w:after="0" w:line="240" w:lineRule="auto"/>
      <w:ind w:right="-1701"/>
      <w:jc w:val="right"/>
    </w:pPr>
    <w:rPr>
      <w:rFonts w:ascii="Century Gothic" w:hAnsi="Century Gothic"/>
      <w:color w:val="333399"/>
      <w:sz w:val="14"/>
    </w:rPr>
  </w:style>
  <w:style w:type="paragraph" w:customStyle="1" w:styleId="FooterPageNumber45">
    <w:name w:val="Footer PageNumber (45)"/>
    <w:basedOn w:val="Normal"/>
    <w:next w:val="Normal"/>
    <w:rsid w:val="00FB1300"/>
    <w:pPr>
      <w:framePr w:w="567" w:hSpace="1417" w:wrap="around" w:vAnchor="page" w:hAnchor="page" w:xAlign="outside" w:y="16046"/>
      <w:spacing w:after="0" w:line="240" w:lineRule="auto"/>
      <w:jc w:val="center"/>
    </w:pPr>
    <w:rPr>
      <w:rFonts w:ascii="Century Gothic" w:hAnsi="Century Gothic"/>
      <w:color w:val="333399"/>
      <w:sz w:val="18"/>
    </w:rPr>
  </w:style>
  <w:style w:type="paragraph" w:customStyle="1" w:styleId="HEADINGTOC">
    <w:name w:val="HEADING TOC"/>
    <w:basedOn w:val="Normal"/>
    <w:next w:val="Normal"/>
    <w:rsid w:val="00FB1300"/>
    <w:pPr>
      <w:keepNext/>
      <w:spacing w:before="120" w:after="120"/>
    </w:pPr>
    <w:rPr>
      <w:rFonts w:ascii="Century Gothic" w:hAnsi="Century Gothic"/>
      <w:caps/>
      <w:color w:val="333399"/>
      <w:sz w:val="28"/>
    </w:rPr>
  </w:style>
  <w:style w:type="paragraph" w:customStyle="1" w:styleId="Abbreviation">
    <w:name w:val="Abbreviation"/>
    <w:basedOn w:val="Normal"/>
    <w:rsid w:val="00FB1300"/>
    <w:pPr>
      <w:spacing w:after="0"/>
      <w:ind w:left="1134" w:hanging="1134"/>
    </w:pPr>
  </w:style>
  <w:style w:type="paragraph" w:customStyle="1" w:styleId="SNText">
    <w:name w:val="SN Text"/>
    <w:basedOn w:val="Normal"/>
    <w:rsid w:val="00FB1300"/>
    <w:pPr>
      <w:tabs>
        <w:tab w:val="left" w:pos="2268"/>
      </w:tabs>
      <w:spacing w:after="200"/>
      <w:ind w:left="2268"/>
    </w:pPr>
  </w:style>
  <w:style w:type="paragraph" w:customStyle="1" w:styleId="SNSideNote">
    <w:name w:val="SN SideNote"/>
    <w:basedOn w:val="Normal"/>
    <w:next w:val="SNText"/>
    <w:rsid w:val="00FB1300"/>
    <w:pPr>
      <w:keepNext/>
      <w:framePr w:w="1984" w:h="567" w:hSpace="283" w:wrap="around" w:vAnchor="text" w:hAnchor="margin" w:y="1"/>
      <w:spacing w:after="200"/>
      <w:jc w:val="left"/>
    </w:pPr>
    <w:rPr>
      <w:rFonts w:ascii="Century Gothic" w:hAnsi="Century Gothic"/>
      <w:color w:val="333399"/>
      <w:sz w:val="18"/>
    </w:rPr>
  </w:style>
  <w:style w:type="paragraph" w:customStyle="1" w:styleId="SNNumberedHeading1">
    <w:name w:val="SN Numbered Heading 1"/>
    <w:basedOn w:val="Normal"/>
    <w:next w:val="SNText"/>
    <w:rsid w:val="00FB1300"/>
    <w:pPr>
      <w:keepNext/>
      <w:tabs>
        <w:tab w:val="left" w:pos="2835"/>
      </w:tabs>
      <w:spacing w:before="200"/>
      <w:ind w:left="2835" w:hanging="567"/>
      <w:outlineLvl w:val="0"/>
    </w:pPr>
    <w:rPr>
      <w:rFonts w:ascii="Century Gothic" w:hAnsi="Century Gothic"/>
      <w:b/>
      <w:caps/>
      <w:color w:val="333399"/>
      <w:sz w:val="18"/>
    </w:rPr>
  </w:style>
  <w:style w:type="paragraph" w:customStyle="1" w:styleId="SNNumberedHeading2">
    <w:name w:val="SN Numbered Heading 2"/>
    <w:basedOn w:val="Normal"/>
    <w:next w:val="SNText"/>
    <w:rsid w:val="00FB1300"/>
    <w:pPr>
      <w:keepNext/>
      <w:tabs>
        <w:tab w:val="left" w:pos="2835"/>
      </w:tabs>
      <w:spacing w:before="100"/>
      <w:ind w:left="2835" w:hanging="567"/>
      <w:outlineLvl w:val="0"/>
    </w:pPr>
    <w:rPr>
      <w:rFonts w:ascii="Century Gothic" w:hAnsi="Century Gothic"/>
      <w:color w:val="333399"/>
      <w:sz w:val="18"/>
    </w:rPr>
  </w:style>
  <w:style w:type="paragraph" w:customStyle="1" w:styleId="SNNumberedHeading1Top">
    <w:name w:val="SN Numbered Heading 1 Top"/>
    <w:basedOn w:val="SNNumberedHeading1"/>
    <w:next w:val="SNText"/>
    <w:rsid w:val="00FB1300"/>
    <w:pPr>
      <w:tabs>
        <w:tab w:val="clear" w:pos="2835"/>
      </w:tabs>
      <w:spacing w:before="0"/>
    </w:pPr>
  </w:style>
  <w:style w:type="paragraph" w:customStyle="1" w:styleId="SNNumberedHeading2Top">
    <w:name w:val="SN Numbered Heading 2 Top"/>
    <w:basedOn w:val="SNNumberedHeading2"/>
    <w:next w:val="SNText"/>
    <w:rsid w:val="00FB1300"/>
    <w:pPr>
      <w:tabs>
        <w:tab w:val="clear" w:pos="2835"/>
      </w:tabs>
      <w:spacing w:before="0"/>
    </w:pPr>
  </w:style>
  <w:style w:type="paragraph" w:customStyle="1" w:styleId="BoxShape">
    <w:name w:val="Box Shape"/>
    <w:basedOn w:val="Normal"/>
    <w:next w:val="Normal"/>
    <w:rsid w:val="00FB1300"/>
    <w:pPr>
      <w:keepNext/>
      <w:spacing w:before="120" w:after="120"/>
      <w:jc w:val="center"/>
    </w:pPr>
  </w:style>
  <w:style w:type="paragraph" w:customStyle="1" w:styleId="BoxContinueTop">
    <w:name w:val="Box Continue Top"/>
    <w:basedOn w:val="Normal"/>
    <w:next w:val="Normal"/>
    <w:rsid w:val="00FB1300"/>
    <w:pPr>
      <w:keepNext/>
      <w:spacing w:before="20" w:after="0" w:line="240" w:lineRule="auto"/>
      <w:ind w:left="283"/>
    </w:pPr>
    <w:rPr>
      <w:rFonts w:ascii="Century Gothic" w:hAnsi="Century Gothic"/>
      <w:i/>
      <w:color w:val="333399"/>
      <w:sz w:val="14"/>
    </w:rPr>
  </w:style>
  <w:style w:type="paragraph" w:customStyle="1" w:styleId="BoxContinueBottom">
    <w:name w:val="Box Continue Bottom"/>
    <w:basedOn w:val="Normal"/>
    <w:next w:val="Normal"/>
    <w:rsid w:val="00FB1300"/>
    <w:pPr>
      <w:spacing w:after="20" w:line="240" w:lineRule="auto"/>
      <w:ind w:right="283"/>
      <w:jc w:val="right"/>
    </w:pPr>
    <w:rPr>
      <w:rFonts w:ascii="Century Gothic" w:hAnsi="Century Gothic"/>
      <w:i/>
      <w:color w:val="333399"/>
      <w:sz w:val="14"/>
    </w:rPr>
  </w:style>
  <w:style w:type="paragraph" w:customStyle="1" w:styleId="TableContinueTop">
    <w:name w:val="Table Continue Top"/>
    <w:basedOn w:val="Normal"/>
    <w:next w:val="Normal"/>
    <w:rsid w:val="00FB1300"/>
    <w:pPr>
      <w:keepNext/>
      <w:spacing w:before="20" w:after="0" w:line="240" w:lineRule="auto"/>
      <w:ind w:left="283"/>
    </w:pPr>
    <w:rPr>
      <w:rFonts w:ascii="Century Gothic" w:hAnsi="Century Gothic"/>
      <w:i/>
      <w:color w:val="333399"/>
      <w:sz w:val="14"/>
    </w:rPr>
  </w:style>
  <w:style w:type="paragraph" w:customStyle="1" w:styleId="TableContinueBottom">
    <w:name w:val="Table Continue Bottom"/>
    <w:basedOn w:val="Normal"/>
    <w:next w:val="Normal"/>
    <w:rsid w:val="00FB1300"/>
    <w:pPr>
      <w:spacing w:after="20" w:line="240" w:lineRule="auto"/>
      <w:ind w:right="283"/>
      <w:jc w:val="right"/>
    </w:pPr>
    <w:rPr>
      <w:rFonts w:ascii="Century Gothic" w:hAnsi="Century Gothic"/>
      <w:i/>
      <w:color w:val="333399"/>
      <w:sz w:val="14"/>
    </w:rPr>
  </w:style>
  <w:style w:type="paragraph" w:customStyle="1" w:styleId="BottomTable">
    <w:name w:val="Bottom Table"/>
    <w:basedOn w:val="Normal"/>
    <w:next w:val="Normal"/>
    <w:rsid w:val="00FB1300"/>
    <w:pPr>
      <w:spacing w:after="0" w:line="240" w:lineRule="auto"/>
      <w:jc w:val="left"/>
    </w:pPr>
  </w:style>
  <w:style w:type="paragraph" w:customStyle="1" w:styleId="DefaultTable">
    <w:name w:val="Default Table"/>
    <w:basedOn w:val="Normal"/>
    <w:next w:val="Normal"/>
    <w:rsid w:val="00FB1300"/>
    <w:pPr>
      <w:spacing w:after="0" w:line="240" w:lineRule="auto"/>
      <w:jc w:val="left"/>
    </w:pPr>
  </w:style>
  <w:style w:type="paragraph" w:customStyle="1" w:styleId="BottomCenterTable">
    <w:name w:val="Bottom Center Table"/>
    <w:basedOn w:val="Normal"/>
    <w:next w:val="Normal"/>
    <w:rsid w:val="00FB1300"/>
    <w:pPr>
      <w:spacing w:before="160" w:after="0" w:line="240" w:lineRule="auto"/>
      <w:jc w:val="center"/>
    </w:pPr>
  </w:style>
  <w:style w:type="paragraph" w:customStyle="1" w:styleId="BottomTableRestrictedShape">
    <w:name w:val="Bottom Table Restricted Shape"/>
    <w:basedOn w:val="Normal"/>
    <w:next w:val="Normal"/>
    <w:rsid w:val="00FB1300"/>
    <w:pPr>
      <w:spacing w:before="160" w:after="0" w:line="240" w:lineRule="auto"/>
      <w:jc w:val="center"/>
    </w:pPr>
  </w:style>
  <w:style w:type="paragraph" w:customStyle="1" w:styleId="GraphTitle">
    <w:name w:val="Graph Title"/>
    <w:basedOn w:val="Normal"/>
    <w:next w:val="Normal"/>
    <w:rsid w:val="009F3ED8"/>
    <w:pPr>
      <w:keepNext/>
      <w:pBdr>
        <w:top w:val="single" w:sz="6" w:space="2" w:color="000000"/>
        <w:bottom w:val="single" w:sz="6" w:space="2" w:color="000000"/>
      </w:pBdr>
      <w:spacing w:after="0" w:line="240" w:lineRule="auto"/>
      <w:ind w:left="935" w:hanging="935"/>
      <w:jc w:val="left"/>
    </w:pPr>
    <w:rPr>
      <w:rFonts w:ascii="Century Gothic" w:hAnsi="Century Gothic"/>
      <w:color w:val="333399"/>
      <w:sz w:val="14"/>
    </w:rPr>
  </w:style>
  <w:style w:type="paragraph" w:customStyle="1" w:styleId="GraphSource">
    <w:name w:val="Graph Source"/>
    <w:basedOn w:val="Normal"/>
    <w:rsid w:val="009F3ED8"/>
    <w:pPr>
      <w:pBdr>
        <w:top w:val="single" w:sz="6" w:space="2" w:color="000000"/>
        <w:bottom w:val="single" w:sz="6" w:space="2" w:color="000000"/>
      </w:pBdr>
      <w:spacing w:after="0" w:line="240" w:lineRule="auto"/>
      <w:jc w:val="left"/>
    </w:pPr>
    <w:rPr>
      <w:rFonts w:ascii="Century Gothic" w:hAnsi="Century Gothic"/>
      <w:sz w:val="14"/>
    </w:rPr>
  </w:style>
  <w:style w:type="paragraph" w:customStyle="1" w:styleId="GraphFootnote">
    <w:name w:val="Graph Footnote"/>
    <w:basedOn w:val="Normal"/>
    <w:rsid w:val="009F3ED8"/>
    <w:pPr>
      <w:pBdr>
        <w:top w:val="single" w:sz="6" w:space="2" w:color="000000"/>
        <w:bottom w:val="single" w:sz="6" w:space="2" w:color="000000"/>
      </w:pBdr>
      <w:spacing w:after="0" w:line="240" w:lineRule="auto"/>
      <w:jc w:val="left"/>
    </w:pPr>
    <w:rPr>
      <w:rFonts w:ascii="Century Gothic" w:hAnsi="Century Gothic"/>
      <w:sz w:val="14"/>
    </w:rPr>
  </w:style>
  <w:style w:type="paragraph" w:customStyle="1" w:styleId="GraphShape">
    <w:name w:val="Graph Shape"/>
    <w:basedOn w:val="Normal"/>
    <w:next w:val="Normal"/>
    <w:rsid w:val="00FB1300"/>
    <w:pPr>
      <w:keepNext/>
      <w:spacing w:after="0" w:line="240" w:lineRule="auto"/>
      <w:jc w:val="left"/>
    </w:pPr>
  </w:style>
  <w:style w:type="paragraph" w:customStyle="1" w:styleId="TableTitle">
    <w:name w:val="Table Title"/>
    <w:basedOn w:val="Normal"/>
    <w:next w:val="Normal"/>
    <w:rsid w:val="009F3ED8"/>
    <w:pPr>
      <w:keepNext/>
      <w:pBdr>
        <w:top w:val="single" w:sz="6" w:space="2" w:color="000000"/>
        <w:bottom w:val="single" w:sz="6" w:space="2" w:color="000000"/>
      </w:pBdr>
      <w:spacing w:after="40" w:line="240" w:lineRule="auto"/>
      <w:ind w:left="935" w:hanging="935"/>
      <w:jc w:val="left"/>
    </w:pPr>
    <w:rPr>
      <w:rFonts w:ascii="Century Gothic" w:hAnsi="Century Gothic"/>
      <w:color w:val="333399"/>
      <w:sz w:val="14"/>
    </w:rPr>
  </w:style>
  <w:style w:type="paragraph" w:customStyle="1" w:styleId="TableSource">
    <w:name w:val="Table Source"/>
    <w:basedOn w:val="Normal"/>
    <w:rsid w:val="009F3ED8"/>
    <w:pPr>
      <w:keepNext/>
      <w:pBdr>
        <w:top w:val="single" w:sz="6" w:space="2" w:color="000000"/>
        <w:bottom w:val="single" w:sz="6" w:space="2" w:color="000000"/>
      </w:pBdr>
      <w:spacing w:after="0" w:line="240" w:lineRule="auto"/>
      <w:jc w:val="left"/>
    </w:pPr>
    <w:rPr>
      <w:rFonts w:ascii="Century Gothic" w:hAnsi="Century Gothic"/>
      <w:sz w:val="14"/>
    </w:rPr>
  </w:style>
  <w:style w:type="paragraph" w:customStyle="1" w:styleId="TableFootnote">
    <w:name w:val="Table Footnote"/>
    <w:basedOn w:val="Normal"/>
    <w:rsid w:val="009F3ED8"/>
    <w:pPr>
      <w:keepNext/>
      <w:pBdr>
        <w:top w:val="single" w:sz="6" w:space="2" w:color="000000"/>
        <w:bottom w:val="single" w:sz="6" w:space="2" w:color="000000"/>
      </w:pBdr>
      <w:spacing w:after="0" w:line="240" w:lineRule="auto"/>
      <w:jc w:val="left"/>
    </w:pPr>
    <w:rPr>
      <w:rFonts w:ascii="Century Gothic" w:hAnsi="Century Gothic"/>
      <w:sz w:val="14"/>
    </w:rPr>
  </w:style>
  <w:style w:type="paragraph" w:customStyle="1" w:styleId="TableShape">
    <w:name w:val="Table Shape"/>
    <w:basedOn w:val="Normal"/>
    <w:next w:val="Normal"/>
    <w:rsid w:val="00FB1300"/>
    <w:pPr>
      <w:keepNext/>
      <w:spacing w:after="0" w:line="240" w:lineRule="auto"/>
      <w:jc w:val="left"/>
    </w:pPr>
  </w:style>
  <w:style w:type="paragraph" w:customStyle="1" w:styleId="SlimCell">
    <w:name w:val="Slim Cell"/>
    <w:basedOn w:val="Normal"/>
    <w:next w:val="Normal"/>
    <w:rsid w:val="00FB1300"/>
    <w:pPr>
      <w:spacing w:after="0" w:line="240" w:lineRule="auto"/>
    </w:pPr>
    <w:rPr>
      <w:sz w:val="2"/>
    </w:rPr>
  </w:style>
  <w:style w:type="paragraph" w:customStyle="1" w:styleId="MultipageDelimiter">
    <w:name w:val="Multipage Delimiter"/>
    <w:basedOn w:val="Normal"/>
    <w:next w:val="Normal"/>
    <w:rsid w:val="00FB1300"/>
    <w:pPr>
      <w:spacing w:after="0" w:line="20" w:lineRule="exact"/>
    </w:pPr>
    <w:rPr>
      <w:sz w:val="2"/>
    </w:rPr>
  </w:style>
  <w:style w:type="paragraph" w:customStyle="1" w:styleId="MapTitle">
    <w:name w:val="Map Title"/>
    <w:basedOn w:val="Normal"/>
    <w:next w:val="Normal"/>
    <w:rsid w:val="00FB1300"/>
    <w:pPr>
      <w:keepNext/>
      <w:pBdr>
        <w:top w:val="single" w:sz="2" w:space="2" w:color="auto"/>
        <w:bottom w:val="single" w:sz="2" w:space="2" w:color="auto"/>
      </w:pBdr>
      <w:spacing w:after="40" w:line="240" w:lineRule="auto"/>
      <w:ind w:left="935" w:hanging="935"/>
      <w:jc w:val="left"/>
    </w:pPr>
    <w:rPr>
      <w:rFonts w:ascii="Century Gothic" w:hAnsi="Century Gothic"/>
      <w:color w:val="333399"/>
      <w:sz w:val="14"/>
    </w:rPr>
  </w:style>
  <w:style w:type="paragraph" w:customStyle="1" w:styleId="MapShape">
    <w:name w:val="Map Shape"/>
    <w:basedOn w:val="Normal"/>
    <w:next w:val="Normal"/>
    <w:rsid w:val="00FB1300"/>
    <w:pPr>
      <w:keepNext/>
      <w:spacing w:after="0" w:line="240" w:lineRule="auto"/>
      <w:jc w:val="left"/>
    </w:pPr>
  </w:style>
  <w:style w:type="paragraph" w:customStyle="1" w:styleId="MapSource">
    <w:name w:val="Map Source"/>
    <w:basedOn w:val="Normal"/>
    <w:rsid w:val="00FB1300"/>
    <w:pPr>
      <w:pBdr>
        <w:top w:val="single" w:sz="2" w:space="2" w:color="auto"/>
        <w:bottom w:val="single" w:sz="2" w:space="2" w:color="auto"/>
      </w:pBdr>
      <w:spacing w:after="0" w:line="240" w:lineRule="auto"/>
      <w:jc w:val="center"/>
    </w:pPr>
    <w:rPr>
      <w:rFonts w:ascii="Century Gothic" w:hAnsi="Century Gothic"/>
      <w:sz w:val="14"/>
    </w:rPr>
  </w:style>
  <w:style w:type="paragraph" w:customStyle="1" w:styleId="MapFootnote">
    <w:name w:val="Map Footnote"/>
    <w:basedOn w:val="Normal"/>
    <w:rsid w:val="00FB1300"/>
    <w:pPr>
      <w:pBdr>
        <w:top w:val="single" w:sz="2" w:space="2" w:color="auto"/>
        <w:bottom w:val="single" w:sz="2" w:space="2" w:color="auto"/>
      </w:pBdr>
      <w:spacing w:after="0" w:line="240" w:lineRule="auto"/>
      <w:jc w:val="left"/>
    </w:pPr>
    <w:rPr>
      <w:rFonts w:ascii="Century Gothic" w:hAnsi="Century Gothic"/>
      <w:sz w:val="14"/>
    </w:rPr>
  </w:style>
  <w:style w:type="paragraph" w:customStyle="1" w:styleId="Abstract">
    <w:name w:val="Abstract"/>
    <w:basedOn w:val="Normal"/>
    <w:rsid w:val="00FB1300"/>
    <w:pPr>
      <w:framePr w:w="8504" w:wrap="around" w:vAnchor="text" w:hAnchor="text" w:y="1"/>
      <w:ind w:left="57" w:right="57"/>
    </w:pPr>
    <w:rPr>
      <w:i/>
    </w:rPr>
  </w:style>
  <w:style w:type="paragraph" w:customStyle="1" w:styleId="EPKitHiddenFrame">
    <w:name w:val="EPKit Hidden Frame"/>
    <w:basedOn w:val="Normal"/>
    <w:next w:val="Normal"/>
    <w:rsid w:val="009F3ED8"/>
    <w:pPr>
      <w:framePr w:w="11" w:h="11" w:hRule="exact" w:wrap="around" w:vAnchor="page" w:hAnchor="page" w:yAlign="top"/>
    </w:pPr>
  </w:style>
  <w:style w:type="character" w:styleId="Referencafusnote">
    <w:name w:val="footnote reference"/>
    <w:aliases w:val="Footnote symbol,Footnote reference number,Times 10 Point,Exposant 3 Point,EN Footnote Reference,note TESI,E...,nota de rodapé,Footnote Reference_LVL6,Footnote Reference_LVL61,Footnote Reference_LVL62,texto nota a pi, Exposant 3 Point"/>
    <w:uiPriority w:val="99"/>
    <w:unhideWhenUsed/>
    <w:rsid w:val="00FB1300"/>
    <w:rPr>
      <w:shd w:val="clear" w:color="auto" w:fill="auto"/>
      <w:vertAlign w:val="superscript"/>
    </w:rPr>
  </w:style>
  <w:style w:type="character" w:styleId="Referencakrajnjebiljeke">
    <w:name w:val="endnote reference"/>
    <w:uiPriority w:val="99"/>
    <w:semiHidden/>
    <w:unhideWhenUsed/>
    <w:rsid w:val="00FB1300"/>
    <w:rPr>
      <w:shd w:val="clear" w:color="auto" w:fill="auto"/>
      <w:vertAlign w:val="superscript"/>
    </w:rPr>
  </w:style>
  <w:style w:type="character" w:customStyle="1" w:styleId="SectionNumber">
    <w:name w:val="Section Number"/>
    <w:rsid w:val="00FB1300"/>
    <w:rPr>
      <w:rFonts w:ascii="Times New Roman" w:hAnsi="Times New Roman" w:cs="Times New Roman"/>
      <w:b/>
      <w:color w:val="808080"/>
      <w:sz w:val="72"/>
      <w:shd w:val="clear" w:color="auto" w:fill="auto"/>
    </w:rPr>
  </w:style>
  <w:style w:type="paragraph" w:styleId="Zaglavlje">
    <w:name w:val="header"/>
    <w:basedOn w:val="Normal"/>
    <w:link w:val="ZaglavljeChar"/>
    <w:uiPriority w:val="99"/>
    <w:rsid w:val="0015437F"/>
    <w:pPr>
      <w:tabs>
        <w:tab w:val="center" w:pos="4536"/>
        <w:tab w:val="right" w:pos="9072"/>
      </w:tabs>
    </w:pPr>
  </w:style>
  <w:style w:type="character" w:customStyle="1" w:styleId="ZaglavljeChar">
    <w:name w:val="Zaglavlje Char"/>
    <w:basedOn w:val="Zadanifontodlomka"/>
    <w:link w:val="Zaglavlje"/>
    <w:uiPriority w:val="99"/>
    <w:rsid w:val="0015437F"/>
    <w:rPr>
      <w:color w:val="000000"/>
      <w:szCs w:val="24"/>
      <w:shd w:val="clear" w:color="auto" w:fill="auto"/>
      <w:lang w:eastAsia="en-US"/>
    </w:rPr>
  </w:style>
  <w:style w:type="character" w:customStyle="1" w:styleId="PodnojeChar">
    <w:name w:val="Podnožje Char"/>
    <w:link w:val="Podnoje"/>
    <w:uiPriority w:val="99"/>
    <w:rsid w:val="00FB1300"/>
    <w:rPr>
      <w:rFonts w:eastAsia="Calibri"/>
      <w:color w:val="000000"/>
      <w:szCs w:val="22"/>
      <w:lang w:eastAsia="en-US"/>
    </w:rPr>
  </w:style>
  <w:style w:type="paragraph" w:customStyle="1" w:styleId="EPKitTCFrame">
    <w:name w:val="EPKit TC Frame"/>
    <w:basedOn w:val="Normal"/>
    <w:link w:val="EPKitTCFrameChar"/>
    <w:rsid w:val="0015437F"/>
    <w:rPr>
      <w:vanish/>
    </w:rPr>
  </w:style>
  <w:style w:type="character" w:customStyle="1" w:styleId="EPKitTCFrameChar">
    <w:name w:val="EPKit TC Frame Char"/>
    <w:basedOn w:val="Zadanifontodlomka"/>
    <w:link w:val="EPKitTCFrame"/>
    <w:rsid w:val="0015437F"/>
    <w:rPr>
      <w:rFonts w:eastAsia="Calibri"/>
      <w:vanish/>
      <w:color w:val="000000"/>
      <w:szCs w:val="22"/>
      <w:lang w:eastAsia="en-US"/>
    </w:rPr>
  </w:style>
  <w:style w:type="character" w:styleId="Hiperveza">
    <w:name w:val="Hyperlink"/>
    <w:basedOn w:val="Zadanifontodlomka"/>
    <w:uiPriority w:val="99"/>
    <w:unhideWhenUsed/>
    <w:rsid w:val="0015437F"/>
    <w:rPr>
      <w:color w:val="0000FF" w:themeColor="hyperlink"/>
      <w:u w:val="single"/>
      <w:shd w:val="clear" w:color="auto" w:fill="auto"/>
    </w:rPr>
  </w:style>
  <w:style w:type="character" w:customStyle="1" w:styleId="TekstfusnoteChar">
    <w:name w:val="Tekst fusnote Char"/>
    <w:aliases w:val="Footnote Text Char2 Char,Footnote Text Char1 Char Char,Footnote Text Char2 Char Char Char,Footnote Text Char1 Char Char Char Char,Footnote Text Char2 Char Char Char Char Char,Footnote Text Char Char1 Char Char Char Char Char"/>
    <w:link w:val="Tekstfusnote"/>
    <w:uiPriority w:val="99"/>
    <w:rsid w:val="00FB1300"/>
    <w:rPr>
      <w:rFonts w:eastAsia="Calibri"/>
      <w:color w:val="000000"/>
      <w:sz w:val="16"/>
      <w:lang w:eastAsia="en-US"/>
    </w:rPr>
  </w:style>
  <w:style w:type="character" w:customStyle="1" w:styleId="TekstkrajnjebiljekeChar">
    <w:name w:val="Tekst krajnje bilješke Char"/>
    <w:link w:val="Tekstkrajnjebiljeke"/>
    <w:uiPriority w:val="99"/>
    <w:semiHidden/>
    <w:rsid w:val="00FB1300"/>
    <w:rPr>
      <w:rFonts w:eastAsia="Calibri"/>
      <w:color w:val="000000"/>
      <w:sz w:val="16"/>
      <w:lang w:eastAsia="en-US"/>
    </w:rPr>
  </w:style>
  <w:style w:type="paragraph" w:styleId="Tekstbalonia">
    <w:name w:val="Balloon Text"/>
    <w:basedOn w:val="Normal"/>
    <w:link w:val="TekstbaloniaChar"/>
    <w:uiPriority w:val="99"/>
    <w:unhideWhenUsed/>
    <w:rsid w:val="007F624B"/>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rsid w:val="007F624B"/>
    <w:rPr>
      <w:rFonts w:ascii="Tahoma" w:eastAsia="Calibri" w:hAnsi="Tahoma" w:cs="Tahoma"/>
      <w:color w:val="000000"/>
      <w:sz w:val="16"/>
      <w:szCs w:val="16"/>
      <w:shd w:val="clear" w:color="auto" w:fill="auto"/>
      <w:lang w:eastAsia="en-US"/>
    </w:rPr>
  </w:style>
  <w:style w:type="character" w:styleId="Referencakomentara">
    <w:name w:val="annotation reference"/>
    <w:basedOn w:val="Zadanifontodlomka"/>
    <w:uiPriority w:val="99"/>
    <w:unhideWhenUsed/>
    <w:rsid w:val="007F624B"/>
    <w:rPr>
      <w:sz w:val="16"/>
      <w:szCs w:val="16"/>
      <w:shd w:val="clear" w:color="auto" w:fill="auto"/>
    </w:rPr>
  </w:style>
  <w:style w:type="paragraph" w:styleId="Tekstkomentara">
    <w:name w:val="annotation text"/>
    <w:basedOn w:val="Normal"/>
    <w:link w:val="TekstkomentaraChar"/>
    <w:uiPriority w:val="99"/>
    <w:unhideWhenUsed/>
    <w:rsid w:val="007F624B"/>
    <w:pPr>
      <w:spacing w:line="240" w:lineRule="auto"/>
    </w:pPr>
    <w:rPr>
      <w:szCs w:val="20"/>
    </w:rPr>
  </w:style>
  <w:style w:type="character" w:customStyle="1" w:styleId="TekstkomentaraChar">
    <w:name w:val="Tekst komentara Char"/>
    <w:basedOn w:val="Zadanifontodlomka"/>
    <w:link w:val="Tekstkomentara"/>
    <w:uiPriority w:val="99"/>
    <w:rsid w:val="007F624B"/>
    <w:rPr>
      <w:rFonts w:eastAsia="Calibri"/>
      <w:color w:val="000000"/>
      <w:shd w:val="clear" w:color="auto" w:fill="auto"/>
      <w:lang w:eastAsia="en-US"/>
    </w:rPr>
  </w:style>
  <w:style w:type="paragraph" w:styleId="Predmetkomentara">
    <w:name w:val="annotation subject"/>
    <w:basedOn w:val="Tekstkomentara"/>
    <w:next w:val="Tekstkomentara"/>
    <w:link w:val="PredmetkomentaraChar"/>
    <w:uiPriority w:val="99"/>
    <w:unhideWhenUsed/>
    <w:rsid w:val="007F624B"/>
    <w:rPr>
      <w:b/>
      <w:bCs/>
    </w:rPr>
  </w:style>
  <w:style w:type="character" w:customStyle="1" w:styleId="PredmetkomentaraChar">
    <w:name w:val="Predmet komentara Char"/>
    <w:basedOn w:val="TekstkomentaraChar"/>
    <w:link w:val="Predmetkomentara"/>
    <w:uiPriority w:val="99"/>
    <w:rsid w:val="007F624B"/>
    <w:rPr>
      <w:rFonts w:eastAsia="Calibri"/>
      <w:b/>
      <w:bCs/>
      <w:color w:val="000000"/>
      <w:shd w:val="clear" w:color="auto" w:fill="auto"/>
      <w:lang w:eastAsia="en-US"/>
    </w:rPr>
  </w:style>
  <w:style w:type="numbering" w:customStyle="1" w:styleId="NoList1">
    <w:name w:val="No List1"/>
    <w:next w:val="Bezpopisa"/>
    <w:uiPriority w:val="99"/>
    <w:semiHidden/>
    <w:unhideWhenUsed/>
    <w:rsid w:val="007F624B"/>
  </w:style>
  <w:style w:type="paragraph" w:customStyle="1" w:styleId="MyHeading2">
    <w:name w:val="MyHeading2"/>
    <w:basedOn w:val="Normal"/>
    <w:rsid w:val="007F624B"/>
    <w:pPr>
      <w:numPr>
        <w:ilvl w:val="1"/>
        <w:numId w:val="14"/>
      </w:numPr>
      <w:spacing w:after="0" w:line="240" w:lineRule="auto"/>
      <w:jc w:val="left"/>
    </w:pPr>
    <w:rPr>
      <w:rFonts w:eastAsia="Times New Roman"/>
      <w:b/>
      <w:color w:val="auto"/>
      <w:sz w:val="32"/>
      <w:szCs w:val="24"/>
      <w:lang w:val="fr-BE" w:eastAsia="en-GB"/>
    </w:rPr>
  </w:style>
  <w:style w:type="paragraph" w:customStyle="1" w:styleId="MyHeading3">
    <w:name w:val="MyHeading3"/>
    <w:basedOn w:val="Normal"/>
    <w:autoRedefine/>
    <w:rsid w:val="007F624B"/>
    <w:pPr>
      <w:numPr>
        <w:ilvl w:val="2"/>
        <w:numId w:val="14"/>
      </w:numPr>
      <w:spacing w:before="120" w:after="120" w:line="240" w:lineRule="auto"/>
      <w:jc w:val="left"/>
    </w:pPr>
    <w:rPr>
      <w:rFonts w:eastAsia="Times New Roman"/>
      <w:b/>
      <w:color w:val="auto"/>
      <w:sz w:val="32"/>
      <w:szCs w:val="32"/>
      <w:lang w:val="fr-BE" w:eastAsia="en-GB"/>
    </w:rPr>
  </w:style>
  <w:style w:type="paragraph" w:customStyle="1" w:styleId="MyHeading4">
    <w:name w:val="MyHeading4"/>
    <w:basedOn w:val="Normal"/>
    <w:autoRedefine/>
    <w:rsid w:val="007F624B"/>
    <w:pPr>
      <w:numPr>
        <w:ilvl w:val="3"/>
        <w:numId w:val="14"/>
      </w:numPr>
      <w:spacing w:before="120" w:after="120" w:line="240" w:lineRule="auto"/>
      <w:jc w:val="left"/>
    </w:pPr>
    <w:rPr>
      <w:rFonts w:eastAsia="Times New Roman"/>
      <w:b/>
      <w:color w:val="auto"/>
      <w:sz w:val="24"/>
      <w:szCs w:val="24"/>
      <w:lang w:val="fr-BE" w:eastAsia="en-GB"/>
    </w:rPr>
  </w:style>
  <w:style w:type="paragraph" w:customStyle="1" w:styleId="MyHeading5">
    <w:name w:val="MyHeading5"/>
    <w:basedOn w:val="Normal"/>
    <w:autoRedefine/>
    <w:rsid w:val="007F624B"/>
    <w:pPr>
      <w:keepNext/>
      <w:keepLines/>
      <w:numPr>
        <w:ilvl w:val="4"/>
        <w:numId w:val="14"/>
      </w:numPr>
      <w:tabs>
        <w:tab w:val="left" w:pos="1418"/>
      </w:tabs>
      <w:spacing w:after="0" w:line="240" w:lineRule="auto"/>
      <w:ind w:left="1248"/>
      <w:jc w:val="left"/>
    </w:pPr>
    <w:rPr>
      <w:rFonts w:eastAsia="Times New Roman"/>
      <w:i/>
      <w:color w:val="auto"/>
      <w:sz w:val="24"/>
      <w:szCs w:val="24"/>
      <w:lang w:val="fr-BE" w:eastAsia="en-GB"/>
    </w:rPr>
  </w:style>
  <w:style w:type="paragraph" w:customStyle="1" w:styleId="Nastevanjeviri">
    <w:name w:val="Nastevanje_viri"/>
    <w:basedOn w:val="Normal"/>
    <w:autoRedefine/>
    <w:rsid w:val="007F624B"/>
    <w:pPr>
      <w:numPr>
        <w:numId w:val="15"/>
      </w:numPr>
      <w:autoSpaceDE w:val="0"/>
      <w:autoSpaceDN w:val="0"/>
      <w:adjustRightInd w:val="0"/>
      <w:spacing w:after="200" w:line="240" w:lineRule="auto"/>
    </w:pPr>
    <w:rPr>
      <w:rFonts w:ascii="Myriad Pro" w:eastAsia="Times New Roman" w:hAnsi="Myriad Pro"/>
      <w:noProof/>
      <w:color w:val="auto"/>
      <w:sz w:val="16"/>
      <w:szCs w:val="16"/>
      <w:lang w:val="sl-SI" w:eastAsia="sl-SI"/>
    </w:rPr>
  </w:style>
  <w:style w:type="paragraph" w:styleId="Sadraj4">
    <w:name w:val="toc 4"/>
    <w:basedOn w:val="Normal"/>
    <w:next w:val="Normal"/>
    <w:autoRedefine/>
    <w:uiPriority w:val="39"/>
    <w:unhideWhenUsed/>
    <w:rsid w:val="007F624B"/>
    <w:pPr>
      <w:spacing w:after="100" w:line="276" w:lineRule="auto"/>
      <w:ind w:left="660"/>
      <w:jc w:val="left"/>
    </w:pPr>
    <w:rPr>
      <w:rFonts w:asciiTheme="minorHAnsi" w:eastAsiaTheme="minorEastAsia" w:hAnsiTheme="minorHAnsi" w:cstheme="minorBidi"/>
      <w:color w:val="auto"/>
      <w:sz w:val="22"/>
      <w:lang w:eastAsia="en-GB"/>
    </w:rPr>
  </w:style>
  <w:style w:type="paragraph" w:styleId="Sadraj8">
    <w:name w:val="toc 8"/>
    <w:basedOn w:val="Normal"/>
    <w:next w:val="Normal"/>
    <w:autoRedefine/>
    <w:uiPriority w:val="39"/>
    <w:unhideWhenUsed/>
    <w:rsid w:val="007F624B"/>
    <w:pPr>
      <w:spacing w:after="100" w:line="276" w:lineRule="auto"/>
      <w:ind w:left="1540"/>
      <w:jc w:val="left"/>
    </w:pPr>
    <w:rPr>
      <w:rFonts w:asciiTheme="minorHAnsi" w:eastAsiaTheme="minorEastAsia" w:hAnsiTheme="minorHAnsi" w:cstheme="minorBidi"/>
      <w:color w:val="auto"/>
      <w:sz w:val="22"/>
      <w:lang w:eastAsia="en-GB"/>
    </w:rPr>
  </w:style>
  <w:style w:type="paragraph" w:styleId="Sadraj9">
    <w:name w:val="toc 9"/>
    <w:basedOn w:val="Normal"/>
    <w:next w:val="Normal"/>
    <w:autoRedefine/>
    <w:uiPriority w:val="39"/>
    <w:unhideWhenUsed/>
    <w:rsid w:val="007F624B"/>
    <w:pPr>
      <w:spacing w:after="100" w:line="276" w:lineRule="auto"/>
      <w:ind w:left="1760"/>
      <w:jc w:val="left"/>
    </w:pPr>
    <w:rPr>
      <w:rFonts w:asciiTheme="minorHAnsi" w:eastAsiaTheme="minorEastAsia" w:hAnsiTheme="minorHAnsi" w:cstheme="minorBidi"/>
      <w:color w:val="auto"/>
      <w:sz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0.emf"/><Relationship Id="rId671" Type="http://schemas.openxmlformats.org/officeDocument/2006/relationships/footer" Target="footer114.xml"/><Relationship Id="rId769" Type="http://schemas.openxmlformats.org/officeDocument/2006/relationships/header" Target="header147.xml"/><Relationship Id="rId21" Type="http://schemas.openxmlformats.org/officeDocument/2006/relationships/footer" Target="footer6.xml"/><Relationship Id="rId324" Type="http://schemas.openxmlformats.org/officeDocument/2006/relationships/footer" Target="footer47.xml"/><Relationship Id="rId531" Type="http://schemas.openxmlformats.org/officeDocument/2006/relationships/header" Target="header67.xml"/><Relationship Id="rId629" Type="http://schemas.openxmlformats.org/officeDocument/2006/relationships/image" Target="media/image416.emf"/><Relationship Id="rId170" Type="http://schemas.openxmlformats.org/officeDocument/2006/relationships/image" Target="media/image107.emf"/><Relationship Id="rId836" Type="http://schemas.openxmlformats.org/officeDocument/2006/relationships/hyperlink" Target="http://www.nber.com/books/intlSS-p3/index.html" TargetMode="External"/><Relationship Id="rId268" Type="http://schemas.openxmlformats.org/officeDocument/2006/relationships/footer" Target="footer33.xml"/><Relationship Id="rId475" Type="http://schemas.openxmlformats.org/officeDocument/2006/relationships/image" Target="media/image340.emf"/><Relationship Id="rId682" Type="http://schemas.openxmlformats.org/officeDocument/2006/relationships/image" Target="media/image433.emf"/><Relationship Id="rId32" Type="http://schemas.openxmlformats.org/officeDocument/2006/relationships/image" Target="media/image11.emf"/><Relationship Id="rId128" Type="http://schemas.openxmlformats.org/officeDocument/2006/relationships/image" Target="media/image71.emf"/><Relationship Id="rId335" Type="http://schemas.openxmlformats.org/officeDocument/2006/relationships/header" Target="header50.xml"/><Relationship Id="rId542" Type="http://schemas.openxmlformats.org/officeDocument/2006/relationships/footer" Target="footer70.xml"/><Relationship Id="rId181" Type="http://schemas.openxmlformats.org/officeDocument/2006/relationships/image" Target="media/image118.emf"/><Relationship Id="rId402" Type="http://schemas.openxmlformats.org/officeDocument/2006/relationships/image" Target="media/image267.emf"/><Relationship Id="rId847" Type="http://schemas.openxmlformats.org/officeDocument/2006/relationships/hyperlink" Target="http://onlinelibrary.wiley.com/doi/10.1002/hec.3089/abstract;jsessionid=0B9D9E2FBE53FBECBF09FA79D3B5F4B3.f02t02" TargetMode="External"/><Relationship Id="rId279" Type="http://schemas.openxmlformats.org/officeDocument/2006/relationships/header" Target="header34.xml"/><Relationship Id="rId486" Type="http://schemas.openxmlformats.org/officeDocument/2006/relationships/image" Target="media/image351.emf"/><Relationship Id="rId693" Type="http://schemas.openxmlformats.org/officeDocument/2006/relationships/header" Target="header121.xml"/><Relationship Id="rId707" Type="http://schemas.openxmlformats.org/officeDocument/2006/relationships/footer" Target="footer126.xml"/><Relationship Id="rId43" Type="http://schemas.openxmlformats.org/officeDocument/2006/relationships/footer" Target="footer10.xml"/><Relationship Id="rId139" Type="http://schemas.openxmlformats.org/officeDocument/2006/relationships/image" Target="media/image82.emf"/><Relationship Id="rId346" Type="http://schemas.openxmlformats.org/officeDocument/2006/relationships/header" Target="header52.xml"/><Relationship Id="rId553" Type="http://schemas.openxmlformats.org/officeDocument/2006/relationships/header" Target="header75.xml"/><Relationship Id="rId760" Type="http://schemas.openxmlformats.org/officeDocument/2006/relationships/header" Target="header144.xml"/><Relationship Id="rId192" Type="http://schemas.openxmlformats.org/officeDocument/2006/relationships/footer" Target="footer26.xml"/><Relationship Id="rId206" Type="http://schemas.openxmlformats.org/officeDocument/2006/relationships/image" Target="media/image137.emf"/><Relationship Id="rId413" Type="http://schemas.openxmlformats.org/officeDocument/2006/relationships/image" Target="media/image278.emf"/><Relationship Id="rId497" Type="http://schemas.openxmlformats.org/officeDocument/2006/relationships/image" Target="media/image362.emf"/><Relationship Id="rId620" Type="http://schemas.openxmlformats.org/officeDocument/2006/relationships/image" Target="media/image413.emf"/><Relationship Id="rId718" Type="http://schemas.openxmlformats.org/officeDocument/2006/relationships/image" Target="media/image445.emf"/><Relationship Id="rId357" Type="http://schemas.openxmlformats.org/officeDocument/2006/relationships/footer" Target="footer57.xml"/><Relationship Id="rId54" Type="http://schemas.openxmlformats.org/officeDocument/2006/relationships/image" Target="media/image21.emf"/><Relationship Id="rId217" Type="http://schemas.openxmlformats.org/officeDocument/2006/relationships/image" Target="media/image148.emf"/><Relationship Id="rId564" Type="http://schemas.openxmlformats.org/officeDocument/2006/relationships/image" Target="media/image393.emf"/><Relationship Id="rId771" Type="http://schemas.openxmlformats.org/officeDocument/2006/relationships/image" Target="media/image462.emf"/><Relationship Id="rId424" Type="http://schemas.openxmlformats.org/officeDocument/2006/relationships/image" Target="media/image289.emf"/><Relationship Id="rId631" Type="http://schemas.openxmlformats.org/officeDocument/2006/relationships/header" Target="header101.xml"/><Relationship Id="rId729" Type="http://schemas.openxmlformats.org/officeDocument/2006/relationships/header" Target="header133.xml"/><Relationship Id="rId270" Type="http://schemas.openxmlformats.org/officeDocument/2006/relationships/image" Target="media/image189.emf"/><Relationship Id="rId65" Type="http://schemas.openxmlformats.org/officeDocument/2006/relationships/image" Target="media/image32.emf"/><Relationship Id="rId130" Type="http://schemas.openxmlformats.org/officeDocument/2006/relationships/image" Target="media/image73.emf"/><Relationship Id="rId368" Type="http://schemas.openxmlformats.org/officeDocument/2006/relationships/image" Target="media/image233.emf"/><Relationship Id="rId575" Type="http://schemas.openxmlformats.org/officeDocument/2006/relationships/image" Target="media/image398.emf"/><Relationship Id="rId782" Type="http://schemas.openxmlformats.org/officeDocument/2006/relationships/image" Target="media/image467.emf"/><Relationship Id="rId172" Type="http://schemas.openxmlformats.org/officeDocument/2006/relationships/image" Target="media/image109.emf"/><Relationship Id="rId228" Type="http://schemas.openxmlformats.org/officeDocument/2006/relationships/footer" Target="footer29.xml"/><Relationship Id="rId435" Type="http://schemas.openxmlformats.org/officeDocument/2006/relationships/image" Target="media/image300.emf"/><Relationship Id="rId477" Type="http://schemas.openxmlformats.org/officeDocument/2006/relationships/image" Target="media/image342.emf"/><Relationship Id="rId600" Type="http://schemas.openxmlformats.org/officeDocument/2006/relationships/image" Target="media/image405.emf"/><Relationship Id="rId642" Type="http://schemas.openxmlformats.org/officeDocument/2006/relationships/footer" Target="footer104.xml"/><Relationship Id="rId684" Type="http://schemas.openxmlformats.org/officeDocument/2006/relationships/header" Target="header118.xml"/><Relationship Id="rId281" Type="http://schemas.openxmlformats.org/officeDocument/2006/relationships/footer" Target="footer34.xml"/><Relationship Id="rId337" Type="http://schemas.openxmlformats.org/officeDocument/2006/relationships/footer" Target="footer50.xml"/><Relationship Id="rId502" Type="http://schemas.openxmlformats.org/officeDocument/2006/relationships/image" Target="media/image367.emf"/><Relationship Id="rId34" Type="http://schemas.openxmlformats.org/officeDocument/2006/relationships/image" Target="media/image13.emf"/><Relationship Id="rId76" Type="http://schemas.openxmlformats.org/officeDocument/2006/relationships/image" Target="media/image37.emf"/><Relationship Id="rId141" Type="http://schemas.openxmlformats.org/officeDocument/2006/relationships/image" Target="media/image84.emf"/><Relationship Id="rId379" Type="http://schemas.openxmlformats.org/officeDocument/2006/relationships/image" Target="media/image244.emf"/><Relationship Id="rId544" Type="http://schemas.openxmlformats.org/officeDocument/2006/relationships/header" Target="header72.xml"/><Relationship Id="rId586" Type="http://schemas.openxmlformats.org/officeDocument/2006/relationships/header" Target="header86.xml"/><Relationship Id="rId751" Type="http://schemas.openxmlformats.org/officeDocument/2006/relationships/header" Target="header141.xml"/><Relationship Id="rId793" Type="http://schemas.openxmlformats.org/officeDocument/2006/relationships/header" Target="header155.xml"/><Relationship Id="rId807" Type="http://schemas.openxmlformats.org/officeDocument/2006/relationships/image" Target="media/image474.emf"/><Relationship Id="rId849" Type="http://schemas.openxmlformats.org/officeDocument/2006/relationships/hyperlink" Target="http://www.who.int/health_financing/documents/report_en_11_deter-he.pdf" TargetMode="External"/><Relationship Id="rId7" Type="http://schemas.openxmlformats.org/officeDocument/2006/relationships/endnotes" Target="endnotes.xml"/><Relationship Id="rId183" Type="http://schemas.openxmlformats.org/officeDocument/2006/relationships/image" Target="media/image120.emf"/><Relationship Id="rId239" Type="http://schemas.openxmlformats.org/officeDocument/2006/relationships/image" Target="media/image164.GIF"/><Relationship Id="rId390" Type="http://schemas.openxmlformats.org/officeDocument/2006/relationships/image" Target="media/image255.emf"/><Relationship Id="rId404" Type="http://schemas.openxmlformats.org/officeDocument/2006/relationships/image" Target="media/image269.emf"/><Relationship Id="rId446" Type="http://schemas.openxmlformats.org/officeDocument/2006/relationships/image" Target="media/image311.emf"/><Relationship Id="rId611" Type="http://schemas.openxmlformats.org/officeDocument/2006/relationships/image" Target="media/image410.emf"/><Relationship Id="rId653" Type="http://schemas.openxmlformats.org/officeDocument/2006/relationships/footer" Target="footer108.xml"/><Relationship Id="rId250" Type="http://schemas.openxmlformats.org/officeDocument/2006/relationships/image" Target="media/image175.emf"/><Relationship Id="rId292" Type="http://schemas.openxmlformats.org/officeDocument/2006/relationships/header" Target="header39.xml"/><Relationship Id="rId306" Type="http://schemas.openxmlformats.org/officeDocument/2006/relationships/image" Target="media/image207.emf"/><Relationship Id="rId488" Type="http://schemas.openxmlformats.org/officeDocument/2006/relationships/image" Target="media/image353.emf"/><Relationship Id="rId695" Type="http://schemas.openxmlformats.org/officeDocument/2006/relationships/footer" Target="footer121.xml"/><Relationship Id="rId709" Type="http://schemas.openxmlformats.org/officeDocument/2006/relationships/image" Target="media/image442.emf"/><Relationship Id="rId45" Type="http://schemas.openxmlformats.org/officeDocument/2006/relationships/header" Target="header12.xml"/><Relationship Id="rId87" Type="http://schemas.openxmlformats.org/officeDocument/2006/relationships/image" Target="media/image48.emf"/><Relationship Id="rId110" Type="http://schemas.openxmlformats.org/officeDocument/2006/relationships/footer" Target="footer22.xml"/><Relationship Id="rId348" Type="http://schemas.openxmlformats.org/officeDocument/2006/relationships/footer" Target="footer52.xml"/><Relationship Id="rId513" Type="http://schemas.openxmlformats.org/officeDocument/2006/relationships/image" Target="media/image378.emf"/><Relationship Id="rId555" Type="http://schemas.openxmlformats.org/officeDocument/2006/relationships/image" Target="media/image390.emf"/><Relationship Id="rId597" Type="http://schemas.openxmlformats.org/officeDocument/2006/relationships/footer" Target="footer89.xml"/><Relationship Id="rId720" Type="http://schemas.openxmlformats.org/officeDocument/2006/relationships/header" Target="header130.xml"/><Relationship Id="rId762" Type="http://schemas.openxmlformats.org/officeDocument/2006/relationships/image" Target="media/image459.emf"/><Relationship Id="rId818" Type="http://schemas.openxmlformats.org/officeDocument/2006/relationships/footer" Target="footer163.xml"/><Relationship Id="rId152" Type="http://schemas.openxmlformats.org/officeDocument/2006/relationships/image" Target="media/image95.emf"/><Relationship Id="rId194" Type="http://schemas.openxmlformats.org/officeDocument/2006/relationships/footer" Target="footer27.xml"/><Relationship Id="rId208" Type="http://schemas.openxmlformats.org/officeDocument/2006/relationships/image" Target="media/image139.emf"/><Relationship Id="rId415" Type="http://schemas.openxmlformats.org/officeDocument/2006/relationships/image" Target="media/image280.emf"/><Relationship Id="rId457" Type="http://schemas.openxmlformats.org/officeDocument/2006/relationships/image" Target="media/image322.emf"/><Relationship Id="rId622" Type="http://schemas.openxmlformats.org/officeDocument/2006/relationships/header" Target="header98.xml"/><Relationship Id="rId261" Type="http://schemas.openxmlformats.org/officeDocument/2006/relationships/image" Target="media/image186.emf"/><Relationship Id="rId499" Type="http://schemas.openxmlformats.org/officeDocument/2006/relationships/image" Target="media/image364.emf"/><Relationship Id="rId664" Type="http://schemas.openxmlformats.org/officeDocument/2006/relationships/image" Target="media/image427.emf"/><Relationship Id="rId14" Type="http://schemas.openxmlformats.org/officeDocument/2006/relationships/header" Target="header3.xml"/><Relationship Id="rId56" Type="http://schemas.openxmlformats.org/officeDocument/2006/relationships/image" Target="media/image23.emf"/><Relationship Id="rId317" Type="http://schemas.openxmlformats.org/officeDocument/2006/relationships/header" Target="header45.xml"/><Relationship Id="rId359" Type="http://schemas.openxmlformats.org/officeDocument/2006/relationships/image" Target="media/image230.emf"/><Relationship Id="rId524" Type="http://schemas.openxmlformats.org/officeDocument/2006/relationships/header" Target="header64.xml"/><Relationship Id="rId566" Type="http://schemas.openxmlformats.org/officeDocument/2006/relationships/image" Target="media/image395.emf"/><Relationship Id="rId731" Type="http://schemas.openxmlformats.org/officeDocument/2006/relationships/footer" Target="footer133.xml"/><Relationship Id="rId773" Type="http://schemas.openxmlformats.org/officeDocument/2006/relationships/image" Target="media/image464.emf"/><Relationship Id="rId98" Type="http://schemas.openxmlformats.org/officeDocument/2006/relationships/image" Target="media/image53.emf"/><Relationship Id="rId121" Type="http://schemas.openxmlformats.org/officeDocument/2006/relationships/image" Target="media/image64.emf"/><Relationship Id="rId163" Type="http://schemas.openxmlformats.org/officeDocument/2006/relationships/oleObject" Target="embeddings/oleObject4.bin"/><Relationship Id="rId219" Type="http://schemas.openxmlformats.org/officeDocument/2006/relationships/image" Target="media/image150.emf"/><Relationship Id="rId370" Type="http://schemas.openxmlformats.org/officeDocument/2006/relationships/image" Target="media/image235.emf"/><Relationship Id="rId426" Type="http://schemas.openxmlformats.org/officeDocument/2006/relationships/image" Target="media/image291.emf"/><Relationship Id="rId633" Type="http://schemas.openxmlformats.org/officeDocument/2006/relationships/footer" Target="footer101.xml"/><Relationship Id="rId829" Type="http://schemas.openxmlformats.org/officeDocument/2006/relationships/hyperlink" Target="http://ec.europa.eu/economy_finance/publications/european_economy/2015/ee3_en.htm" TargetMode="External"/><Relationship Id="rId230" Type="http://schemas.openxmlformats.org/officeDocument/2006/relationships/footer" Target="footer30.xml"/><Relationship Id="rId468" Type="http://schemas.openxmlformats.org/officeDocument/2006/relationships/image" Target="media/image333.emf"/><Relationship Id="rId675" Type="http://schemas.openxmlformats.org/officeDocument/2006/relationships/header" Target="header115.xml"/><Relationship Id="rId840" Type="http://schemas.openxmlformats.org/officeDocument/2006/relationships/hyperlink" Target="http://dx.doi.org/10.1787/pension_glance-2015-en" TargetMode="External"/><Relationship Id="rId25" Type="http://schemas.openxmlformats.org/officeDocument/2006/relationships/image" Target="media/image4.emf"/><Relationship Id="rId67" Type="http://schemas.openxmlformats.org/officeDocument/2006/relationships/header" Target="header14.xml"/><Relationship Id="rId272" Type="http://schemas.openxmlformats.org/officeDocument/2006/relationships/image" Target="media/image191.emf"/><Relationship Id="rId328" Type="http://schemas.openxmlformats.org/officeDocument/2006/relationships/image" Target="media/image217.emf"/><Relationship Id="rId535" Type="http://schemas.openxmlformats.org/officeDocument/2006/relationships/header" Target="header69.xml"/><Relationship Id="rId577" Type="http://schemas.openxmlformats.org/officeDocument/2006/relationships/header" Target="header83.xml"/><Relationship Id="rId700" Type="http://schemas.openxmlformats.org/officeDocument/2006/relationships/image" Target="media/image439.emf"/><Relationship Id="rId742" Type="http://schemas.openxmlformats.org/officeDocument/2006/relationships/header" Target="header138.xml"/><Relationship Id="rId132" Type="http://schemas.openxmlformats.org/officeDocument/2006/relationships/image" Target="media/image75.emf"/><Relationship Id="rId174" Type="http://schemas.openxmlformats.org/officeDocument/2006/relationships/image" Target="media/image111.emf"/><Relationship Id="rId381" Type="http://schemas.openxmlformats.org/officeDocument/2006/relationships/image" Target="media/image246.emf"/><Relationship Id="rId602" Type="http://schemas.openxmlformats.org/officeDocument/2006/relationships/image" Target="media/image407.emf"/><Relationship Id="rId784" Type="http://schemas.openxmlformats.org/officeDocument/2006/relationships/header" Target="header152.xml"/><Relationship Id="rId241" Type="http://schemas.openxmlformats.org/officeDocument/2006/relationships/image" Target="media/image166.emf"/><Relationship Id="rId437" Type="http://schemas.openxmlformats.org/officeDocument/2006/relationships/image" Target="media/image302.emf"/><Relationship Id="rId479" Type="http://schemas.openxmlformats.org/officeDocument/2006/relationships/image" Target="media/image344.emf"/><Relationship Id="rId644" Type="http://schemas.openxmlformats.org/officeDocument/2006/relationships/footer" Target="footer105.xml"/><Relationship Id="rId686" Type="http://schemas.openxmlformats.org/officeDocument/2006/relationships/footer" Target="footer118.xml"/><Relationship Id="rId851" Type="http://schemas.openxmlformats.org/officeDocument/2006/relationships/header" Target="header167.xml"/><Relationship Id="rId36" Type="http://schemas.openxmlformats.org/officeDocument/2006/relationships/header" Target="header8.xml"/><Relationship Id="rId283" Type="http://schemas.openxmlformats.org/officeDocument/2006/relationships/header" Target="header36.xml"/><Relationship Id="rId339" Type="http://schemas.openxmlformats.org/officeDocument/2006/relationships/footer" Target="footer51.xml"/><Relationship Id="rId490" Type="http://schemas.openxmlformats.org/officeDocument/2006/relationships/image" Target="media/image355.emf"/><Relationship Id="rId504" Type="http://schemas.openxmlformats.org/officeDocument/2006/relationships/image" Target="media/image369.emf"/><Relationship Id="rId546" Type="http://schemas.openxmlformats.org/officeDocument/2006/relationships/image" Target="media/image387.emf"/><Relationship Id="rId711" Type="http://schemas.openxmlformats.org/officeDocument/2006/relationships/header" Target="header127.xml"/><Relationship Id="rId753" Type="http://schemas.openxmlformats.org/officeDocument/2006/relationships/image" Target="media/image456.emf"/><Relationship Id="rId78" Type="http://schemas.openxmlformats.org/officeDocument/2006/relationships/image" Target="media/image39.emf"/><Relationship Id="rId101" Type="http://schemas.openxmlformats.org/officeDocument/2006/relationships/image" Target="media/image56.emf"/><Relationship Id="rId143" Type="http://schemas.openxmlformats.org/officeDocument/2006/relationships/image" Target="media/image86.emf"/><Relationship Id="rId185" Type="http://schemas.openxmlformats.org/officeDocument/2006/relationships/image" Target="media/image122.emf"/><Relationship Id="rId350" Type="http://schemas.openxmlformats.org/officeDocument/2006/relationships/header" Target="header54.xml"/><Relationship Id="rId406" Type="http://schemas.openxmlformats.org/officeDocument/2006/relationships/image" Target="media/image271.emf"/><Relationship Id="rId588" Type="http://schemas.openxmlformats.org/officeDocument/2006/relationships/footer" Target="footer86.xml"/><Relationship Id="rId795" Type="http://schemas.openxmlformats.org/officeDocument/2006/relationships/footer" Target="footer155.xml"/><Relationship Id="rId809" Type="http://schemas.openxmlformats.org/officeDocument/2006/relationships/image" Target="media/image476.emf"/><Relationship Id="rId9" Type="http://schemas.openxmlformats.org/officeDocument/2006/relationships/hyperlink" Target="mailto:EPC-Secretariat@ec.europa.eu" TargetMode="External"/><Relationship Id="rId210" Type="http://schemas.openxmlformats.org/officeDocument/2006/relationships/image" Target="media/image141.emf"/><Relationship Id="rId392" Type="http://schemas.openxmlformats.org/officeDocument/2006/relationships/image" Target="media/image257.emf"/><Relationship Id="rId448" Type="http://schemas.openxmlformats.org/officeDocument/2006/relationships/image" Target="media/image313.emf"/><Relationship Id="rId613" Type="http://schemas.openxmlformats.org/officeDocument/2006/relationships/header" Target="header95.xml"/><Relationship Id="rId655" Type="http://schemas.openxmlformats.org/officeDocument/2006/relationships/image" Target="media/image424.emf"/><Relationship Id="rId697" Type="http://schemas.openxmlformats.org/officeDocument/2006/relationships/header" Target="header123.xml"/><Relationship Id="rId820" Type="http://schemas.openxmlformats.org/officeDocument/2006/relationships/header" Target="header165.xml"/><Relationship Id="rId252" Type="http://schemas.openxmlformats.org/officeDocument/2006/relationships/image" Target="media/image177.emf"/><Relationship Id="rId294" Type="http://schemas.openxmlformats.org/officeDocument/2006/relationships/image" Target="media/image201.emf"/><Relationship Id="rId308" Type="http://schemas.openxmlformats.org/officeDocument/2006/relationships/image" Target="media/image209.emf"/><Relationship Id="rId515" Type="http://schemas.openxmlformats.org/officeDocument/2006/relationships/image" Target="media/image380.emf"/><Relationship Id="rId722" Type="http://schemas.openxmlformats.org/officeDocument/2006/relationships/footer" Target="footer130.xml"/><Relationship Id="rId47" Type="http://schemas.openxmlformats.org/officeDocument/2006/relationships/image" Target="media/image14.emf"/><Relationship Id="rId89" Type="http://schemas.openxmlformats.org/officeDocument/2006/relationships/image" Target="media/image50.emf"/><Relationship Id="rId112" Type="http://schemas.openxmlformats.org/officeDocument/2006/relationships/header" Target="header24.xml"/><Relationship Id="rId154" Type="http://schemas.openxmlformats.org/officeDocument/2006/relationships/image" Target="media/image97.emf"/><Relationship Id="rId361" Type="http://schemas.openxmlformats.org/officeDocument/2006/relationships/header" Target="header58.xml"/><Relationship Id="rId557" Type="http://schemas.openxmlformats.org/officeDocument/2006/relationships/image" Target="media/image392.emf"/><Relationship Id="rId599" Type="http://schemas.openxmlformats.org/officeDocument/2006/relationships/footer" Target="footer90.xml"/><Relationship Id="rId764" Type="http://schemas.openxmlformats.org/officeDocument/2006/relationships/image" Target="media/image461.emf"/><Relationship Id="rId196" Type="http://schemas.openxmlformats.org/officeDocument/2006/relationships/image" Target="media/image127.emf"/><Relationship Id="rId417" Type="http://schemas.openxmlformats.org/officeDocument/2006/relationships/image" Target="media/image282.emf"/><Relationship Id="rId459" Type="http://schemas.openxmlformats.org/officeDocument/2006/relationships/image" Target="media/image324.emf"/><Relationship Id="rId624" Type="http://schemas.openxmlformats.org/officeDocument/2006/relationships/footer" Target="footer98.xml"/><Relationship Id="rId666" Type="http://schemas.openxmlformats.org/officeDocument/2006/relationships/header" Target="header112.xml"/><Relationship Id="rId831" Type="http://schemas.openxmlformats.org/officeDocument/2006/relationships/hyperlink" Target="https://ec.europa.eu/info/business-economy-euro/indicators-statistics/economic-databases/pensref-pension-reform-database_en" TargetMode="External"/><Relationship Id="rId16" Type="http://schemas.openxmlformats.org/officeDocument/2006/relationships/header" Target="header4.xml"/><Relationship Id="rId221" Type="http://schemas.openxmlformats.org/officeDocument/2006/relationships/image" Target="media/image152.emf"/><Relationship Id="rId263" Type="http://schemas.openxmlformats.org/officeDocument/2006/relationships/header" Target="header31.xml"/><Relationship Id="rId319" Type="http://schemas.openxmlformats.org/officeDocument/2006/relationships/image" Target="media/image214.emf"/><Relationship Id="rId470" Type="http://schemas.openxmlformats.org/officeDocument/2006/relationships/image" Target="media/image335.emf"/><Relationship Id="rId526" Type="http://schemas.openxmlformats.org/officeDocument/2006/relationships/footer" Target="footer64.xml"/><Relationship Id="rId58" Type="http://schemas.openxmlformats.org/officeDocument/2006/relationships/image" Target="media/image25.emf"/><Relationship Id="rId123" Type="http://schemas.openxmlformats.org/officeDocument/2006/relationships/image" Target="media/image66.emf"/><Relationship Id="rId330" Type="http://schemas.openxmlformats.org/officeDocument/2006/relationships/image" Target="media/image219.emf"/><Relationship Id="rId568" Type="http://schemas.openxmlformats.org/officeDocument/2006/relationships/header" Target="header80.xml"/><Relationship Id="rId733" Type="http://schemas.openxmlformats.org/officeDocument/2006/relationships/header" Target="header135.xml"/><Relationship Id="rId775" Type="http://schemas.openxmlformats.org/officeDocument/2006/relationships/header" Target="header149.xml"/><Relationship Id="rId165" Type="http://schemas.openxmlformats.org/officeDocument/2006/relationships/oleObject" Target="embeddings/oleObject5.bin"/><Relationship Id="rId372" Type="http://schemas.openxmlformats.org/officeDocument/2006/relationships/image" Target="media/image237.emf"/><Relationship Id="rId428" Type="http://schemas.openxmlformats.org/officeDocument/2006/relationships/image" Target="media/image293.emf"/><Relationship Id="rId635" Type="http://schemas.openxmlformats.org/officeDocument/2006/relationships/footer" Target="footer102.xml"/><Relationship Id="rId677" Type="http://schemas.openxmlformats.org/officeDocument/2006/relationships/footer" Target="footer115.xml"/><Relationship Id="rId800" Type="http://schemas.openxmlformats.org/officeDocument/2006/relationships/image" Target="media/image473.emf"/><Relationship Id="rId842" Type="http://schemas.openxmlformats.org/officeDocument/2006/relationships/hyperlink" Target="https://www.ssa.gov/policy/docs/progdesc/ssptw/2014-2015/europe/index.html" TargetMode="External"/><Relationship Id="rId232" Type="http://schemas.openxmlformats.org/officeDocument/2006/relationships/image" Target="media/image157.emf"/><Relationship Id="rId274" Type="http://schemas.openxmlformats.org/officeDocument/2006/relationships/image" Target="media/image193.emf"/><Relationship Id="rId481" Type="http://schemas.openxmlformats.org/officeDocument/2006/relationships/image" Target="media/image346.emf"/><Relationship Id="rId702" Type="http://schemas.openxmlformats.org/officeDocument/2006/relationships/header" Target="header124.xml"/><Relationship Id="rId27" Type="http://schemas.openxmlformats.org/officeDocument/2006/relationships/image" Target="media/image6.emf"/><Relationship Id="rId69" Type="http://schemas.openxmlformats.org/officeDocument/2006/relationships/footer" Target="footer14.xml"/><Relationship Id="rId134" Type="http://schemas.openxmlformats.org/officeDocument/2006/relationships/image" Target="media/image77.emf"/><Relationship Id="rId537" Type="http://schemas.openxmlformats.org/officeDocument/2006/relationships/image" Target="media/image384.emf"/><Relationship Id="rId579" Type="http://schemas.openxmlformats.org/officeDocument/2006/relationships/footer" Target="footer83.xml"/><Relationship Id="rId744" Type="http://schemas.openxmlformats.org/officeDocument/2006/relationships/image" Target="media/image453.emf"/><Relationship Id="rId786" Type="http://schemas.openxmlformats.org/officeDocument/2006/relationships/footer" Target="footer152.xml"/><Relationship Id="rId80" Type="http://schemas.openxmlformats.org/officeDocument/2006/relationships/image" Target="media/image41.emf"/><Relationship Id="rId176" Type="http://schemas.openxmlformats.org/officeDocument/2006/relationships/image" Target="media/image113.emf"/><Relationship Id="rId341" Type="http://schemas.openxmlformats.org/officeDocument/2006/relationships/image" Target="media/image224.emf"/><Relationship Id="rId383" Type="http://schemas.openxmlformats.org/officeDocument/2006/relationships/image" Target="media/image248.emf"/><Relationship Id="rId439" Type="http://schemas.openxmlformats.org/officeDocument/2006/relationships/image" Target="media/image304.emf"/><Relationship Id="rId590" Type="http://schemas.openxmlformats.org/officeDocument/2006/relationships/footer" Target="footer87.xml"/><Relationship Id="rId604" Type="http://schemas.openxmlformats.org/officeDocument/2006/relationships/header" Target="header92.xml"/><Relationship Id="rId646" Type="http://schemas.openxmlformats.org/officeDocument/2006/relationships/image" Target="media/image421.emf"/><Relationship Id="rId811" Type="http://schemas.openxmlformats.org/officeDocument/2006/relationships/header" Target="header161.xml"/><Relationship Id="rId201" Type="http://schemas.openxmlformats.org/officeDocument/2006/relationships/image" Target="media/image132.emf"/><Relationship Id="rId243" Type="http://schemas.openxmlformats.org/officeDocument/2006/relationships/image" Target="media/image168.emf"/><Relationship Id="rId285" Type="http://schemas.openxmlformats.org/officeDocument/2006/relationships/image" Target="media/image198.emf"/><Relationship Id="rId450" Type="http://schemas.openxmlformats.org/officeDocument/2006/relationships/image" Target="media/image315.emf"/><Relationship Id="rId506" Type="http://schemas.openxmlformats.org/officeDocument/2006/relationships/image" Target="media/image371.emf"/><Relationship Id="rId688" Type="http://schemas.openxmlformats.org/officeDocument/2006/relationships/header" Target="header120.xml"/><Relationship Id="rId853" Type="http://schemas.openxmlformats.org/officeDocument/2006/relationships/footer" Target="footer167.xml"/><Relationship Id="rId38" Type="http://schemas.openxmlformats.org/officeDocument/2006/relationships/footer" Target="footer8.xml"/><Relationship Id="rId103" Type="http://schemas.openxmlformats.org/officeDocument/2006/relationships/header" Target="header20.xml"/><Relationship Id="rId310" Type="http://schemas.openxmlformats.org/officeDocument/2006/relationships/image" Target="media/image211.emf"/><Relationship Id="rId492" Type="http://schemas.openxmlformats.org/officeDocument/2006/relationships/image" Target="media/image357.emf"/><Relationship Id="rId548" Type="http://schemas.openxmlformats.org/officeDocument/2006/relationships/image" Target="media/image389.emf"/><Relationship Id="rId713" Type="http://schemas.openxmlformats.org/officeDocument/2006/relationships/footer" Target="footer127.xml"/><Relationship Id="rId755" Type="http://schemas.openxmlformats.org/officeDocument/2006/relationships/image" Target="media/image458.emf"/><Relationship Id="rId797" Type="http://schemas.openxmlformats.org/officeDocument/2006/relationships/footer" Target="footer156.xml"/><Relationship Id="rId91" Type="http://schemas.openxmlformats.org/officeDocument/2006/relationships/header" Target="header16.xml"/><Relationship Id="rId145" Type="http://schemas.openxmlformats.org/officeDocument/2006/relationships/image" Target="media/image88.emf"/><Relationship Id="rId187" Type="http://schemas.openxmlformats.org/officeDocument/2006/relationships/image" Target="media/image124.emf"/><Relationship Id="rId352" Type="http://schemas.openxmlformats.org/officeDocument/2006/relationships/header" Target="header55.xml"/><Relationship Id="rId394" Type="http://schemas.openxmlformats.org/officeDocument/2006/relationships/image" Target="media/image259.emf"/><Relationship Id="rId408" Type="http://schemas.openxmlformats.org/officeDocument/2006/relationships/image" Target="media/image273.emf"/><Relationship Id="rId615" Type="http://schemas.openxmlformats.org/officeDocument/2006/relationships/footer" Target="footer95.xml"/><Relationship Id="rId822" Type="http://schemas.openxmlformats.org/officeDocument/2006/relationships/hyperlink" Target="http://ec.europa.eu/eurostat/documents/3859598/7766647/KS-GQ-16-010-EN-N.pdf/3fe2216e-13b0-4ba1-b84f-a7d5b091235f" TargetMode="External"/><Relationship Id="rId212" Type="http://schemas.openxmlformats.org/officeDocument/2006/relationships/image" Target="media/image143.emf"/><Relationship Id="rId254" Type="http://schemas.openxmlformats.org/officeDocument/2006/relationships/image" Target="media/image179.emf"/><Relationship Id="rId657" Type="http://schemas.openxmlformats.org/officeDocument/2006/relationships/header" Target="header109.xml"/><Relationship Id="rId699" Type="http://schemas.openxmlformats.org/officeDocument/2006/relationships/image" Target="media/image438.emf"/><Relationship Id="rId49" Type="http://schemas.openxmlformats.org/officeDocument/2006/relationships/image" Target="media/image16.emf"/><Relationship Id="rId114" Type="http://schemas.openxmlformats.org/officeDocument/2006/relationships/image" Target="media/image57.emf"/><Relationship Id="rId296" Type="http://schemas.openxmlformats.org/officeDocument/2006/relationships/image" Target="media/image203.emf"/><Relationship Id="rId461" Type="http://schemas.openxmlformats.org/officeDocument/2006/relationships/image" Target="media/image326.emf"/><Relationship Id="rId517" Type="http://schemas.openxmlformats.org/officeDocument/2006/relationships/header" Target="header62.xml"/><Relationship Id="rId559" Type="http://schemas.openxmlformats.org/officeDocument/2006/relationships/header" Target="header77.xml"/><Relationship Id="rId724" Type="http://schemas.openxmlformats.org/officeDocument/2006/relationships/header" Target="header132.xml"/><Relationship Id="rId766" Type="http://schemas.openxmlformats.org/officeDocument/2006/relationships/header" Target="header146.xml"/><Relationship Id="rId60" Type="http://schemas.openxmlformats.org/officeDocument/2006/relationships/image" Target="media/image27.emf"/><Relationship Id="rId156" Type="http://schemas.openxmlformats.org/officeDocument/2006/relationships/image" Target="media/image99.wmf"/><Relationship Id="rId198" Type="http://schemas.openxmlformats.org/officeDocument/2006/relationships/image" Target="media/image129.emf"/><Relationship Id="rId321" Type="http://schemas.openxmlformats.org/officeDocument/2006/relationships/header" Target="header46.xml"/><Relationship Id="rId363" Type="http://schemas.openxmlformats.org/officeDocument/2006/relationships/footer" Target="footer58.xml"/><Relationship Id="rId419" Type="http://schemas.openxmlformats.org/officeDocument/2006/relationships/image" Target="media/image284.emf"/><Relationship Id="rId570" Type="http://schemas.openxmlformats.org/officeDocument/2006/relationships/footer" Target="footer80.xml"/><Relationship Id="rId626" Type="http://schemas.openxmlformats.org/officeDocument/2006/relationships/footer" Target="footer99.xml"/><Relationship Id="rId223" Type="http://schemas.openxmlformats.org/officeDocument/2006/relationships/image" Target="media/image154.emf"/><Relationship Id="rId430" Type="http://schemas.openxmlformats.org/officeDocument/2006/relationships/image" Target="media/image295.emf"/><Relationship Id="rId668" Type="http://schemas.openxmlformats.org/officeDocument/2006/relationships/footer" Target="footer112.xml"/><Relationship Id="rId833" Type="http://schemas.openxmlformats.org/officeDocument/2006/relationships/hyperlink" Target="http://www.google.be/url?sa=t&amp;rct=j&amp;q=&amp;esrc=s&amp;source=web&amp;cd=2&amp;ved=0ahUKEwjMwOnn_pPOAhUlK8AKHWS7Bm8QFggjMAE&amp;url=http%3A%2F%2Fec.europa.eu%2Fsocial%2FBlobServlet%3FdocId%3D14545%26langId%3Den&amp;usg=AFQjCNHvhWhucU_a-9MpYBObbfj2t6p_NA" TargetMode="External"/><Relationship Id="rId18" Type="http://schemas.openxmlformats.org/officeDocument/2006/relationships/footer" Target="footer4.xml"/><Relationship Id="rId265" Type="http://schemas.openxmlformats.org/officeDocument/2006/relationships/footer" Target="footer31.xml"/><Relationship Id="rId472" Type="http://schemas.openxmlformats.org/officeDocument/2006/relationships/image" Target="media/image337.emf"/><Relationship Id="rId528" Type="http://schemas.openxmlformats.org/officeDocument/2006/relationships/header" Target="header66.xml"/><Relationship Id="rId735" Type="http://schemas.openxmlformats.org/officeDocument/2006/relationships/image" Target="media/image450.emf"/><Relationship Id="rId125" Type="http://schemas.openxmlformats.org/officeDocument/2006/relationships/image" Target="media/image68.emf"/><Relationship Id="rId167" Type="http://schemas.openxmlformats.org/officeDocument/2006/relationships/oleObject" Target="embeddings/oleObject6.bin"/><Relationship Id="rId332" Type="http://schemas.openxmlformats.org/officeDocument/2006/relationships/image" Target="media/image221.emf"/><Relationship Id="rId374" Type="http://schemas.openxmlformats.org/officeDocument/2006/relationships/image" Target="media/image239.emf"/><Relationship Id="rId581" Type="http://schemas.openxmlformats.org/officeDocument/2006/relationships/footer" Target="footer84.xml"/><Relationship Id="rId777" Type="http://schemas.openxmlformats.org/officeDocument/2006/relationships/footer" Target="footer149.xml"/><Relationship Id="rId71" Type="http://schemas.openxmlformats.org/officeDocument/2006/relationships/footer" Target="footer15.xml"/><Relationship Id="rId234" Type="http://schemas.openxmlformats.org/officeDocument/2006/relationships/image" Target="media/image159.emf"/><Relationship Id="rId637" Type="http://schemas.openxmlformats.org/officeDocument/2006/relationships/image" Target="media/image418.emf"/><Relationship Id="rId679" Type="http://schemas.openxmlformats.org/officeDocument/2006/relationships/header" Target="header117.xml"/><Relationship Id="rId802" Type="http://schemas.openxmlformats.org/officeDocument/2006/relationships/header" Target="header158.xml"/><Relationship Id="rId844" Type="http://schemas.openxmlformats.org/officeDocument/2006/relationships/hyperlink" Target="http://uis.unesco.org/sites/default/files/documents/international-standard-classification-of-education-isced-2011-en.pdf" TargetMode="External"/><Relationship Id="rId2" Type="http://schemas.openxmlformats.org/officeDocument/2006/relationships/styles" Target="styles.xml"/><Relationship Id="rId29" Type="http://schemas.openxmlformats.org/officeDocument/2006/relationships/image" Target="media/image8.emf"/><Relationship Id="rId276" Type="http://schemas.openxmlformats.org/officeDocument/2006/relationships/image" Target="media/image195.emf"/><Relationship Id="rId441" Type="http://schemas.openxmlformats.org/officeDocument/2006/relationships/image" Target="media/image306.emf"/><Relationship Id="rId483" Type="http://schemas.openxmlformats.org/officeDocument/2006/relationships/image" Target="media/image348.emf"/><Relationship Id="rId539" Type="http://schemas.openxmlformats.org/officeDocument/2006/relationships/image" Target="media/image386.emf"/><Relationship Id="rId690" Type="http://schemas.openxmlformats.org/officeDocument/2006/relationships/image" Target="media/image435.emf"/><Relationship Id="rId704" Type="http://schemas.openxmlformats.org/officeDocument/2006/relationships/footer" Target="footer124.xml"/><Relationship Id="rId746" Type="http://schemas.openxmlformats.org/officeDocument/2006/relationships/image" Target="media/image455.emf"/><Relationship Id="rId40" Type="http://schemas.openxmlformats.org/officeDocument/2006/relationships/footer" Target="footer9.xml"/><Relationship Id="rId136" Type="http://schemas.openxmlformats.org/officeDocument/2006/relationships/image" Target="media/image79.emf"/><Relationship Id="rId178" Type="http://schemas.openxmlformats.org/officeDocument/2006/relationships/image" Target="media/image115.emf"/><Relationship Id="rId301" Type="http://schemas.openxmlformats.org/officeDocument/2006/relationships/header" Target="header41.xml"/><Relationship Id="rId343" Type="http://schemas.openxmlformats.org/officeDocument/2006/relationships/image" Target="media/image226.emf"/><Relationship Id="rId550" Type="http://schemas.openxmlformats.org/officeDocument/2006/relationships/header" Target="header74.xml"/><Relationship Id="rId788" Type="http://schemas.openxmlformats.org/officeDocument/2006/relationships/footer" Target="footer153.xml"/><Relationship Id="rId82" Type="http://schemas.openxmlformats.org/officeDocument/2006/relationships/image" Target="media/image43.emf"/><Relationship Id="rId203" Type="http://schemas.openxmlformats.org/officeDocument/2006/relationships/image" Target="media/image134.emf"/><Relationship Id="rId385" Type="http://schemas.openxmlformats.org/officeDocument/2006/relationships/image" Target="media/image250.emf"/><Relationship Id="rId592" Type="http://schemas.openxmlformats.org/officeDocument/2006/relationships/image" Target="media/image403.emf"/><Relationship Id="rId606" Type="http://schemas.openxmlformats.org/officeDocument/2006/relationships/footer" Target="footer92.xml"/><Relationship Id="rId648" Type="http://schemas.openxmlformats.org/officeDocument/2006/relationships/header" Target="header106.xml"/><Relationship Id="rId813" Type="http://schemas.openxmlformats.org/officeDocument/2006/relationships/footer" Target="footer161.xml"/><Relationship Id="rId855" Type="http://schemas.openxmlformats.org/officeDocument/2006/relationships/footer" Target="footer168.xml"/><Relationship Id="rId245" Type="http://schemas.openxmlformats.org/officeDocument/2006/relationships/image" Target="media/image170.emf"/><Relationship Id="rId287" Type="http://schemas.openxmlformats.org/officeDocument/2006/relationships/image" Target="media/image200.emf"/><Relationship Id="rId410" Type="http://schemas.openxmlformats.org/officeDocument/2006/relationships/image" Target="media/image275.emf"/><Relationship Id="rId452" Type="http://schemas.openxmlformats.org/officeDocument/2006/relationships/image" Target="media/image317.emf"/><Relationship Id="rId494" Type="http://schemas.openxmlformats.org/officeDocument/2006/relationships/image" Target="media/image359.emf"/><Relationship Id="rId508" Type="http://schemas.openxmlformats.org/officeDocument/2006/relationships/image" Target="media/image373.emf"/><Relationship Id="rId715" Type="http://schemas.openxmlformats.org/officeDocument/2006/relationships/header" Target="header129.xml"/><Relationship Id="rId105" Type="http://schemas.openxmlformats.org/officeDocument/2006/relationships/footer" Target="footer20.xml"/><Relationship Id="rId147" Type="http://schemas.openxmlformats.org/officeDocument/2006/relationships/image" Target="media/image90.emf"/><Relationship Id="rId312" Type="http://schemas.openxmlformats.org/officeDocument/2006/relationships/image" Target="media/image213.emf"/><Relationship Id="rId354" Type="http://schemas.openxmlformats.org/officeDocument/2006/relationships/footer" Target="footer55.xml"/><Relationship Id="rId757" Type="http://schemas.openxmlformats.org/officeDocument/2006/relationships/header" Target="header143.xml"/><Relationship Id="rId799" Type="http://schemas.openxmlformats.org/officeDocument/2006/relationships/image" Target="media/image472.emf"/><Relationship Id="rId51" Type="http://schemas.openxmlformats.org/officeDocument/2006/relationships/image" Target="media/image18.emf"/><Relationship Id="rId93" Type="http://schemas.openxmlformats.org/officeDocument/2006/relationships/footer" Target="footer16.xml"/><Relationship Id="rId189" Type="http://schemas.openxmlformats.org/officeDocument/2006/relationships/header" Target="header25.xml"/><Relationship Id="rId396" Type="http://schemas.openxmlformats.org/officeDocument/2006/relationships/image" Target="media/image261.emf"/><Relationship Id="rId561" Type="http://schemas.openxmlformats.org/officeDocument/2006/relationships/footer" Target="footer77.xml"/><Relationship Id="rId617" Type="http://schemas.openxmlformats.org/officeDocument/2006/relationships/footer" Target="footer96.xml"/><Relationship Id="rId659" Type="http://schemas.openxmlformats.org/officeDocument/2006/relationships/footer" Target="footer109.xml"/><Relationship Id="rId824" Type="http://schemas.openxmlformats.org/officeDocument/2006/relationships/hyperlink" Target="http://ec.europa.eu/eurostat/documents/3859598/7766647/KS-GQ-16-010-EN-N.pdf/3fe2216e-13b0-4ba1-b84f-a7d5b091235f" TargetMode="External"/><Relationship Id="rId214" Type="http://schemas.openxmlformats.org/officeDocument/2006/relationships/image" Target="media/image145.emf"/><Relationship Id="rId256" Type="http://schemas.openxmlformats.org/officeDocument/2006/relationships/image" Target="media/image181.emf"/><Relationship Id="rId298" Type="http://schemas.openxmlformats.org/officeDocument/2006/relationships/image" Target="media/image205.emf"/><Relationship Id="rId421" Type="http://schemas.openxmlformats.org/officeDocument/2006/relationships/image" Target="media/image286.emf"/><Relationship Id="rId463" Type="http://schemas.openxmlformats.org/officeDocument/2006/relationships/image" Target="media/image328.emf"/><Relationship Id="rId519" Type="http://schemas.openxmlformats.org/officeDocument/2006/relationships/footer" Target="footer62.xml"/><Relationship Id="rId670" Type="http://schemas.openxmlformats.org/officeDocument/2006/relationships/header" Target="header114.xml"/><Relationship Id="rId116" Type="http://schemas.openxmlformats.org/officeDocument/2006/relationships/image" Target="media/image59.emf"/><Relationship Id="rId158" Type="http://schemas.openxmlformats.org/officeDocument/2006/relationships/image" Target="media/image100.wmf"/><Relationship Id="rId323" Type="http://schemas.openxmlformats.org/officeDocument/2006/relationships/footer" Target="footer46.xml"/><Relationship Id="rId530" Type="http://schemas.openxmlformats.org/officeDocument/2006/relationships/image" Target="media/image383.emf"/><Relationship Id="rId726" Type="http://schemas.openxmlformats.org/officeDocument/2006/relationships/image" Target="media/image447.emf"/><Relationship Id="rId768" Type="http://schemas.openxmlformats.org/officeDocument/2006/relationships/footer" Target="footer146.xml"/><Relationship Id="rId20" Type="http://schemas.openxmlformats.org/officeDocument/2006/relationships/header" Target="header6.xml"/><Relationship Id="rId62" Type="http://schemas.openxmlformats.org/officeDocument/2006/relationships/image" Target="media/image29.emf"/><Relationship Id="rId365" Type="http://schemas.openxmlformats.org/officeDocument/2006/relationships/header" Target="header60.xml"/><Relationship Id="rId572" Type="http://schemas.openxmlformats.org/officeDocument/2006/relationships/footer" Target="footer81.xml"/><Relationship Id="rId628" Type="http://schemas.openxmlformats.org/officeDocument/2006/relationships/image" Target="media/image415.emf"/><Relationship Id="rId835" Type="http://schemas.openxmlformats.org/officeDocument/2006/relationships/hyperlink" Target="https://cordis.europa.eu/project/rcn/67442_en.html" TargetMode="External"/><Relationship Id="rId225" Type="http://schemas.openxmlformats.org/officeDocument/2006/relationships/header" Target="header28.xml"/><Relationship Id="rId267" Type="http://schemas.openxmlformats.org/officeDocument/2006/relationships/header" Target="header33.xml"/><Relationship Id="rId432" Type="http://schemas.openxmlformats.org/officeDocument/2006/relationships/image" Target="media/image297.emf"/><Relationship Id="rId474" Type="http://schemas.openxmlformats.org/officeDocument/2006/relationships/image" Target="media/image339.emf"/><Relationship Id="rId127" Type="http://schemas.openxmlformats.org/officeDocument/2006/relationships/image" Target="media/image70.emf"/><Relationship Id="rId681" Type="http://schemas.openxmlformats.org/officeDocument/2006/relationships/image" Target="media/image432.emf"/><Relationship Id="rId737" Type="http://schemas.openxmlformats.org/officeDocument/2006/relationships/image" Target="media/image452.emf"/><Relationship Id="rId779" Type="http://schemas.openxmlformats.org/officeDocument/2006/relationships/footer" Target="footer150.xml"/><Relationship Id="rId31" Type="http://schemas.openxmlformats.org/officeDocument/2006/relationships/image" Target="media/image10.emf"/><Relationship Id="rId73" Type="http://schemas.openxmlformats.org/officeDocument/2006/relationships/image" Target="media/image34.emf"/><Relationship Id="rId169" Type="http://schemas.openxmlformats.org/officeDocument/2006/relationships/image" Target="media/image106.emf"/><Relationship Id="rId334" Type="http://schemas.openxmlformats.org/officeDocument/2006/relationships/header" Target="header49.xml"/><Relationship Id="rId376" Type="http://schemas.openxmlformats.org/officeDocument/2006/relationships/image" Target="media/image241.emf"/><Relationship Id="rId541" Type="http://schemas.openxmlformats.org/officeDocument/2006/relationships/header" Target="header71.xml"/><Relationship Id="rId583" Type="http://schemas.openxmlformats.org/officeDocument/2006/relationships/image" Target="media/image400.emf"/><Relationship Id="rId639" Type="http://schemas.openxmlformats.org/officeDocument/2006/relationships/header" Target="header103.xml"/><Relationship Id="rId790" Type="http://schemas.openxmlformats.org/officeDocument/2006/relationships/image" Target="media/image469.emf"/><Relationship Id="rId804" Type="http://schemas.openxmlformats.org/officeDocument/2006/relationships/footer" Target="footer158.xml"/><Relationship Id="rId4" Type="http://schemas.openxmlformats.org/officeDocument/2006/relationships/settings" Target="settings.xml"/><Relationship Id="rId180" Type="http://schemas.openxmlformats.org/officeDocument/2006/relationships/image" Target="media/image117.emf"/><Relationship Id="rId236" Type="http://schemas.openxmlformats.org/officeDocument/2006/relationships/image" Target="media/image161.emf"/><Relationship Id="rId278" Type="http://schemas.openxmlformats.org/officeDocument/2006/relationships/image" Target="media/image197.emf"/><Relationship Id="rId401" Type="http://schemas.openxmlformats.org/officeDocument/2006/relationships/image" Target="media/image266.emf"/><Relationship Id="rId443" Type="http://schemas.openxmlformats.org/officeDocument/2006/relationships/image" Target="media/image308.emf"/><Relationship Id="rId650" Type="http://schemas.openxmlformats.org/officeDocument/2006/relationships/footer" Target="footer106.xml"/><Relationship Id="rId846" Type="http://schemas.openxmlformats.org/officeDocument/2006/relationships/hyperlink" Target="http://ijhpm.com/article_3392_121dfa7400f55ef26488d875f37f925a.pdf" TargetMode="External"/><Relationship Id="rId303" Type="http://schemas.openxmlformats.org/officeDocument/2006/relationships/footer" Target="footer41.xml"/><Relationship Id="rId485" Type="http://schemas.openxmlformats.org/officeDocument/2006/relationships/image" Target="media/image350.emf"/><Relationship Id="rId692" Type="http://schemas.openxmlformats.org/officeDocument/2006/relationships/image" Target="media/image437.emf"/><Relationship Id="rId706" Type="http://schemas.openxmlformats.org/officeDocument/2006/relationships/header" Target="header126.xml"/><Relationship Id="rId748" Type="http://schemas.openxmlformats.org/officeDocument/2006/relationships/header" Target="header140.xml"/><Relationship Id="rId42" Type="http://schemas.openxmlformats.org/officeDocument/2006/relationships/header" Target="header11.xml"/><Relationship Id="rId84" Type="http://schemas.openxmlformats.org/officeDocument/2006/relationships/image" Target="media/image45.emf"/><Relationship Id="rId138" Type="http://schemas.openxmlformats.org/officeDocument/2006/relationships/image" Target="media/image81.emf"/><Relationship Id="rId345" Type="http://schemas.openxmlformats.org/officeDocument/2006/relationships/image" Target="media/image228.emf"/><Relationship Id="rId387" Type="http://schemas.openxmlformats.org/officeDocument/2006/relationships/image" Target="media/image252.emf"/><Relationship Id="rId510" Type="http://schemas.openxmlformats.org/officeDocument/2006/relationships/image" Target="media/image375.emf"/><Relationship Id="rId552" Type="http://schemas.openxmlformats.org/officeDocument/2006/relationships/footer" Target="footer74.xml"/><Relationship Id="rId594" Type="http://schemas.openxmlformats.org/officeDocument/2006/relationships/header" Target="header88.xml"/><Relationship Id="rId608" Type="http://schemas.openxmlformats.org/officeDocument/2006/relationships/footer" Target="footer93.xml"/><Relationship Id="rId815" Type="http://schemas.openxmlformats.org/officeDocument/2006/relationships/footer" Target="footer162.xml"/><Relationship Id="rId191" Type="http://schemas.openxmlformats.org/officeDocument/2006/relationships/footer" Target="footer25.xml"/><Relationship Id="rId205" Type="http://schemas.openxmlformats.org/officeDocument/2006/relationships/image" Target="media/image136.emf"/><Relationship Id="rId247" Type="http://schemas.openxmlformats.org/officeDocument/2006/relationships/image" Target="media/image172.emf"/><Relationship Id="rId412" Type="http://schemas.openxmlformats.org/officeDocument/2006/relationships/image" Target="media/image277.emf"/><Relationship Id="rId857" Type="http://schemas.openxmlformats.org/officeDocument/2006/relationships/theme" Target="theme/theme1.xml"/><Relationship Id="rId107" Type="http://schemas.openxmlformats.org/officeDocument/2006/relationships/footer" Target="footer21.xml"/><Relationship Id="rId289" Type="http://schemas.openxmlformats.org/officeDocument/2006/relationships/header" Target="header38.xml"/><Relationship Id="rId454" Type="http://schemas.openxmlformats.org/officeDocument/2006/relationships/image" Target="media/image319.emf"/><Relationship Id="rId496" Type="http://schemas.openxmlformats.org/officeDocument/2006/relationships/image" Target="media/image361.emf"/><Relationship Id="rId661" Type="http://schemas.openxmlformats.org/officeDocument/2006/relationships/header" Target="header111.xml"/><Relationship Id="rId717" Type="http://schemas.openxmlformats.org/officeDocument/2006/relationships/image" Target="media/image444.emf"/><Relationship Id="rId759" Type="http://schemas.openxmlformats.org/officeDocument/2006/relationships/footer" Target="footer143.xml"/><Relationship Id="rId11" Type="http://schemas.openxmlformats.org/officeDocument/2006/relationships/header" Target="header2.xml"/><Relationship Id="rId53" Type="http://schemas.openxmlformats.org/officeDocument/2006/relationships/image" Target="media/image20.emf"/><Relationship Id="rId149" Type="http://schemas.openxmlformats.org/officeDocument/2006/relationships/image" Target="media/image92.emf"/><Relationship Id="rId314" Type="http://schemas.openxmlformats.org/officeDocument/2006/relationships/header" Target="header44.xml"/><Relationship Id="rId356" Type="http://schemas.openxmlformats.org/officeDocument/2006/relationships/header" Target="header57.xml"/><Relationship Id="rId398" Type="http://schemas.openxmlformats.org/officeDocument/2006/relationships/image" Target="media/image263.emf"/><Relationship Id="rId521" Type="http://schemas.openxmlformats.org/officeDocument/2006/relationships/footer" Target="footer63.xml"/><Relationship Id="rId563" Type="http://schemas.openxmlformats.org/officeDocument/2006/relationships/footer" Target="footer78.xml"/><Relationship Id="rId619" Type="http://schemas.openxmlformats.org/officeDocument/2006/relationships/image" Target="media/image412.emf"/><Relationship Id="rId770" Type="http://schemas.openxmlformats.org/officeDocument/2006/relationships/footer" Target="footer147.xml"/><Relationship Id="rId95" Type="http://schemas.openxmlformats.org/officeDocument/2006/relationships/header" Target="header18.xml"/><Relationship Id="rId160" Type="http://schemas.openxmlformats.org/officeDocument/2006/relationships/image" Target="media/image101.wmf"/><Relationship Id="rId216" Type="http://schemas.openxmlformats.org/officeDocument/2006/relationships/image" Target="media/image147.emf"/><Relationship Id="rId423" Type="http://schemas.openxmlformats.org/officeDocument/2006/relationships/image" Target="media/image288.emf"/><Relationship Id="rId826" Type="http://schemas.openxmlformats.org/officeDocument/2006/relationships/hyperlink" Target="http://eur-lex.europa.eu/legal-content/EN/ALL/?uri=CELEX%3A32015R0359" TargetMode="External"/><Relationship Id="rId258" Type="http://schemas.openxmlformats.org/officeDocument/2006/relationships/image" Target="media/image183.emf"/><Relationship Id="rId465" Type="http://schemas.openxmlformats.org/officeDocument/2006/relationships/image" Target="media/image330.emf"/><Relationship Id="rId630" Type="http://schemas.openxmlformats.org/officeDocument/2006/relationships/header" Target="header100.xml"/><Relationship Id="rId672" Type="http://schemas.openxmlformats.org/officeDocument/2006/relationships/image" Target="media/image429.emf"/><Relationship Id="rId728" Type="http://schemas.openxmlformats.org/officeDocument/2006/relationships/image" Target="media/image449.emf"/><Relationship Id="rId22" Type="http://schemas.openxmlformats.org/officeDocument/2006/relationships/image" Target="media/image1.png"/><Relationship Id="rId64" Type="http://schemas.openxmlformats.org/officeDocument/2006/relationships/image" Target="media/image31.emf"/><Relationship Id="rId118" Type="http://schemas.openxmlformats.org/officeDocument/2006/relationships/image" Target="media/image61.emf"/><Relationship Id="rId325" Type="http://schemas.openxmlformats.org/officeDocument/2006/relationships/header" Target="header48.xml"/><Relationship Id="rId367" Type="http://schemas.openxmlformats.org/officeDocument/2006/relationships/image" Target="media/image232.emf"/><Relationship Id="rId532" Type="http://schemas.openxmlformats.org/officeDocument/2006/relationships/header" Target="header68.xml"/><Relationship Id="rId574" Type="http://schemas.openxmlformats.org/officeDocument/2006/relationships/image" Target="media/image397.emf"/><Relationship Id="rId171" Type="http://schemas.openxmlformats.org/officeDocument/2006/relationships/image" Target="media/image108.emf"/><Relationship Id="rId227" Type="http://schemas.openxmlformats.org/officeDocument/2006/relationships/footer" Target="footer28.xml"/><Relationship Id="rId781" Type="http://schemas.openxmlformats.org/officeDocument/2006/relationships/image" Target="media/image466.emf"/><Relationship Id="rId837" Type="http://schemas.openxmlformats.org/officeDocument/2006/relationships/hyperlink" Target="http://www.ilo.org/wcmsp5/groups/public/---dgreports/---dcomm/documents/publication/wcms_310211.pdf" TargetMode="External"/><Relationship Id="rId269" Type="http://schemas.openxmlformats.org/officeDocument/2006/relationships/image" Target="media/image188.emf"/><Relationship Id="rId434" Type="http://schemas.openxmlformats.org/officeDocument/2006/relationships/image" Target="media/image299.emf"/><Relationship Id="rId476" Type="http://schemas.openxmlformats.org/officeDocument/2006/relationships/image" Target="media/image341.emf"/><Relationship Id="rId641" Type="http://schemas.openxmlformats.org/officeDocument/2006/relationships/footer" Target="footer103.xml"/><Relationship Id="rId683" Type="http://schemas.openxmlformats.org/officeDocument/2006/relationships/image" Target="media/image434.emf"/><Relationship Id="rId739" Type="http://schemas.openxmlformats.org/officeDocument/2006/relationships/header" Target="header137.xml"/><Relationship Id="rId33" Type="http://schemas.openxmlformats.org/officeDocument/2006/relationships/image" Target="media/image12.emf"/><Relationship Id="rId129" Type="http://schemas.openxmlformats.org/officeDocument/2006/relationships/image" Target="media/image72.emf"/><Relationship Id="rId280" Type="http://schemas.openxmlformats.org/officeDocument/2006/relationships/header" Target="header35.xml"/><Relationship Id="rId336" Type="http://schemas.openxmlformats.org/officeDocument/2006/relationships/footer" Target="footer49.xml"/><Relationship Id="rId501" Type="http://schemas.openxmlformats.org/officeDocument/2006/relationships/image" Target="media/image366.emf"/><Relationship Id="rId543" Type="http://schemas.openxmlformats.org/officeDocument/2006/relationships/footer" Target="footer71.xml"/><Relationship Id="rId75" Type="http://schemas.openxmlformats.org/officeDocument/2006/relationships/image" Target="media/image36.emf"/><Relationship Id="rId140" Type="http://schemas.openxmlformats.org/officeDocument/2006/relationships/image" Target="media/image83.emf"/><Relationship Id="rId182" Type="http://schemas.openxmlformats.org/officeDocument/2006/relationships/image" Target="media/image119.emf"/><Relationship Id="rId378" Type="http://schemas.openxmlformats.org/officeDocument/2006/relationships/image" Target="media/image243.emf"/><Relationship Id="rId403" Type="http://schemas.openxmlformats.org/officeDocument/2006/relationships/image" Target="media/image268.emf"/><Relationship Id="rId585" Type="http://schemas.openxmlformats.org/officeDocument/2006/relationships/header" Target="header85.xml"/><Relationship Id="rId750" Type="http://schemas.openxmlformats.org/officeDocument/2006/relationships/footer" Target="footer140.xml"/><Relationship Id="rId792" Type="http://schemas.openxmlformats.org/officeDocument/2006/relationships/header" Target="header154.xml"/><Relationship Id="rId806" Type="http://schemas.openxmlformats.org/officeDocument/2006/relationships/footer" Target="footer159.xml"/><Relationship Id="rId848" Type="http://schemas.openxmlformats.org/officeDocument/2006/relationships/hyperlink" Target="http://www.who.int/whr/2000/en/" TargetMode="External"/><Relationship Id="rId6" Type="http://schemas.openxmlformats.org/officeDocument/2006/relationships/footnotes" Target="footnotes.xml"/><Relationship Id="rId238" Type="http://schemas.openxmlformats.org/officeDocument/2006/relationships/image" Target="media/image163.emf"/><Relationship Id="rId445" Type="http://schemas.openxmlformats.org/officeDocument/2006/relationships/image" Target="media/image310.emf"/><Relationship Id="rId487" Type="http://schemas.openxmlformats.org/officeDocument/2006/relationships/image" Target="media/image352.emf"/><Relationship Id="rId610" Type="http://schemas.openxmlformats.org/officeDocument/2006/relationships/image" Target="media/image409.emf"/><Relationship Id="rId652" Type="http://schemas.openxmlformats.org/officeDocument/2006/relationships/header" Target="header108.xml"/><Relationship Id="rId694" Type="http://schemas.openxmlformats.org/officeDocument/2006/relationships/header" Target="header122.xml"/><Relationship Id="rId708" Type="http://schemas.openxmlformats.org/officeDocument/2006/relationships/image" Target="media/image441.emf"/><Relationship Id="rId291" Type="http://schemas.openxmlformats.org/officeDocument/2006/relationships/footer" Target="footer38.xml"/><Relationship Id="rId305" Type="http://schemas.openxmlformats.org/officeDocument/2006/relationships/footer" Target="footer42.xml"/><Relationship Id="rId347" Type="http://schemas.openxmlformats.org/officeDocument/2006/relationships/header" Target="header53.xml"/><Relationship Id="rId512" Type="http://schemas.openxmlformats.org/officeDocument/2006/relationships/image" Target="media/image377.emf"/><Relationship Id="rId44" Type="http://schemas.openxmlformats.org/officeDocument/2006/relationships/footer" Target="footer11.xml"/><Relationship Id="rId86" Type="http://schemas.openxmlformats.org/officeDocument/2006/relationships/image" Target="media/image47.emf"/><Relationship Id="rId151" Type="http://schemas.openxmlformats.org/officeDocument/2006/relationships/image" Target="media/image94.emf"/><Relationship Id="rId389" Type="http://schemas.openxmlformats.org/officeDocument/2006/relationships/image" Target="media/image254.emf"/><Relationship Id="rId554" Type="http://schemas.openxmlformats.org/officeDocument/2006/relationships/footer" Target="footer75.xml"/><Relationship Id="rId596" Type="http://schemas.openxmlformats.org/officeDocument/2006/relationships/footer" Target="footer88.xml"/><Relationship Id="rId761" Type="http://schemas.openxmlformats.org/officeDocument/2006/relationships/footer" Target="footer144.xml"/><Relationship Id="rId817" Type="http://schemas.openxmlformats.org/officeDocument/2006/relationships/header" Target="header164.xml"/><Relationship Id="rId193" Type="http://schemas.openxmlformats.org/officeDocument/2006/relationships/header" Target="header27.xml"/><Relationship Id="rId207" Type="http://schemas.openxmlformats.org/officeDocument/2006/relationships/image" Target="media/image138.emf"/><Relationship Id="rId249" Type="http://schemas.openxmlformats.org/officeDocument/2006/relationships/image" Target="media/image174.emf"/><Relationship Id="rId414" Type="http://schemas.openxmlformats.org/officeDocument/2006/relationships/image" Target="media/image279.emf"/><Relationship Id="rId456" Type="http://schemas.openxmlformats.org/officeDocument/2006/relationships/image" Target="media/image321.emf"/><Relationship Id="rId498" Type="http://schemas.openxmlformats.org/officeDocument/2006/relationships/image" Target="media/image363.emf"/><Relationship Id="rId621" Type="http://schemas.openxmlformats.org/officeDocument/2006/relationships/header" Target="header97.xml"/><Relationship Id="rId663" Type="http://schemas.openxmlformats.org/officeDocument/2006/relationships/image" Target="media/image426.emf"/><Relationship Id="rId13" Type="http://schemas.openxmlformats.org/officeDocument/2006/relationships/footer" Target="footer2.xml"/><Relationship Id="rId109" Type="http://schemas.openxmlformats.org/officeDocument/2006/relationships/header" Target="header23.xml"/><Relationship Id="rId260" Type="http://schemas.openxmlformats.org/officeDocument/2006/relationships/image" Target="media/image185.emf"/><Relationship Id="rId316" Type="http://schemas.openxmlformats.org/officeDocument/2006/relationships/footer" Target="footer44.xml"/><Relationship Id="rId523" Type="http://schemas.openxmlformats.org/officeDocument/2006/relationships/image" Target="media/image382.emf"/><Relationship Id="rId719" Type="http://schemas.openxmlformats.org/officeDocument/2006/relationships/image" Target="media/image446.emf"/><Relationship Id="rId55" Type="http://schemas.openxmlformats.org/officeDocument/2006/relationships/image" Target="media/image22.emf"/><Relationship Id="rId97" Type="http://schemas.openxmlformats.org/officeDocument/2006/relationships/image" Target="media/image52.emf"/><Relationship Id="rId120" Type="http://schemas.openxmlformats.org/officeDocument/2006/relationships/image" Target="media/image63.emf"/><Relationship Id="rId358" Type="http://schemas.openxmlformats.org/officeDocument/2006/relationships/image" Target="media/image229.emf"/><Relationship Id="rId565" Type="http://schemas.openxmlformats.org/officeDocument/2006/relationships/image" Target="media/image394.emf"/><Relationship Id="rId730" Type="http://schemas.openxmlformats.org/officeDocument/2006/relationships/header" Target="header134.xml"/><Relationship Id="rId772" Type="http://schemas.openxmlformats.org/officeDocument/2006/relationships/image" Target="media/image463.emf"/><Relationship Id="rId828" Type="http://schemas.openxmlformats.org/officeDocument/2006/relationships/hyperlink" Target="http://ec.europa.eu/economy_finance/publications/european_economy/2012/2012-ageing-report_en.htm" TargetMode="External"/><Relationship Id="rId162" Type="http://schemas.openxmlformats.org/officeDocument/2006/relationships/image" Target="media/image102.wmf"/><Relationship Id="rId218" Type="http://schemas.openxmlformats.org/officeDocument/2006/relationships/image" Target="media/image149.emf"/><Relationship Id="rId425" Type="http://schemas.openxmlformats.org/officeDocument/2006/relationships/image" Target="media/image290.emf"/><Relationship Id="rId467" Type="http://schemas.openxmlformats.org/officeDocument/2006/relationships/image" Target="media/image332.emf"/><Relationship Id="rId632" Type="http://schemas.openxmlformats.org/officeDocument/2006/relationships/footer" Target="footer100.xml"/><Relationship Id="rId271" Type="http://schemas.openxmlformats.org/officeDocument/2006/relationships/image" Target="media/image190.emf"/><Relationship Id="rId674" Type="http://schemas.openxmlformats.org/officeDocument/2006/relationships/image" Target="media/image431.emf"/><Relationship Id="rId24" Type="http://schemas.openxmlformats.org/officeDocument/2006/relationships/image" Target="media/image3.emf"/><Relationship Id="rId66" Type="http://schemas.openxmlformats.org/officeDocument/2006/relationships/header" Target="header13.xml"/><Relationship Id="rId131" Type="http://schemas.openxmlformats.org/officeDocument/2006/relationships/image" Target="media/image74.emf"/><Relationship Id="rId327" Type="http://schemas.openxmlformats.org/officeDocument/2006/relationships/image" Target="media/image216.tif"/><Relationship Id="rId369" Type="http://schemas.openxmlformats.org/officeDocument/2006/relationships/image" Target="media/image234.emf"/><Relationship Id="rId534" Type="http://schemas.openxmlformats.org/officeDocument/2006/relationships/footer" Target="footer68.xml"/><Relationship Id="rId576" Type="http://schemas.openxmlformats.org/officeDocument/2006/relationships/header" Target="header82.xml"/><Relationship Id="rId741" Type="http://schemas.openxmlformats.org/officeDocument/2006/relationships/footer" Target="footer137.xml"/><Relationship Id="rId783" Type="http://schemas.openxmlformats.org/officeDocument/2006/relationships/header" Target="header151.xml"/><Relationship Id="rId839" Type="http://schemas.openxmlformats.org/officeDocument/2006/relationships/hyperlink" Target="http://www.oecd.org/sti/addressing-dementia-the-oecd-response.pdf" TargetMode="External"/><Relationship Id="rId173" Type="http://schemas.openxmlformats.org/officeDocument/2006/relationships/image" Target="media/image110.emf"/><Relationship Id="rId229" Type="http://schemas.openxmlformats.org/officeDocument/2006/relationships/header" Target="header30.xml"/><Relationship Id="rId380" Type="http://schemas.openxmlformats.org/officeDocument/2006/relationships/image" Target="media/image245.emf"/><Relationship Id="rId436" Type="http://schemas.openxmlformats.org/officeDocument/2006/relationships/image" Target="media/image301.emf"/><Relationship Id="rId601" Type="http://schemas.openxmlformats.org/officeDocument/2006/relationships/image" Target="media/image406.emf"/><Relationship Id="rId643" Type="http://schemas.openxmlformats.org/officeDocument/2006/relationships/header" Target="header105.xml"/><Relationship Id="rId240" Type="http://schemas.openxmlformats.org/officeDocument/2006/relationships/image" Target="media/image165.emf"/><Relationship Id="rId478" Type="http://schemas.openxmlformats.org/officeDocument/2006/relationships/image" Target="media/image343.emf"/><Relationship Id="rId685" Type="http://schemas.openxmlformats.org/officeDocument/2006/relationships/header" Target="header119.xml"/><Relationship Id="rId850" Type="http://schemas.openxmlformats.org/officeDocument/2006/relationships/header" Target="header166.xml"/><Relationship Id="rId35" Type="http://schemas.openxmlformats.org/officeDocument/2006/relationships/header" Target="header7.xml"/><Relationship Id="rId77" Type="http://schemas.openxmlformats.org/officeDocument/2006/relationships/image" Target="media/image38.emf"/><Relationship Id="rId100" Type="http://schemas.openxmlformats.org/officeDocument/2006/relationships/image" Target="media/image55.emf"/><Relationship Id="rId282" Type="http://schemas.openxmlformats.org/officeDocument/2006/relationships/footer" Target="footer35.xml"/><Relationship Id="rId338" Type="http://schemas.openxmlformats.org/officeDocument/2006/relationships/header" Target="header51.xml"/><Relationship Id="rId503" Type="http://schemas.openxmlformats.org/officeDocument/2006/relationships/image" Target="media/image368.emf"/><Relationship Id="rId545" Type="http://schemas.openxmlformats.org/officeDocument/2006/relationships/footer" Target="footer72.xml"/><Relationship Id="rId587" Type="http://schemas.openxmlformats.org/officeDocument/2006/relationships/footer" Target="footer85.xml"/><Relationship Id="rId710" Type="http://schemas.openxmlformats.org/officeDocument/2006/relationships/image" Target="media/image443.emf"/><Relationship Id="rId752" Type="http://schemas.openxmlformats.org/officeDocument/2006/relationships/footer" Target="footer141.xml"/><Relationship Id="rId808" Type="http://schemas.openxmlformats.org/officeDocument/2006/relationships/image" Target="media/image475.emf"/><Relationship Id="rId8" Type="http://schemas.openxmlformats.org/officeDocument/2006/relationships/hyperlink" Target="mailto:Giuseppe.carone@ec.europa.eu" TargetMode="External"/><Relationship Id="rId142" Type="http://schemas.openxmlformats.org/officeDocument/2006/relationships/image" Target="media/image85.emf"/><Relationship Id="rId184" Type="http://schemas.openxmlformats.org/officeDocument/2006/relationships/image" Target="media/image121.emf"/><Relationship Id="rId391" Type="http://schemas.openxmlformats.org/officeDocument/2006/relationships/image" Target="media/image256.emf"/><Relationship Id="rId405" Type="http://schemas.openxmlformats.org/officeDocument/2006/relationships/image" Target="media/image270.emf"/><Relationship Id="rId447" Type="http://schemas.openxmlformats.org/officeDocument/2006/relationships/image" Target="media/image312.emf"/><Relationship Id="rId612" Type="http://schemas.openxmlformats.org/officeDocument/2006/relationships/header" Target="header94.xml"/><Relationship Id="rId794" Type="http://schemas.openxmlformats.org/officeDocument/2006/relationships/footer" Target="footer154.xml"/><Relationship Id="rId251" Type="http://schemas.openxmlformats.org/officeDocument/2006/relationships/image" Target="media/image176.emf"/><Relationship Id="rId489" Type="http://schemas.openxmlformats.org/officeDocument/2006/relationships/image" Target="media/image354.emf"/><Relationship Id="rId654" Type="http://schemas.openxmlformats.org/officeDocument/2006/relationships/image" Target="media/image423.emf"/><Relationship Id="rId696" Type="http://schemas.openxmlformats.org/officeDocument/2006/relationships/footer" Target="footer122.xml"/><Relationship Id="rId46" Type="http://schemas.openxmlformats.org/officeDocument/2006/relationships/footer" Target="footer12.xml"/><Relationship Id="rId293" Type="http://schemas.openxmlformats.org/officeDocument/2006/relationships/footer" Target="footer39.xml"/><Relationship Id="rId307" Type="http://schemas.openxmlformats.org/officeDocument/2006/relationships/image" Target="media/image208.emf"/><Relationship Id="rId349" Type="http://schemas.openxmlformats.org/officeDocument/2006/relationships/footer" Target="footer53.xml"/><Relationship Id="rId514" Type="http://schemas.openxmlformats.org/officeDocument/2006/relationships/image" Target="media/image379.emf"/><Relationship Id="rId556" Type="http://schemas.openxmlformats.org/officeDocument/2006/relationships/image" Target="media/image391.emf"/><Relationship Id="rId721" Type="http://schemas.openxmlformats.org/officeDocument/2006/relationships/header" Target="header131.xml"/><Relationship Id="rId763" Type="http://schemas.openxmlformats.org/officeDocument/2006/relationships/image" Target="media/image460.emf"/><Relationship Id="rId88" Type="http://schemas.openxmlformats.org/officeDocument/2006/relationships/image" Target="media/image49.emf"/><Relationship Id="rId111" Type="http://schemas.openxmlformats.org/officeDocument/2006/relationships/footer" Target="footer23.xml"/><Relationship Id="rId153" Type="http://schemas.openxmlformats.org/officeDocument/2006/relationships/image" Target="media/image96.emf"/><Relationship Id="rId195" Type="http://schemas.openxmlformats.org/officeDocument/2006/relationships/image" Target="media/image126.emf"/><Relationship Id="rId209" Type="http://schemas.openxmlformats.org/officeDocument/2006/relationships/image" Target="media/image140.emf"/><Relationship Id="rId360" Type="http://schemas.openxmlformats.org/officeDocument/2006/relationships/image" Target="media/image231.emf"/><Relationship Id="rId416" Type="http://schemas.openxmlformats.org/officeDocument/2006/relationships/image" Target="media/image281.emf"/><Relationship Id="rId598" Type="http://schemas.openxmlformats.org/officeDocument/2006/relationships/header" Target="header90.xml"/><Relationship Id="rId819" Type="http://schemas.openxmlformats.org/officeDocument/2006/relationships/footer" Target="footer164.xml"/><Relationship Id="rId220" Type="http://schemas.openxmlformats.org/officeDocument/2006/relationships/image" Target="media/image151.emf"/><Relationship Id="rId458" Type="http://schemas.openxmlformats.org/officeDocument/2006/relationships/image" Target="media/image323.emf"/><Relationship Id="rId623" Type="http://schemas.openxmlformats.org/officeDocument/2006/relationships/footer" Target="footer97.xml"/><Relationship Id="rId665" Type="http://schemas.openxmlformats.org/officeDocument/2006/relationships/image" Target="media/image428.emf"/><Relationship Id="rId830" Type="http://schemas.openxmlformats.org/officeDocument/2006/relationships/hyperlink" Target="https://ec.europa.eu/info/publications/economy-finance/joint-report-health-care-and-long-term-care-systems-fiscal-sustainability-0_en" TargetMode="External"/><Relationship Id="rId15" Type="http://schemas.openxmlformats.org/officeDocument/2006/relationships/footer" Target="footer3.xml"/><Relationship Id="rId57" Type="http://schemas.openxmlformats.org/officeDocument/2006/relationships/image" Target="media/image24.emf"/><Relationship Id="rId262" Type="http://schemas.openxmlformats.org/officeDocument/2006/relationships/image" Target="media/image187.emf"/><Relationship Id="rId318" Type="http://schemas.openxmlformats.org/officeDocument/2006/relationships/footer" Target="footer45.xml"/><Relationship Id="rId525" Type="http://schemas.openxmlformats.org/officeDocument/2006/relationships/header" Target="header65.xml"/><Relationship Id="rId567" Type="http://schemas.openxmlformats.org/officeDocument/2006/relationships/header" Target="header79.xml"/><Relationship Id="rId732" Type="http://schemas.openxmlformats.org/officeDocument/2006/relationships/footer" Target="footer134.xml"/><Relationship Id="rId99" Type="http://schemas.openxmlformats.org/officeDocument/2006/relationships/image" Target="media/image54.emf"/><Relationship Id="rId122" Type="http://schemas.openxmlformats.org/officeDocument/2006/relationships/image" Target="media/image65.emf"/><Relationship Id="rId164" Type="http://schemas.openxmlformats.org/officeDocument/2006/relationships/image" Target="media/image103.wmf"/><Relationship Id="rId371" Type="http://schemas.openxmlformats.org/officeDocument/2006/relationships/image" Target="media/image236.emf"/><Relationship Id="rId774" Type="http://schemas.openxmlformats.org/officeDocument/2006/relationships/header" Target="header148.xml"/><Relationship Id="rId427" Type="http://schemas.openxmlformats.org/officeDocument/2006/relationships/image" Target="media/image292.emf"/><Relationship Id="rId469" Type="http://schemas.openxmlformats.org/officeDocument/2006/relationships/image" Target="media/image334.emf"/><Relationship Id="rId634" Type="http://schemas.openxmlformats.org/officeDocument/2006/relationships/header" Target="header102.xml"/><Relationship Id="rId676" Type="http://schemas.openxmlformats.org/officeDocument/2006/relationships/header" Target="header116.xml"/><Relationship Id="rId841" Type="http://schemas.openxmlformats.org/officeDocument/2006/relationships/hyperlink" Target="http://who.int/nha/sha_revision/sha_2011_final1.pdf" TargetMode="External"/><Relationship Id="rId26" Type="http://schemas.openxmlformats.org/officeDocument/2006/relationships/image" Target="media/image5.emf"/><Relationship Id="rId231" Type="http://schemas.openxmlformats.org/officeDocument/2006/relationships/image" Target="media/image156.emf"/><Relationship Id="rId273" Type="http://schemas.openxmlformats.org/officeDocument/2006/relationships/image" Target="media/image192.emf"/><Relationship Id="rId329" Type="http://schemas.openxmlformats.org/officeDocument/2006/relationships/image" Target="media/image218.emf"/><Relationship Id="rId480" Type="http://schemas.openxmlformats.org/officeDocument/2006/relationships/image" Target="media/image345.emf"/><Relationship Id="rId536" Type="http://schemas.openxmlformats.org/officeDocument/2006/relationships/footer" Target="footer69.xml"/><Relationship Id="rId701" Type="http://schemas.openxmlformats.org/officeDocument/2006/relationships/image" Target="media/image440.emf"/><Relationship Id="rId68" Type="http://schemas.openxmlformats.org/officeDocument/2006/relationships/footer" Target="footer13.xml"/><Relationship Id="rId133" Type="http://schemas.openxmlformats.org/officeDocument/2006/relationships/image" Target="media/image76.emf"/><Relationship Id="rId175" Type="http://schemas.openxmlformats.org/officeDocument/2006/relationships/image" Target="media/image112.emf"/><Relationship Id="rId340" Type="http://schemas.openxmlformats.org/officeDocument/2006/relationships/image" Target="media/image223.emf"/><Relationship Id="rId578" Type="http://schemas.openxmlformats.org/officeDocument/2006/relationships/footer" Target="footer82.xml"/><Relationship Id="rId743" Type="http://schemas.openxmlformats.org/officeDocument/2006/relationships/footer" Target="footer138.xml"/><Relationship Id="rId785" Type="http://schemas.openxmlformats.org/officeDocument/2006/relationships/footer" Target="footer151.xml"/><Relationship Id="rId200" Type="http://schemas.openxmlformats.org/officeDocument/2006/relationships/image" Target="media/image131.emf"/><Relationship Id="rId382" Type="http://schemas.openxmlformats.org/officeDocument/2006/relationships/image" Target="media/image247.emf"/><Relationship Id="rId438" Type="http://schemas.openxmlformats.org/officeDocument/2006/relationships/image" Target="media/image303.emf"/><Relationship Id="rId603" Type="http://schemas.openxmlformats.org/officeDocument/2006/relationships/header" Target="header91.xml"/><Relationship Id="rId645" Type="http://schemas.openxmlformats.org/officeDocument/2006/relationships/image" Target="media/image420.emf"/><Relationship Id="rId687" Type="http://schemas.openxmlformats.org/officeDocument/2006/relationships/footer" Target="footer119.xml"/><Relationship Id="rId810" Type="http://schemas.openxmlformats.org/officeDocument/2006/relationships/header" Target="header160.xml"/><Relationship Id="rId852" Type="http://schemas.openxmlformats.org/officeDocument/2006/relationships/footer" Target="footer166.xml"/><Relationship Id="rId242" Type="http://schemas.openxmlformats.org/officeDocument/2006/relationships/image" Target="media/image167.emf"/><Relationship Id="rId284" Type="http://schemas.openxmlformats.org/officeDocument/2006/relationships/footer" Target="footer36.xml"/><Relationship Id="rId491" Type="http://schemas.openxmlformats.org/officeDocument/2006/relationships/image" Target="media/image356.emf"/><Relationship Id="rId505" Type="http://schemas.openxmlformats.org/officeDocument/2006/relationships/image" Target="media/image370.emf"/><Relationship Id="rId712" Type="http://schemas.openxmlformats.org/officeDocument/2006/relationships/header" Target="header128.xml"/><Relationship Id="rId37" Type="http://schemas.openxmlformats.org/officeDocument/2006/relationships/footer" Target="footer7.xml"/><Relationship Id="rId79" Type="http://schemas.openxmlformats.org/officeDocument/2006/relationships/image" Target="media/image40.emf"/><Relationship Id="rId102" Type="http://schemas.openxmlformats.org/officeDocument/2006/relationships/header" Target="header19.xml"/><Relationship Id="rId144" Type="http://schemas.openxmlformats.org/officeDocument/2006/relationships/image" Target="media/image87.emf"/><Relationship Id="rId547" Type="http://schemas.openxmlformats.org/officeDocument/2006/relationships/image" Target="media/image388.emf"/><Relationship Id="rId589" Type="http://schemas.openxmlformats.org/officeDocument/2006/relationships/header" Target="header87.xml"/><Relationship Id="rId754" Type="http://schemas.openxmlformats.org/officeDocument/2006/relationships/image" Target="media/image457.emf"/><Relationship Id="rId796" Type="http://schemas.openxmlformats.org/officeDocument/2006/relationships/header" Target="header156.xml"/><Relationship Id="rId90" Type="http://schemas.openxmlformats.org/officeDocument/2006/relationships/image" Target="media/image51.emf"/><Relationship Id="rId186" Type="http://schemas.openxmlformats.org/officeDocument/2006/relationships/image" Target="media/image123.emf"/><Relationship Id="rId351" Type="http://schemas.openxmlformats.org/officeDocument/2006/relationships/footer" Target="footer54.xml"/><Relationship Id="rId393" Type="http://schemas.openxmlformats.org/officeDocument/2006/relationships/image" Target="media/image258.emf"/><Relationship Id="rId407" Type="http://schemas.openxmlformats.org/officeDocument/2006/relationships/image" Target="media/image272.emf"/><Relationship Id="rId449" Type="http://schemas.openxmlformats.org/officeDocument/2006/relationships/image" Target="media/image314.emf"/><Relationship Id="rId614" Type="http://schemas.openxmlformats.org/officeDocument/2006/relationships/footer" Target="footer94.xml"/><Relationship Id="rId656" Type="http://schemas.openxmlformats.org/officeDocument/2006/relationships/image" Target="media/image425.emf"/><Relationship Id="rId821" Type="http://schemas.openxmlformats.org/officeDocument/2006/relationships/footer" Target="footer165.xml"/><Relationship Id="rId211" Type="http://schemas.openxmlformats.org/officeDocument/2006/relationships/image" Target="media/image142.emf"/><Relationship Id="rId253" Type="http://schemas.openxmlformats.org/officeDocument/2006/relationships/image" Target="media/image178.emf"/><Relationship Id="rId295" Type="http://schemas.openxmlformats.org/officeDocument/2006/relationships/image" Target="media/image202.emf"/><Relationship Id="rId309" Type="http://schemas.openxmlformats.org/officeDocument/2006/relationships/image" Target="media/image210.emf"/><Relationship Id="rId460" Type="http://schemas.openxmlformats.org/officeDocument/2006/relationships/image" Target="media/image325.emf"/><Relationship Id="rId516" Type="http://schemas.openxmlformats.org/officeDocument/2006/relationships/header" Target="header61.xml"/><Relationship Id="rId698" Type="http://schemas.openxmlformats.org/officeDocument/2006/relationships/footer" Target="footer123.xml"/><Relationship Id="rId48" Type="http://schemas.openxmlformats.org/officeDocument/2006/relationships/image" Target="media/image15.emf"/><Relationship Id="rId113" Type="http://schemas.openxmlformats.org/officeDocument/2006/relationships/footer" Target="footer24.xml"/><Relationship Id="rId320" Type="http://schemas.openxmlformats.org/officeDocument/2006/relationships/image" Target="media/image215.emf"/><Relationship Id="rId558" Type="http://schemas.openxmlformats.org/officeDocument/2006/relationships/header" Target="header76.xml"/><Relationship Id="rId723" Type="http://schemas.openxmlformats.org/officeDocument/2006/relationships/footer" Target="footer131.xml"/><Relationship Id="rId765" Type="http://schemas.openxmlformats.org/officeDocument/2006/relationships/header" Target="header145.xml"/><Relationship Id="rId155" Type="http://schemas.openxmlformats.org/officeDocument/2006/relationships/image" Target="media/image98.emf"/><Relationship Id="rId197" Type="http://schemas.openxmlformats.org/officeDocument/2006/relationships/image" Target="media/image128.emf"/><Relationship Id="rId362" Type="http://schemas.openxmlformats.org/officeDocument/2006/relationships/header" Target="header59.xml"/><Relationship Id="rId418" Type="http://schemas.openxmlformats.org/officeDocument/2006/relationships/image" Target="media/image283.emf"/><Relationship Id="rId625" Type="http://schemas.openxmlformats.org/officeDocument/2006/relationships/header" Target="header99.xml"/><Relationship Id="rId832" Type="http://schemas.openxmlformats.org/officeDocument/2006/relationships/hyperlink" Target="http://www.google.be/url?sa=t&amp;rct=j&amp;q=&amp;esrc=s&amp;source=web&amp;cd=1&amp;cad=rja&amp;uact=8&amp;ved=0ahUKEwjDhYjEo57QAhXpLcAKHfdOAxAQFgggMAA&amp;url=http%3A%2F%2Fec.europa.eu%2Fsocial%2FBlobServlet%3FdocId%3D16232%26langId%3Den&amp;usg=AFQjCNE6gEMuxX4Hm5aAeKKC96vrUqfxjA" TargetMode="External"/><Relationship Id="rId222" Type="http://schemas.openxmlformats.org/officeDocument/2006/relationships/image" Target="media/image153.emf"/><Relationship Id="rId264" Type="http://schemas.openxmlformats.org/officeDocument/2006/relationships/header" Target="header32.xml"/><Relationship Id="rId471" Type="http://schemas.openxmlformats.org/officeDocument/2006/relationships/image" Target="media/image336.emf"/><Relationship Id="rId667" Type="http://schemas.openxmlformats.org/officeDocument/2006/relationships/header" Target="header113.xml"/><Relationship Id="rId17" Type="http://schemas.openxmlformats.org/officeDocument/2006/relationships/header" Target="header5.xml"/><Relationship Id="rId59" Type="http://schemas.openxmlformats.org/officeDocument/2006/relationships/image" Target="media/image26.emf"/><Relationship Id="rId124" Type="http://schemas.openxmlformats.org/officeDocument/2006/relationships/image" Target="media/image67.emf"/><Relationship Id="rId527" Type="http://schemas.openxmlformats.org/officeDocument/2006/relationships/footer" Target="footer65.xml"/><Relationship Id="rId569" Type="http://schemas.openxmlformats.org/officeDocument/2006/relationships/footer" Target="footer79.xml"/><Relationship Id="rId734" Type="http://schemas.openxmlformats.org/officeDocument/2006/relationships/footer" Target="footer135.xml"/><Relationship Id="rId776" Type="http://schemas.openxmlformats.org/officeDocument/2006/relationships/footer" Target="footer148.xml"/><Relationship Id="rId70" Type="http://schemas.openxmlformats.org/officeDocument/2006/relationships/header" Target="header15.xml"/><Relationship Id="rId166" Type="http://schemas.openxmlformats.org/officeDocument/2006/relationships/image" Target="media/image104.wmf"/><Relationship Id="rId331" Type="http://schemas.openxmlformats.org/officeDocument/2006/relationships/image" Target="media/image220.emf"/><Relationship Id="rId373" Type="http://schemas.openxmlformats.org/officeDocument/2006/relationships/image" Target="media/image238.emf"/><Relationship Id="rId429" Type="http://schemas.openxmlformats.org/officeDocument/2006/relationships/image" Target="media/image294.emf"/><Relationship Id="rId580" Type="http://schemas.openxmlformats.org/officeDocument/2006/relationships/header" Target="header84.xml"/><Relationship Id="rId636" Type="http://schemas.openxmlformats.org/officeDocument/2006/relationships/image" Target="media/image417.emf"/><Relationship Id="rId801" Type="http://schemas.openxmlformats.org/officeDocument/2006/relationships/header" Target="header157.xml"/><Relationship Id="rId1" Type="http://schemas.openxmlformats.org/officeDocument/2006/relationships/numbering" Target="numbering.xml"/><Relationship Id="rId233" Type="http://schemas.openxmlformats.org/officeDocument/2006/relationships/image" Target="media/image158.emf"/><Relationship Id="rId440" Type="http://schemas.openxmlformats.org/officeDocument/2006/relationships/image" Target="media/image305.emf"/><Relationship Id="rId678" Type="http://schemas.openxmlformats.org/officeDocument/2006/relationships/footer" Target="footer116.xml"/><Relationship Id="rId843" Type="http://schemas.openxmlformats.org/officeDocument/2006/relationships/hyperlink" Target="http://www.oecd.org/dataoecd/32/53/33712760.pdf" TargetMode="External"/><Relationship Id="rId28" Type="http://schemas.openxmlformats.org/officeDocument/2006/relationships/image" Target="media/image7.emf"/><Relationship Id="rId275" Type="http://schemas.openxmlformats.org/officeDocument/2006/relationships/image" Target="media/image194.emf"/><Relationship Id="rId300" Type="http://schemas.openxmlformats.org/officeDocument/2006/relationships/header" Target="header40.xml"/><Relationship Id="rId482" Type="http://schemas.openxmlformats.org/officeDocument/2006/relationships/image" Target="media/image347.emf"/><Relationship Id="rId538" Type="http://schemas.openxmlformats.org/officeDocument/2006/relationships/image" Target="media/image385.emf"/><Relationship Id="rId703" Type="http://schemas.openxmlformats.org/officeDocument/2006/relationships/header" Target="header125.xml"/><Relationship Id="rId745" Type="http://schemas.openxmlformats.org/officeDocument/2006/relationships/image" Target="media/image454.emf"/><Relationship Id="rId81" Type="http://schemas.openxmlformats.org/officeDocument/2006/relationships/image" Target="media/image42.emf"/><Relationship Id="rId135" Type="http://schemas.openxmlformats.org/officeDocument/2006/relationships/image" Target="media/image78.emf"/><Relationship Id="rId177" Type="http://schemas.openxmlformats.org/officeDocument/2006/relationships/image" Target="media/image114.emf"/><Relationship Id="rId342" Type="http://schemas.openxmlformats.org/officeDocument/2006/relationships/image" Target="media/image225.emf"/><Relationship Id="rId384" Type="http://schemas.openxmlformats.org/officeDocument/2006/relationships/image" Target="media/image249.emf"/><Relationship Id="rId591" Type="http://schemas.openxmlformats.org/officeDocument/2006/relationships/image" Target="media/image402.emf"/><Relationship Id="rId605" Type="http://schemas.openxmlformats.org/officeDocument/2006/relationships/footer" Target="footer91.xml"/><Relationship Id="rId787" Type="http://schemas.openxmlformats.org/officeDocument/2006/relationships/header" Target="header153.xml"/><Relationship Id="rId812" Type="http://schemas.openxmlformats.org/officeDocument/2006/relationships/footer" Target="footer160.xml"/><Relationship Id="rId202" Type="http://schemas.openxmlformats.org/officeDocument/2006/relationships/image" Target="media/image133.emf"/><Relationship Id="rId244" Type="http://schemas.openxmlformats.org/officeDocument/2006/relationships/image" Target="media/image169.emf"/><Relationship Id="rId647" Type="http://schemas.openxmlformats.org/officeDocument/2006/relationships/image" Target="media/image422.emf"/><Relationship Id="rId689" Type="http://schemas.openxmlformats.org/officeDocument/2006/relationships/footer" Target="footer120.xml"/><Relationship Id="rId854" Type="http://schemas.openxmlformats.org/officeDocument/2006/relationships/header" Target="header168.xml"/><Relationship Id="rId39" Type="http://schemas.openxmlformats.org/officeDocument/2006/relationships/header" Target="header9.xml"/><Relationship Id="rId286" Type="http://schemas.openxmlformats.org/officeDocument/2006/relationships/image" Target="media/image199.emf"/><Relationship Id="rId451" Type="http://schemas.openxmlformats.org/officeDocument/2006/relationships/image" Target="media/image316.emf"/><Relationship Id="rId493" Type="http://schemas.openxmlformats.org/officeDocument/2006/relationships/image" Target="media/image358.emf"/><Relationship Id="rId507" Type="http://schemas.openxmlformats.org/officeDocument/2006/relationships/image" Target="media/image372.emf"/><Relationship Id="rId549" Type="http://schemas.openxmlformats.org/officeDocument/2006/relationships/header" Target="header73.xml"/><Relationship Id="rId714" Type="http://schemas.openxmlformats.org/officeDocument/2006/relationships/footer" Target="footer128.xml"/><Relationship Id="rId756" Type="http://schemas.openxmlformats.org/officeDocument/2006/relationships/header" Target="header142.xml"/><Relationship Id="rId50" Type="http://schemas.openxmlformats.org/officeDocument/2006/relationships/image" Target="media/image17.emf"/><Relationship Id="rId104" Type="http://schemas.openxmlformats.org/officeDocument/2006/relationships/footer" Target="footer19.xml"/><Relationship Id="rId146" Type="http://schemas.openxmlformats.org/officeDocument/2006/relationships/image" Target="media/image89.emf"/><Relationship Id="rId188" Type="http://schemas.openxmlformats.org/officeDocument/2006/relationships/image" Target="media/image125.emf"/><Relationship Id="rId311" Type="http://schemas.openxmlformats.org/officeDocument/2006/relationships/image" Target="media/image212.emf"/><Relationship Id="rId353" Type="http://schemas.openxmlformats.org/officeDocument/2006/relationships/header" Target="header56.xml"/><Relationship Id="rId395" Type="http://schemas.openxmlformats.org/officeDocument/2006/relationships/image" Target="media/image260.emf"/><Relationship Id="rId409" Type="http://schemas.openxmlformats.org/officeDocument/2006/relationships/image" Target="media/image274.emf"/><Relationship Id="rId560" Type="http://schemas.openxmlformats.org/officeDocument/2006/relationships/footer" Target="footer76.xml"/><Relationship Id="rId798" Type="http://schemas.openxmlformats.org/officeDocument/2006/relationships/image" Target="media/image471.emf"/><Relationship Id="rId92" Type="http://schemas.openxmlformats.org/officeDocument/2006/relationships/header" Target="header17.xml"/><Relationship Id="rId213" Type="http://schemas.openxmlformats.org/officeDocument/2006/relationships/image" Target="media/image144.emf"/><Relationship Id="rId420" Type="http://schemas.openxmlformats.org/officeDocument/2006/relationships/image" Target="media/image285.emf"/><Relationship Id="rId616" Type="http://schemas.openxmlformats.org/officeDocument/2006/relationships/header" Target="header96.xml"/><Relationship Id="rId658" Type="http://schemas.openxmlformats.org/officeDocument/2006/relationships/header" Target="header110.xml"/><Relationship Id="rId823" Type="http://schemas.openxmlformats.org/officeDocument/2006/relationships/hyperlink" Target="http://epp.eurostat.ec.europa.eu/portal/page/portal/statistics/search_database" TargetMode="External"/><Relationship Id="rId255" Type="http://schemas.openxmlformats.org/officeDocument/2006/relationships/image" Target="media/image180.emf"/><Relationship Id="rId297" Type="http://schemas.openxmlformats.org/officeDocument/2006/relationships/image" Target="media/image204.emf"/><Relationship Id="rId462" Type="http://schemas.openxmlformats.org/officeDocument/2006/relationships/image" Target="media/image327.emf"/><Relationship Id="rId518" Type="http://schemas.openxmlformats.org/officeDocument/2006/relationships/footer" Target="footer61.xml"/><Relationship Id="rId725" Type="http://schemas.openxmlformats.org/officeDocument/2006/relationships/footer" Target="footer132.xml"/><Relationship Id="rId115" Type="http://schemas.openxmlformats.org/officeDocument/2006/relationships/image" Target="media/image58.emf"/><Relationship Id="rId157" Type="http://schemas.openxmlformats.org/officeDocument/2006/relationships/oleObject" Target="embeddings/oleObject1.bin"/><Relationship Id="rId322" Type="http://schemas.openxmlformats.org/officeDocument/2006/relationships/header" Target="header47.xml"/><Relationship Id="rId364" Type="http://schemas.openxmlformats.org/officeDocument/2006/relationships/footer" Target="footer59.xml"/><Relationship Id="rId767" Type="http://schemas.openxmlformats.org/officeDocument/2006/relationships/footer" Target="footer145.xml"/><Relationship Id="rId61" Type="http://schemas.openxmlformats.org/officeDocument/2006/relationships/image" Target="media/image28.emf"/><Relationship Id="rId199" Type="http://schemas.openxmlformats.org/officeDocument/2006/relationships/image" Target="media/image130.GIF"/><Relationship Id="rId571" Type="http://schemas.openxmlformats.org/officeDocument/2006/relationships/header" Target="header81.xml"/><Relationship Id="rId627" Type="http://schemas.openxmlformats.org/officeDocument/2006/relationships/image" Target="media/image414.emf"/><Relationship Id="rId669" Type="http://schemas.openxmlformats.org/officeDocument/2006/relationships/footer" Target="footer113.xml"/><Relationship Id="rId834" Type="http://schemas.openxmlformats.org/officeDocument/2006/relationships/hyperlink" Target="http://epp.eurostat.ec.europa.eu/portal/page/portal/microdata/eu_silc" TargetMode="External"/><Relationship Id="rId19" Type="http://schemas.openxmlformats.org/officeDocument/2006/relationships/footer" Target="footer5.xml"/><Relationship Id="rId224" Type="http://schemas.openxmlformats.org/officeDocument/2006/relationships/image" Target="media/image155.emf"/><Relationship Id="rId266" Type="http://schemas.openxmlformats.org/officeDocument/2006/relationships/footer" Target="footer32.xml"/><Relationship Id="rId431" Type="http://schemas.openxmlformats.org/officeDocument/2006/relationships/image" Target="media/image296.emf"/><Relationship Id="rId473" Type="http://schemas.openxmlformats.org/officeDocument/2006/relationships/image" Target="media/image338.emf"/><Relationship Id="rId529" Type="http://schemas.openxmlformats.org/officeDocument/2006/relationships/footer" Target="footer66.xml"/><Relationship Id="rId680" Type="http://schemas.openxmlformats.org/officeDocument/2006/relationships/footer" Target="footer117.xml"/><Relationship Id="rId736" Type="http://schemas.openxmlformats.org/officeDocument/2006/relationships/image" Target="media/image451.emf"/><Relationship Id="rId30" Type="http://schemas.openxmlformats.org/officeDocument/2006/relationships/image" Target="media/image9.emf"/><Relationship Id="rId126" Type="http://schemas.openxmlformats.org/officeDocument/2006/relationships/image" Target="media/image69.emf"/><Relationship Id="rId168" Type="http://schemas.openxmlformats.org/officeDocument/2006/relationships/image" Target="media/image105.emf"/><Relationship Id="rId333" Type="http://schemas.openxmlformats.org/officeDocument/2006/relationships/image" Target="media/image222.emf"/><Relationship Id="rId540" Type="http://schemas.openxmlformats.org/officeDocument/2006/relationships/header" Target="header70.xml"/><Relationship Id="rId778" Type="http://schemas.openxmlformats.org/officeDocument/2006/relationships/header" Target="header150.xml"/><Relationship Id="rId72" Type="http://schemas.openxmlformats.org/officeDocument/2006/relationships/image" Target="media/image33.emf"/><Relationship Id="rId375" Type="http://schemas.openxmlformats.org/officeDocument/2006/relationships/image" Target="media/image240.emf"/><Relationship Id="rId582" Type="http://schemas.openxmlformats.org/officeDocument/2006/relationships/image" Target="media/image399.emf"/><Relationship Id="rId638" Type="http://schemas.openxmlformats.org/officeDocument/2006/relationships/image" Target="media/image419.emf"/><Relationship Id="rId803" Type="http://schemas.openxmlformats.org/officeDocument/2006/relationships/footer" Target="footer157.xml"/><Relationship Id="rId845" Type="http://schemas.openxmlformats.org/officeDocument/2006/relationships/hyperlink" Target="http://unstats.un.org/unsd/cr/registry/regcst.asp?Cl=4" TargetMode="External"/><Relationship Id="rId3" Type="http://schemas.microsoft.com/office/2007/relationships/stylesWithEffects" Target="stylesWithEffects.xml"/><Relationship Id="rId235" Type="http://schemas.openxmlformats.org/officeDocument/2006/relationships/image" Target="media/image160.emf"/><Relationship Id="rId277" Type="http://schemas.openxmlformats.org/officeDocument/2006/relationships/image" Target="media/image196.emf"/><Relationship Id="rId400" Type="http://schemas.openxmlformats.org/officeDocument/2006/relationships/image" Target="media/image265.emf"/><Relationship Id="rId442" Type="http://schemas.openxmlformats.org/officeDocument/2006/relationships/image" Target="media/image307.emf"/><Relationship Id="rId484" Type="http://schemas.openxmlformats.org/officeDocument/2006/relationships/image" Target="media/image349.emf"/><Relationship Id="rId705" Type="http://schemas.openxmlformats.org/officeDocument/2006/relationships/footer" Target="footer125.xml"/><Relationship Id="rId137" Type="http://schemas.openxmlformats.org/officeDocument/2006/relationships/image" Target="media/image80.emf"/><Relationship Id="rId302" Type="http://schemas.openxmlformats.org/officeDocument/2006/relationships/footer" Target="footer40.xml"/><Relationship Id="rId344" Type="http://schemas.openxmlformats.org/officeDocument/2006/relationships/image" Target="media/image227.emf"/><Relationship Id="rId691" Type="http://schemas.openxmlformats.org/officeDocument/2006/relationships/image" Target="media/image436.emf"/><Relationship Id="rId747" Type="http://schemas.openxmlformats.org/officeDocument/2006/relationships/header" Target="header139.xml"/><Relationship Id="rId789" Type="http://schemas.openxmlformats.org/officeDocument/2006/relationships/image" Target="media/image468.emf"/><Relationship Id="rId41" Type="http://schemas.openxmlformats.org/officeDocument/2006/relationships/header" Target="header10.xml"/><Relationship Id="rId83" Type="http://schemas.openxmlformats.org/officeDocument/2006/relationships/image" Target="media/image44.emf"/><Relationship Id="rId179" Type="http://schemas.openxmlformats.org/officeDocument/2006/relationships/image" Target="media/image116.emf"/><Relationship Id="rId386" Type="http://schemas.openxmlformats.org/officeDocument/2006/relationships/image" Target="media/image251.emf"/><Relationship Id="rId551" Type="http://schemas.openxmlformats.org/officeDocument/2006/relationships/footer" Target="footer73.xml"/><Relationship Id="rId593" Type="http://schemas.openxmlformats.org/officeDocument/2006/relationships/image" Target="media/image404.emf"/><Relationship Id="rId607" Type="http://schemas.openxmlformats.org/officeDocument/2006/relationships/header" Target="header93.xml"/><Relationship Id="rId649" Type="http://schemas.openxmlformats.org/officeDocument/2006/relationships/header" Target="header107.xml"/><Relationship Id="rId814" Type="http://schemas.openxmlformats.org/officeDocument/2006/relationships/header" Target="header162.xml"/><Relationship Id="rId856" Type="http://schemas.openxmlformats.org/officeDocument/2006/relationships/fontTable" Target="fontTable.xml"/><Relationship Id="rId190" Type="http://schemas.openxmlformats.org/officeDocument/2006/relationships/header" Target="header26.xml"/><Relationship Id="rId204" Type="http://schemas.openxmlformats.org/officeDocument/2006/relationships/image" Target="media/image135.emf"/><Relationship Id="rId246" Type="http://schemas.openxmlformats.org/officeDocument/2006/relationships/image" Target="media/image171.emf"/><Relationship Id="rId288" Type="http://schemas.openxmlformats.org/officeDocument/2006/relationships/header" Target="header37.xml"/><Relationship Id="rId411" Type="http://schemas.openxmlformats.org/officeDocument/2006/relationships/image" Target="media/image276.emf"/><Relationship Id="rId453" Type="http://schemas.openxmlformats.org/officeDocument/2006/relationships/image" Target="media/image318.emf"/><Relationship Id="rId509" Type="http://schemas.openxmlformats.org/officeDocument/2006/relationships/image" Target="media/image374.emf"/><Relationship Id="rId660" Type="http://schemas.openxmlformats.org/officeDocument/2006/relationships/footer" Target="footer110.xml"/><Relationship Id="rId106" Type="http://schemas.openxmlformats.org/officeDocument/2006/relationships/header" Target="header21.xml"/><Relationship Id="rId313" Type="http://schemas.openxmlformats.org/officeDocument/2006/relationships/header" Target="header43.xml"/><Relationship Id="rId495" Type="http://schemas.openxmlformats.org/officeDocument/2006/relationships/image" Target="media/image360.emf"/><Relationship Id="rId716" Type="http://schemas.openxmlformats.org/officeDocument/2006/relationships/footer" Target="footer129.xml"/><Relationship Id="rId758" Type="http://schemas.openxmlformats.org/officeDocument/2006/relationships/footer" Target="footer142.xml"/><Relationship Id="rId10" Type="http://schemas.openxmlformats.org/officeDocument/2006/relationships/header" Target="header1.xml"/><Relationship Id="rId52" Type="http://schemas.openxmlformats.org/officeDocument/2006/relationships/image" Target="media/image19.emf"/><Relationship Id="rId94" Type="http://schemas.openxmlformats.org/officeDocument/2006/relationships/footer" Target="footer17.xml"/><Relationship Id="rId148" Type="http://schemas.openxmlformats.org/officeDocument/2006/relationships/image" Target="media/image91.emf"/><Relationship Id="rId355" Type="http://schemas.openxmlformats.org/officeDocument/2006/relationships/footer" Target="footer56.xml"/><Relationship Id="rId397" Type="http://schemas.openxmlformats.org/officeDocument/2006/relationships/image" Target="media/image262.emf"/><Relationship Id="rId520" Type="http://schemas.openxmlformats.org/officeDocument/2006/relationships/header" Target="header63.xml"/><Relationship Id="rId562" Type="http://schemas.openxmlformats.org/officeDocument/2006/relationships/header" Target="header78.xml"/><Relationship Id="rId618" Type="http://schemas.openxmlformats.org/officeDocument/2006/relationships/image" Target="media/image411.emf"/><Relationship Id="rId825" Type="http://schemas.openxmlformats.org/officeDocument/2006/relationships/hyperlink" Target="http://ec.europa.eu/economy_finance/publications/economic_paper/2014/pdf/ecp535_en.pdf" TargetMode="External"/><Relationship Id="rId215" Type="http://schemas.openxmlformats.org/officeDocument/2006/relationships/image" Target="media/image146.emf"/><Relationship Id="rId257" Type="http://schemas.openxmlformats.org/officeDocument/2006/relationships/image" Target="media/image182.emf"/><Relationship Id="rId422" Type="http://schemas.openxmlformats.org/officeDocument/2006/relationships/image" Target="media/image287.emf"/><Relationship Id="rId464" Type="http://schemas.openxmlformats.org/officeDocument/2006/relationships/image" Target="media/image329.emf"/><Relationship Id="rId299" Type="http://schemas.openxmlformats.org/officeDocument/2006/relationships/image" Target="media/image206.emf"/><Relationship Id="rId727" Type="http://schemas.openxmlformats.org/officeDocument/2006/relationships/image" Target="media/image448.emf"/><Relationship Id="rId63" Type="http://schemas.openxmlformats.org/officeDocument/2006/relationships/image" Target="media/image30.emf"/><Relationship Id="rId159" Type="http://schemas.openxmlformats.org/officeDocument/2006/relationships/oleObject" Target="embeddings/oleObject2.bin"/><Relationship Id="rId366" Type="http://schemas.openxmlformats.org/officeDocument/2006/relationships/footer" Target="footer60.xml"/><Relationship Id="rId573" Type="http://schemas.openxmlformats.org/officeDocument/2006/relationships/image" Target="media/image396.emf"/><Relationship Id="rId780" Type="http://schemas.openxmlformats.org/officeDocument/2006/relationships/image" Target="media/image465.emf"/><Relationship Id="rId226" Type="http://schemas.openxmlformats.org/officeDocument/2006/relationships/header" Target="header29.xml"/><Relationship Id="rId433" Type="http://schemas.openxmlformats.org/officeDocument/2006/relationships/image" Target="media/image298.emf"/><Relationship Id="rId640" Type="http://schemas.openxmlformats.org/officeDocument/2006/relationships/header" Target="header104.xml"/><Relationship Id="rId738" Type="http://schemas.openxmlformats.org/officeDocument/2006/relationships/header" Target="header136.xml"/><Relationship Id="rId74" Type="http://schemas.openxmlformats.org/officeDocument/2006/relationships/image" Target="media/image35.emf"/><Relationship Id="rId377" Type="http://schemas.openxmlformats.org/officeDocument/2006/relationships/image" Target="media/image242.emf"/><Relationship Id="rId500" Type="http://schemas.openxmlformats.org/officeDocument/2006/relationships/image" Target="media/image365.emf"/><Relationship Id="rId584" Type="http://schemas.openxmlformats.org/officeDocument/2006/relationships/image" Target="media/image401.emf"/><Relationship Id="rId805" Type="http://schemas.openxmlformats.org/officeDocument/2006/relationships/header" Target="header159.xml"/><Relationship Id="rId5" Type="http://schemas.openxmlformats.org/officeDocument/2006/relationships/webSettings" Target="webSettings.xml"/><Relationship Id="rId237" Type="http://schemas.openxmlformats.org/officeDocument/2006/relationships/image" Target="media/image162.emf"/><Relationship Id="rId791" Type="http://schemas.openxmlformats.org/officeDocument/2006/relationships/image" Target="media/image470.emf"/><Relationship Id="rId444" Type="http://schemas.openxmlformats.org/officeDocument/2006/relationships/image" Target="media/image309.emf"/><Relationship Id="rId651" Type="http://schemas.openxmlformats.org/officeDocument/2006/relationships/footer" Target="footer107.xml"/><Relationship Id="rId749" Type="http://schemas.openxmlformats.org/officeDocument/2006/relationships/footer" Target="footer139.xml"/><Relationship Id="rId290" Type="http://schemas.openxmlformats.org/officeDocument/2006/relationships/footer" Target="footer37.xml"/><Relationship Id="rId304" Type="http://schemas.openxmlformats.org/officeDocument/2006/relationships/header" Target="header42.xml"/><Relationship Id="rId388" Type="http://schemas.openxmlformats.org/officeDocument/2006/relationships/image" Target="media/image253.emf"/><Relationship Id="rId511" Type="http://schemas.openxmlformats.org/officeDocument/2006/relationships/image" Target="media/image376.emf"/><Relationship Id="rId609" Type="http://schemas.openxmlformats.org/officeDocument/2006/relationships/image" Target="media/image408.emf"/><Relationship Id="rId85" Type="http://schemas.openxmlformats.org/officeDocument/2006/relationships/image" Target="media/image46.emf"/><Relationship Id="rId150" Type="http://schemas.openxmlformats.org/officeDocument/2006/relationships/image" Target="media/image93.emf"/><Relationship Id="rId595" Type="http://schemas.openxmlformats.org/officeDocument/2006/relationships/header" Target="header89.xml"/><Relationship Id="rId816" Type="http://schemas.openxmlformats.org/officeDocument/2006/relationships/header" Target="header163.xml"/><Relationship Id="rId248" Type="http://schemas.openxmlformats.org/officeDocument/2006/relationships/image" Target="media/image173.emf"/><Relationship Id="rId455" Type="http://schemas.openxmlformats.org/officeDocument/2006/relationships/image" Target="media/image320.emf"/><Relationship Id="rId662" Type="http://schemas.openxmlformats.org/officeDocument/2006/relationships/footer" Target="footer111.xml"/><Relationship Id="rId12" Type="http://schemas.openxmlformats.org/officeDocument/2006/relationships/footer" Target="footer1.xml"/><Relationship Id="rId108" Type="http://schemas.openxmlformats.org/officeDocument/2006/relationships/header" Target="header22.xml"/><Relationship Id="rId315" Type="http://schemas.openxmlformats.org/officeDocument/2006/relationships/footer" Target="footer43.xml"/><Relationship Id="rId522" Type="http://schemas.openxmlformats.org/officeDocument/2006/relationships/image" Target="media/image381.emf"/><Relationship Id="rId96" Type="http://schemas.openxmlformats.org/officeDocument/2006/relationships/footer" Target="footer18.xml"/><Relationship Id="rId161" Type="http://schemas.openxmlformats.org/officeDocument/2006/relationships/oleObject" Target="embeddings/oleObject3.bin"/><Relationship Id="rId399" Type="http://schemas.openxmlformats.org/officeDocument/2006/relationships/image" Target="media/image264.emf"/><Relationship Id="rId827" Type="http://schemas.openxmlformats.org/officeDocument/2006/relationships/hyperlink" Target="http://ec.europa.eu/economy_finance/publications/publication14992_en.pdf" TargetMode="External"/><Relationship Id="rId259" Type="http://schemas.openxmlformats.org/officeDocument/2006/relationships/image" Target="media/image184.emf"/><Relationship Id="rId466" Type="http://schemas.openxmlformats.org/officeDocument/2006/relationships/image" Target="media/image331.emf"/><Relationship Id="rId673" Type="http://schemas.openxmlformats.org/officeDocument/2006/relationships/image" Target="media/image430.emf"/><Relationship Id="rId23" Type="http://schemas.openxmlformats.org/officeDocument/2006/relationships/image" Target="media/image2.emf"/><Relationship Id="rId119" Type="http://schemas.openxmlformats.org/officeDocument/2006/relationships/image" Target="media/image62.emf"/><Relationship Id="rId326" Type="http://schemas.openxmlformats.org/officeDocument/2006/relationships/footer" Target="footer48.xml"/><Relationship Id="rId533" Type="http://schemas.openxmlformats.org/officeDocument/2006/relationships/footer" Target="footer67.xml"/><Relationship Id="rId740" Type="http://schemas.openxmlformats.org/officeDocument/2006/relationships/footer" Target="footer136.xml"/><Relationship Id="rId838" Type="http://schemas.openxmlformats.org/officeDocument/2006/relationships/hyperlink" Target="http://www.nber.org/papers/w22521"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ec.europa.eu/eurostat/cache/metadata/Annexes/proj_esms_an1.pdf" TargetMode="External"/><Relationship Id="rId2" Type="http://schemas.openxmlformats.org/officeDocument/2006/relationships/hyperlink" Target="http://ec.europa.eu/eurostat/data/database?node_code=proj" TargetMode="External"/><Relationship Id="rId1" Type="http://schemas.openxmlformats.org/officeDocument/2006/relationships/hyperlink" Target="http://ec.europa.eu/eurostat/web/population-demography-migration-projections/population-projections-data" TargetMode="External"/><Relationship Id="rId6" Type="http://schemas.openxmlformats.org/officeDocument/2006/relationships/hyperlink" Target="http://eur-lex.europa.eu/legal-content/EN/TXT/PDF/?uri=CELEX:32015R0359&amp;from=EN" TargetMode="External"/><Relationship Id="rId5" Type="http://schemas.openxmlformats.org/officeDocument/2006/relationships/hyperlink" Target="https://ec.europa.eu/info/publications/economy-finance/2018-ageing-report-underlying-assumptions-and-projection-methodologies_en" TargetMode="External"/><Relationship Id="rId4" Type="http://schemas.openxmlformats.org/officeDocument/2006/relationships/hyperlink" Target="https://ec.europa.eu/info/business-economy-euro/indicators-statistics/economic-databases/pensref-pension-reform-database_en"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ublic\Documents\Templates\EPPublication.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EPPublication</Template>
  <TotalTime>1</TotalTime>
  <Pages>405</Pages>
  <Words>67591</Words>
  <Characters>415893</Characters>
  <Application>Microsoft Office Word</Application>
  <DocSecurity>8</DocSecurity>
  <Lines>3465</Lines>
  <Paragraphs>965</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European Commission</Company>
  <LinksUpToDate>false</LinksUpToDate>
  <CharactersWithSpaces>482519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CRAPANZANO Laura (EMPL)</dc:creator>
  <cp:lastModifiedBy>Ružica Mlakić</cp:lastModifiedBy>
  <cp:revision>2</cp:revision>
  <cp:lastPrinted>2018-04-16T15:49:00Z</cp:lastPrinted>
  <dcterms:created xsi:type="dcterms:W3CDTF">2019-06-05T12:09:00Z</dcterms:created>
  <dcterms:modified xsi:type="dcterms:W3CDTF">2019-06-05T12:09:00Z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ersion">
    <vt:lpwstr>3.6.5.0</vt:lpwstr>
  </property>
</Properties>
</file>