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90" w:rsidRDefault="00EB442A" w:rsidP="00FA7590">
      <w:pPr>
        <w:rPr>
          <w:color w:val="1F497D"/>
        </w:rPr>
      </w:pPr>
      <w:r>
        <w:rPr>
          <w:color w:val="1F497D"/>
        </w:rPr>
        <w:t>P</w:t>
      </w:r>
      <w:bookmarkStart w:id="0" w:name="_GoBack"/>
      <w:bookmarkEnd w:id="0"/>
      <w:r w:rsidR="00FA7590">
        <w:rPr>
          <w:color w:val="1F497D"/>
        </w:rPr>
        <w:t>opis JLS-a (ŽUC) za koje je doneseno rješenje za pravo puta ili izdana potvrda:</w:t>
      </w:r>
    </w:p>
    <w:p w:rsidR="00FA7590" w:rsidRDefault="00FA7590" w:rsidP="00FA7590">
      <w:pPr>
        <w:rPr>
          <w:color w:val="1F497D"/>
        </w:rPr>
      </w:pP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Konavle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Dvor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Rakovec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Medulin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Molve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ŽUC Sisačko-moslavačke županije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Sućuraj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Okrug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Lanišće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Koprivnički Ivanec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ŽUC Primorsko-goranske županije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</w:t>
      </w:r>
      <w:proofErr w:type="spellStart"/>
      <w:r>
        <w:rPr>
          <w:color w:val="1F497D"/>
        </w:rPr>
        <w:t>Popovača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Jagodnjak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Grad Daruvar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Bedekovčina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Oprisavci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Skradin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Sutivan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Gračac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Drniš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Sveti Ilija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Netretić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>Grad varaždinske Toplice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Gola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Čaglin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Lećevica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Vrsi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Općine Bistra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Općine Dubrava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Općine </w:t>
      </w:r>
      <w:proofErr w:type="spellStart"/>
      <w:r>
        <w:rPr>
          <w:color w:val="1F497D"/>
        </w:rPr>
        <w:t>Čeminac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Suhopolje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Kloštar Podravski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Čađavica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Lanišće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Tinjan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Zagorska Sela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Virovitica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Sveta </w:t>
      </w:r>
      <w:proofErr w:type="spellStart"/>
      <w:r>
        <w:rPr>
          <w:color w:val="1F497D"/>
        </w:rPr>
        <w:t>Nedelja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Gvozd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Draganić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Smokvica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ŽUC Krapinsko-zagorske županije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ŽUC Istarske županije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ŽUC Zadarske županije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Cres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Lukač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Podstrana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Hercegovac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Novo </w:t>
      </w:r>
      <w:proofErr w:type="spellStart"/>
      <w:r>
        <w:rPr>
          <w:color w:val="1F497D"/>
        </w:rPr>
        <w:t>Virje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Lipik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lastRenderedPageBreak/>
        <w:t xml:space="preserve">Grad Kutina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Grad Opatija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Nova Gradiška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Breznički Hum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Postira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Pirovac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ŽUC Virovitičko-podravske županije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Pula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Rasinja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Vođinci</w:t>
      </w:r>
      <w:proofErr w:type="spellEnd"/>
      <w:r>
        <w:rPr>
          <w:color w:val="1F497D"/>
        </w:rPr>
        <w:t xml:space="preserve"> 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Drenje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>Grad Pag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Grad Labin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Grad </w:t>
      </w:r>
      <w:proofErr w:type="spellStart"/>
      <w:r>
        <w:rPr>
          <w:color w:val="1F497D"/>
        </w:rPr>
        <w:t>Vodnjan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Virje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>Grad Bakar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Dubrovačko Primorje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Grad Zaprešić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Sveta Marija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Privlaka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Babina Greda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Bizovac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Bogdanovci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Gradište</w:t>
      </w:r>
    </w:p>
    <w:p w:rsidR="00FA7590" w:rsidRDefault="00FA7590" w:rsidP="00FA7590">
      <w:pPr>
        <w:rPr>
          <w:color w:val="1F497D"/>
        </w:rPr>
      </w:pPr>
      <w:r>
        <w:rPr>
          <w:color w:val="1F497D"/>
        </w:rPr>
        <w:t xml:space="preserve">Općina </w:t>
      </w:r>
      <w:proofErr w:type="spellStart"/>
      <w:r>
        <w:rPr>
          <w:color w:val="1F497D"/>
        </w:rPr>
        <w:t>Kotoriba</w:t>
      </w:r>
      <w:proofErr w:type="spellEnd"/>
    </w:p>
    <w:p w:rsidR="00FA7590" w:rsidRDefault="00FA7590" w:rsidP="00FA7590">
      <w:pPr>
        <w:rPr>
          <w:color w:val="1F497D"/>
        </w:rPr>
      </w:pPr>
      <w:r>
        <w:rPr>
          <w:color w:val="1F497D"/>
        </w:rPr>
        <w:t>Općina Đurđenovac</w:t>
      </w:r>
    </w:p>
    <w:p w:rsidR="004D7942" w:rsidRDefault="004D7942"/>
    <w:sectPr w:rsidR="004D7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90"/>
    <w:rsid w:val="004D7942"/>
    <w:rsid w:val="00E801A9"/>
    <w:rsid w:val="00EB442A"/>
    <w:rsid w:val="00F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Ana Šubat Perković</cp:lastModifiedBy>
  <cp:revision>3</cp:revision>
  <dcterms:created xsi:type="dcterms:W3CDTF">2018-07-02T11:55:00Z</dcterms:created>
  <dcterms:modified xsi:type="dcterms:W3CDTF">2018-07-03T05:43:00Z</dcterms:modified>
</cp:coreProperties>
</file>