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B1" w:rsidRDefault="00423FB1" w:rsidP="00423FB1">
      <w:pPr>
        <w:pStyle w:val="Naslov2"/>
        <w:tabs>
          <w:tab w:val="left" w:pos="7371"/>
        </w:tabs>
      </w:pPr>
      <w:bookmarkStart w:id="0" w:name="_GoBack"/>
      <w:bookmarkEnd w:id="0"/>
    </w:p>
    <w:tbl>
      <w:tblPr>
        <w:tblW w:w="0" w:type="auto"/>
        <w:tblInd w:w="-238" w:type="dxa"/>
        <w:tblLook w:val="04A0" w:firstRow="1" w:lastRow="0" w:firstColumn="1" w:lastColumn="0" w:noHBand="0" w:noVBand="1"/>
      </w:tblPr>
      <w:tblGrid>
        <w:gridCol w:w="238"/>
        <w:gridCol w:w="3145"/>
      </w:tblGrid>
      <w:tr w:rsidR="00423FB1" w:rsidTr="00423FB1">
        <w:trPr>
          <w:gridBefore w:val="1"/>
          <w:wBefore w:w="238" w:type="dxa"/>
        </w:trPr>
        <w:tc>
          <w:tcPr>
            <w:tcW w:w="3145" w:type="dxa"/>
            <w:hideMark/>
          </w:tcPr>
          <w:p w:rsidR="00423FB1" w:rsidRDefault="00423FB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76250" cy="609600"/>
                  <wp:effectExtent l="0" t="0" r="0" b="0"/>
                  <wp:docPr id="1" name="Slika 1" descr="GRB-RH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-RH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B1" w:rsidRDefault="00423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Republika Hrvatska</w:t>
            </w:r>
          </w:p>
          <w:p w:rsidR="00423FB1" w:rsidRDefault="00423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Općinski sud u Dubrovniku</w:t>
            </w:r>
          </w:p>
          <w:p w:rsidR="00423FB1" w:rsidRDefault="00423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Ante Starčevića 23</w:t>
            </w:r>
          </w:p>
          <w:p w:rsidR="00423FB1" w:rsidRDefault="00423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 Dubrovnik</w:t>
            </w:r>
          </w:p>
        </w:tc>
      </w:tr>
      <w:tr w:rsidR="00423FB1" w:rsidTr="00423FB1">
        <w:tc>
          <w:tcPr>
            <w:tcW w:w="338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FB1" w:rsidRDefault="00423FB1">
            <w:pPr>
              <w:pStyle w:val="VSVerzija"/>
            </w:pPr>
          </w:p>
        </w:tc>
      </w:tr>
    </w:tbl>
    <w:p w:rsidR="00423FB1" w:rsidRDefault="00423FB1" w:rsidP="00423FB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Poslovni broj: 4K-317/13</w:t>
      </w:r>
    </w:p>
    <w:p w:rsidR="00423FB1" w:rsidRDefault="00423FB1" w:rsidP="00423FB1">
      <w:pPr>
        <w:jc w:val="both"/>
        <w:rPr>
          <w:sz w:val="24"/>
        </w:rPr>
      </w:pPr>
    </w:p>
    <w:p w:rsidR="00423FB1" w:rsidRDefault="00423FB1" w:rsidP="00423FB1">
      <w:pPr>
        <w:jc w:val="both"/>
        <w:rPr>
          <w:sz w:val="24"/>
        </w:rPr>
      </w:pPr>
    </w:p>
    <w:p w:rsidR="00423FB1" w:rsidRDefault="00423FB1" w:rsidP="00423FB1">
      <w:pPr>
        <w:jc w:val="center"/>
        <w:rPr>
          <w:b/>
          <w:sz w:val="24"/>
        </w:rPr>
      </w:pPr>
      <w:r>
        <w:rPr>
          <w:sz w:val="24"/>
        </w:rPr>
        <w:t>U   I M E   R E P U B L I K E   H R V A T S K E</w:t>
      </w:r>
    </w:p>
    <w:p w:rsidR="00423FB1" w:rsidRDefault="00423FB1" w:rsidP="00423FB1">
      <w:pPr>
        <w:rPr>
          <w:sz w:val="24"/>
        </w:rPr>
      </w:pPr>
    </w:p>
    <w:p w:rsidR="00423FB1" w:rsidRDefault="00423FB1" w:rsidP="00423FB1">
      <w:pPr>
        <w:jc w:val="center"/>
        <w:rPr>
          <w:sz w:val="24"/>
        </w:rPr>
      </w:pPr>
      <w:r>
        <w:rPr>
          <w:sz w:val="24"/>
        </w:rPr>
        <w:t>R J E Š E N J E</w:t>
      </w:r>
    </w:p>
    <w:p w:rsidR="00423FB1" w:rsidRDefault="00423FB1" w:rsidP="00423FB1">
      <w:pPr>
        <w:jc w:val="both"/>
        <w:rPr>
          <w:sz w:val="24"/>
        </w:rPr>
      </w:pPr>
    </w:p>
    <w:p w:rsidR="00423FB1" w:rsidRDefault="00423FB1" w:rsidP="00423FB1">
      <w:pPr>
        <w:jc w:val="both"/>
        <w:rPr>
          <w:sz w:val="24"/>
        </w:rPr>
      </w:pPr>
    </w:p>
    <w:p w:rsidR="00423FB1" w:rsidRDefault="00423FB1" w:rsidP="00423FB1">
      <w:pPr>
        <w:pStyle w:val="Bezproreda"/>
        <w:ind w:firstLine="720"/>
        <w:jc w:val="both"/>
      </w:pPr>
      <w:r>
        <w:t xml:space="preserve">Općinski sud u Dubrovniku, po sucu tog suda Mariu </w:t>
      </w:r>
      <w:proofErr w:type="spellStart"/>
      <w:r>
        <w:t>Bulum</w:t>
      </w:r>
      <w:proofErr w:type="spellEnd"/>
      <w:r>
        <w:t xml:space="preserve">, uz sudjelovanje Ane Miloslavić kao zapisničarke, u kaznenom predmetu privatnog tužitelja </w:t>
      </w:r>
      <w:r w:rsidR="002C4E03">
        <w:t>M. B.</w:t>
      </w:r>
      <w:r>
        <w:t xml:space="preserve">, zastupanog po </w:t>
      </w:r>
      <w:r w:rsidR="002C4E03">
        <w:t>D. H.</w:t>
      </w:r>
      <w:r>
        <w:t xml:space="preserve">, odvjetniku u </w:t>
      </w:r>
      <w:r w:rsidR="002C4E03">
        <w:t>D.</w:t>
      </w:r>
      <w:r>
        <w:t xml:space="preserve">, protiv </w:t>
      </w:r>
      <w:r w:rsidR="002C4E03">
        <w:t xml:space="preserve">D. M. </w:t>
      </w:r>
      <w:r>
        <w:t>zbog kaznenog djela klevete iz čl. 149. st. 2. Kaznenog zakona (Narodne novine broj: 125/11, 144/12, 56/15, 61/15, 101/17; u daljnjem tekstu KZ/11), odlučujući izvan rasprave 20. veljače 2018. godine,</w:t>
      </w:r>
    </w:p>
    <w:p w:rsidR="00423FB1" w:rsidRDefault="00423FB1" w:rsidP="00423FB1">
      <w:pPr>
        <w:jc w:val="center"/>
        <w:rPr>
          <w:sz w:val="24"/>
        </w:rPr>
      </w:pPr>
      <w:r>
        <w:rPr>
          <w:sz w:val="24"/>
        </w:rPr>
        <w:t>r i j e š i o   j e</w:t>
      </w:r>
    </w:p>
    <w:p w:rsidR="00423FB1" w:rsidRDefault="00423FB1" w:rsidP="00423FB1">
      <w:pPr>
        <w:tabs>
          <w:tab w:val="left" w:pos="6480"/>
        </w:tabs>
        <w:rPr>
          <w:sz w:val="24"/>
        </w:rPr>
      </w:pPr>
    </w:p>
    <w:p w:rsidR="00423FB1" w:rsidRDefault="00423FB1" w:rsidP="00423FB1">
      <w:pPr>
        <w:ind w:firstLine="720"/>
        <w:jc w:val="both"/>
        <w:rPr>
          <w:sz w:val="24"/>
        </w:rPr>
      </w:pPr>
      <w:r>
        <w:rPr>
          <w:sz w:val="24"/>
        </w:rPr>
        <w:t xml:space="preserve">Na temelju odredbe čl. </w:t>
      </w:r>
      <w:smartTag w:uri="urn:schemas-microsoft-com:office:smarttags" w:element="metricconverter">
        <w:smartTagPr>
          <w:attr w:name="ProductID" w:val="525. st"/>
        </w:smartTagPr>
        <w:r>
          <w:rPr>
            <w:sz w:val="24"/>
          </w:rPr>
          <w:t>525. st</w:t>
        </w:r>
      </w:smartTag>
      <w:r>
        <w:rPr>
          <w:sz w:val="24"/>
        </w:rPr>
        <w:t xml:space="preserve">. 1. t. 3. i st. 2. u svezi s odredbom čl. </w:t>
      </w:r>
      <w:smartTag w:uri="urn:schemas-microsoft-com:office:smarttags" w:element="metricconverter">
        <w:smartTagPr>
          <w:attr w:name="ProductID" w:val="524. st"/>
        </w:smartTagPr>
        <w:r>
          <w:rPr>
            <w:sz w:val="24"/>
          </w:rPr>
          <w:t>524. st</w:t>
        </w:r>
      </w:smartTag>
      <w:r>
        <w:rPr>
          <w:sz w:val="24"/>
        </w:rPr>
        <w:t xml:space="preserve">. 2.  u svezi s odredbom čl. 344. st. 1. t. 3. u svezi s čl. 342. st. 1. t. 1. i 2. i u svezi s čl. 355. st. 1. t. 1. Zakona o kaznenom postupku (NN 152/08, 76/09, 80/11, 121/11, 91/12, 143/12, 56/13, 145/13 – u daljnjem tekstu ZKP/08 ) te u svezi s odredbom čl. </w:t>
      </w:r>
      <w:smartTag w:uri="urn:schemas-microsoft-com:office:smarttags" w:element="metricconverter">
        <w:smartTagPr>
          <w:attr w:name="ProductID" w:val="163. st"/>
        </w:smartTagPr>
        <w:r>
          <w:rPr>
            <w:sz w:val="24"/>
          </w:rPr>
          <w:t>163. st</w:t>
        </w:r>
      </w:smartTag>
      <w:r>
        <w:rPr>
          <w:sz w:val="24"/>
        </w:rPr>
        <w:t>. 1. istog Zakona, o d b a c u j e   s e</w:t>
      </w:r>
      <w:r>
        <w:rPr>
          <w:b/>
          <w:sz w:val="24"/>
        </w:rPr>
        <w:t xml:space="preserve">  </w:t>
      </w:r>
      <w:r>
        <w:rPr>
          <w:sz w:val="24"/>
        </w:rPr>
        <w:t xml:space="preserve">privatna tužba </w:t>
      </w:r>
      <w:r w:rsidR="002C4E03">
        <w:rPr>
          <w:sz w:val="24"/>
        </w:rPr>
        <w:t xml:space="preserve">M. B. </w:t>
      </w:r>
      <w:r>
        <w:rPr>
          <w:sz w:val="24"/>
        </w:rPr>
        <w:t xml:space="preserve">od 1. kolovoza 2013. protiv </w:t>
      </w:r>
      <w:r w:rsidR="002C4E03">
        <w:rPr>
          <w:sz w:val="24"/>
        </w:rPr>
        <w:t xml:space="preserve">D. M. </w:t>
      </w:r>
      <w:r>
        <w:rPr>
          <w:sz w:val="24"/>
        </w:rPr>
        <w:t>zbog kaznenog djela klevete iz čl. 149. st. 2. Kaznenog zakona.</w:t>
      </w:r>
    </w:p>
    <w:p w:rsidR="00423FB1" w:rsidRDefault="00423FB1" w:rsidP="00423FB1">
      <w:pPr>
        <w:pStyle w:val="Naslov1"/>
        <w:jc w:val="both"/>
        <w:rPr>
          <w:b w:val="0"/>
        </w:rPr>
      </w:pPr>
    </w:p>
    <w:p w:rsidR="00423FB1" w:rsidRDefault="00423FB1" w:rsidP="00423FB1">
      <w:pPr>
        <w:pStyle w:val="Naslov1"/>
        <w:rPr>
          <w:b w:val="0"/>
        </w:rPr>
      </w:pPr>
      <w:r>
        <w:rPr>
          <w:b w:val="0"/>
        </w:rPr>
        <w:t>Obrazloženje</w:t>
      </w:r>
    </w:p>
    <w:p w:rsidR="00423FB1" w:rsidRDefault="00423FB1" w:rsidP="00423FB1">
      <w:pPr>
        <w:jc w:val="both"/>
        <w:rPr>
          <w:sz w:val="24"/>
          <w:szCs w:val="24"/>
        </w:rPr>
      </w:pPr>
    </w:p>
    <w:p w:rsidR="00423FB1" w:rsidRDefault="00423FB1" w:rsidP="00423FB1">
      <w:pPr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Općinski sud u Dubrovniku primio je 1. kolovoza 2013. privatnu tužbu </w:t>
      </w:r>
      <w:r w:rsidR="002C4E03">
        <w:rPr>
          <w:sz w:val="24"/>
          <w:szCs w:val="24"/>
        </w:rPr>
        <w:t xml:space="preserve">M. B. </w:t>
      </w:r>
      <w:r>
        <w:rPr>
          <w:sz w:val="24"/>
          <w:szCs w:val="24"/>
        </w:rPr>
        <w:t xml:space="preserve">zastupanog po </w:t>
      </w:r>
      <w:r w:rsidR="002C4E03">
        <w:rPr>
          <w:sz w:val="24"/>
          <w:szCs w:val="24"/>
        </w:rPr>
        <w:t>D. H.</w:t>
      </w:r>
      <w:r>
        <w:rPr>
          <w:sz w:val="24"/>
          <w:szCs w:val="24"/>
        </w:rPr>
        <w:t xml:space="preserve">, odvjetniku u </w:t>
      </w:r>
      <w:r w:rsidR="002C4E03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protiv </w:t>
      </w:r>
      <w:r w:rsidR="002C4E03">
        <w:rPr>
          <w:sz w:val="24"/>
          <w:szCs w:val="24"/>
        </w:rPr>
        <w:t xml:space="preserve">D. M. </w:t>
      </w:r>
      <w:r>
        <w:rPr>
          <w:sz w:val="24"/>
        </w:rPr>
        <w:t>zbog kaznenog djela klevete iz čl. 149. st. 2. Kaznenog zakona.</w:t>
      </w:r>
    </w:p>
    <w:p w:rsidR="00423FB1" w:rsidRDefault="00423FB1" w:rsidP="00423FB1">
      <w:pPr>
        <w:pStyle w:val="Tijeloteksta2"/>
      </w:pPr>
    </w:p>
    <w:p w:rsidR="00423FB1" w:rsidRDefault="00423FB1" w:rsidP="00423FB1">
      <w:pPr>
        <w:pStyle w:val="Bezproreda"/>
        <w:ind w:firstLine="720"/>
        <w:jc w:val="both"/>
      </w:pPr>
      <w:r>
        <w:t xml:space="preserve">Ovaj sud je na temelju odredbe čl. 525. st. 2. Zakona o kaznenom postupku (Narodne novine broj: </w:t>
      </w:r>
      <w:hyperlink r:id="rId7" w:history="1">
        <w:r>
          <w:rPr>
            <w:rStyle w:val="Hiperveza"/>
          </w:rPr>
          <w:t>152/08</w:t>
        </w:r>
      </w:hyperlink>
      <w:r>
        <w:t xml:space="preserve">, </w:t>
      </w:r>
      <w:hyperlink r:id="rId8" w:history="1">
        <w:r>
          <w:rPr>
            <w:rStyle w:val="Hiperveza"/>
          </w:rPr>
          <w:t>76/09</w:t>
        </w:r>
      </w:hyperlink>
      <w:r>
        <w:t xml:space="preserve">, </w:t>
      </w:r>
      <w:hyperlink r:id="rId9" w:history="1">
        <w:r>
          <w:rPr>
            <w:rStyle w:val="Hiperveza"/>
          </w:rPr>
          <w:t>80/11</w:t>
        </w:r>
      </w:hyperlink>
      <w:r>
        <w:t xml:space="preserve">, </w:t>
      </w:r>
      <w:hyperlink r:id="rId10" w:history="1">
        <w:r>
          <w:rPr>
            <w:rStyle w:val="Hiperveza"/>
          </w:rPr>
          <w:t>121/11</w:t>
        </w:r>
      </w:hyperlink>
      <w:r>
        <w:t xml:space="preserve">, </w:t>
      </w:r>
      <w:hyperlink r:id="rId11" w:history="1">
        <w:r>
          <w:rPr>
            <w:rStyle w:val="Hiperveza"/>
          </w:rPr>
          <w:t>91/12</w:t>
        </w:r>
      </w:hyperlink>
      <w:r>
        <w:t xml:space="preserve">, </w:t>
      </w:r>
      <w:hyperlink r:id="rId12" w:history="1">
        <w:r>
          <w:rPr>
            <w:rStyle w:val="Hiperveza"/>
          </w:rPr>
          <w:t>143/12</w:t>
        </w:r>
      </w:hyperlink>
      <w:r>
        <w:t xml:space="preserve">, </w:t>
      </w:r>
      <w:hyperlink r:id="rId13" w:history="1">
        <w:r>
          <w:rPr>
            <w:rStyle w:val="Hiperveza"/>
          </w:rPr>
          <w:t>56/13</w:t>
        </w:r>
      </w:hyperlink>
      <w:r>
        <w:t xml:space="preserve">, </w:t>
      </w:r>
      <w:hyperlink r:id="rId14" w:history="1">
        <w:r>
          <w:rPr>
            <w:rStyle w:val="Hiperveza"/>
          </w:rPr>
          <w:t>145/13</w:t>
        </w:r>
      </w:hyperlink>
      <w:r>
        <w:rPr>
          <w:rStyle w:val="Hiperveza"/>
        </w:rPr>
        <w:t>, 152/14, 70/17</w:t>
      </w:r>
      <w:r>
        <w:t xml:space="preserve"> – u daljnjem tekstu ZKP/08) pozvao privatnog tužitelja dopisom od 7. prosinca 2017. da uredi navedenu privatnu tužbu budući da ista trpi nedostatke u odnosu na obavezne sastojke propisane odredbom čl. 342. st. 1. t. 1. – 4. ZKP/08, a što se posebice odnosi na navođenje u optužnom aktu punih osobnih podataka okrivljenog sukladno odredbi čl. 272. st. 1. ZKP/08 kao i na opis djela iz kojeg proistječu zakonska obilježja optuženog kaznenog djela.</w:t>
      </w:r>
    </w:p>
    <w:p w:rsidR="00423FB1" w:rsidRDefault="00423FB1" w:rsidP="00423FB1">
      <w:pPr>
        <w:pStyle w:val="Bezproreda"/>
        <w:ind w:firstLine="720"/>
        <w:jc w:val="both"/>
      </w:pPr>
    </w:p>
    <w:p w:rsidR="00423FB1" w:rsidRDefault="00423FB1" w:rsidP="00423FB1">
      <w:pPr>
        <w:pStyle w:val="Bezproreda"/>
        <w:ind w:firstLine="720"/>
        <w:jc w:val="both"/>
      </w:pPr>
      <w:r>
        <w:t xml:space="preserve">Navedeni dopis privatni tužitelj je primio 15. prosinca 2017., a njegov punomoćnik </w:t>
      </w:r>
      <w:r w:rsidR="002C4E03">
        <w:t xml:space="preserve">D. H. </w:t>
      </w:r>
      <w:r>
        <w:t>isti je dopis primio 11. prosinca 2017. te na isti nisu ni na koji način u zakonskom roku odgovorili, odnosno nisu nadopunili predmetnu privatnu tužbu u dijelu kako im je to navedenim dopisom ovoga suda od 7. prosinca 2017. naznačeno.</w:t>
      </w:r>
    </w:p>
    <w:p w:rsidR="00423FB1" w:rsidRDefault="00423FB1" w:rsidP="00423FB1">
      <w:pPr>
        <w:pStyle w:val="Tijeloteksta2"/>
      </w:pPr>
    </w:p>
    <w:p w:rsidR="00423FB1" w:rsidRDefault="00423FB1" w:rsidP="00423FB1">
      <w:pPr>
        <w:pStyle w:val="Tijeloteksta2"/>
      </w:pPr>
      <w:r>
        <w:lastRenderedPageBreak/>
        <w:tab/>
        <w:t>Slijedom navedenog, a budući da predmetna privatna tužba trpi nedostatke u smislu da ne sadrži pune osobne podatke okrivljene osobe sukladno odredbi čl. 272. ZKP/08 trebalo je istu odbaciti.</w:t>
      </w:r>
    </w:p>
    <w:p w:rsidR="00423FB1" w:rsidRDefault="00423FB1" w:rsidP="00423FB1">
      <w:pPr>
        <w:pStyle w:val="Tijeloteksta2"/>
      </w:pPr>
    </w:p>
    <w:p w:rsidR="00423FB1" w:rsidRDefault="00423FB1" w:rsidP="00423FB1">
      <w:pPr>
        <w:pStyle w:val="Tijeloteksta2"/>
        <w:ind w:firstLine="720"/>
      </w:pPr>
      <w:r>
        <w:t>Nadalje, obzirom da iz opisa djela ne proizlaze zakonska obilježja kaznenog djela za koje se optužena tereti, jer u istome nije opisano što bi to okrivljeni predmetnom izjavom neistinito iznio ili pronio za privatnog tužitelja i to znajući da je to neistinito, a što bi još pritom moglo štetiti njegovu časti budući da se u činjeničnom opisu navodi da bi okrivljeni spomenuo privatnog tužitelja samo navodeći „</w:t>
      </w:r>
      <w:r w:rsidR="002C4E03">
        <w:t xml:space="preserve">B. </w:t>
      </w:r>
      <w:r>
        <w:t>mi je nabio aparat u lice“, a što po mišljenju ovoga suda nije izjava koja bi opće bila podobna naštetiti nečijem časti i ugledu pa je i slijedom ove osnove navedenu privatnu tužbu trebalo odbaciti.</w:t>
      </w:r>
    </w:p>
    <w:p w:rsidR="00423FB1" w:rsidRDefault="00423FB1" w:rsidP="00423FB1">
      <w:pPr>
        <w:pStyle w:val="Tijeloteksta2"/>
      </w:pPr>
    </w:p>
    <w:p w:rsidR="00423FB1" w:rsidRDefault="00423FB1" w:rsidP="00423FB1">
      <w:pPr>
        <w:pStyle w:val="Tijeloteksta2"/>
        <w:ind w:firstLine="720"/>
      </w:pPr>
      <w:r>
        <w:t>Slijedom svega navedenog predmetnu privatnu tužbu trebalo je odbaciti te je stoga odlučeno kao u izreci ovog rješenja.</w:t>
      </w:r>
    </w:p>
    <w:p w:rsidR="00423FB1" w:rsidRDefault="00423FB1" w:rsidP="00423FB1">
      <w:pPr>
        <w:pStyle w:val="Tijeloteksta2"/>
      </w:pPr>
    </w:p>
    <w:p w:rsidR="00423FB1" w:rsidRDefault="00423FB1" w:rsidP="00423FB1">
      <w:pPr>
        <w:pStyle w:val="Tijeloteksta2"/>
      </w:pPr>
    </w:p>
    <w:p w:rsidR="00423FB1" w:rsidRDefault="00423FB1" w:rsidP="00423FB1">
      <w:pPr>
        <w:pStyle w:val="Tijeloteksta2"/>
        <w:jc w:val="center"/>
      </w:pPr>
      <w:r>
        <w:t xml:space="preserve"> Dubrovnik, 20. veljače 2018.</w:t>
      </w:r>
    </w:p>
    <w:p w:rsidR="00423FB1" w:rsidRDefault="00423FB1" w:rsidP="00423FB1">
      <w:pPr>
        <w:jc w:val="both"/>
        <w:rPr>
          <w:b/>
          <w:sz w:val="24"/>
        </w:rPr>
      </w:pPr>
    </w:p>
    <w:p w:rsidR="00423FB1" w:rsidRDefault="00423FB1" w:rsidP="00423FB1">
      <w:pPr>
        <w:jc w:val="both"/>
        <w:rPr>
          <w:sz w:val="24"/>
        </w:rPr>
      </w:pPr>
      <w:r>
        <w:rPr>
          <w:sz w:val="24"/>
        </w:rPr>
        <w:t>Zapisničarka: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Sudac: </w:t>
      </w:r>
    </w:p>
    <w:p w:rsidR="00423FB1" w:rsidRDefault="00423FB1" w:rsidP="00423FB1">
      <w:pPr>
        <w:jc w:val="both"/>
        <w:rPr>
          <w:sz w:val="24"/>
        </w:rPr>
      </w:pPr>
    </w:p>
    <w:p w:rsidR="00423FB1" w:rsidRDefault="00423FB1" w:rsidP="00423FB1">
      <w:pPr>
        <w:jc w:val="both"/>
        <w:rPr>
          <w:sz w:val="24"/>
        </w:rPr>
      </w:pPr>
      <w:r>
        <w:rPr>
          <w:sz w:val="24"/>
        </w:rPr>
        <w:t>Ane Miloslavić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Mario </w:t>
      </w:r>
      <w:proofErr w:type="spellStart"/>
      <w:r>
        <w:rPr>
          <w:sz w:val="24"/>
        </w:rPr>
        <w:t>Bulum</w:t>
      </w:r>
      <w:proofErr w:type="spellEnd"/>
      <w:r>
        <w:rPr>
          <w:sz w:val="24"/>
        </w:rPr>
        <w:t xml:space="preserve"> </w:t>
      </w:r>
    </w:p>
    <w:p w:rsidR="00423FB1" w:rsidRDefault="00423FB1" w:rsidP="00423FB1">
      <w:pPr>
        <w:jc w:val="both"/>
        <w:rPr>
          <w:sz w:val="24"/>
          <w:szCs w:val="24"/>
        </w:rPr>
      </w:pPr>
    </w:p>
    <w:p w:rsidR="00423FB1" w:rsidRDefault="00423FB1" w:rsidP="00423FB1">
      <w:pPr>
        <w:jc w:val="both"/>
        <w:rPr>
          <w:sz w:val="24"/>
          <w:szCs w:val="24"/>
        </w:rPr>
      </w:pPr>
    </w:p>
    <w:p w:rsidR="00423FB1" w:rsidRDefault="00423FB1" w:rsidP="00423FB1">
      <w:pPr>
        <w:ind w:left="2552" w:hanging="2552"/>
        <w:jc w:val="both"/>
        <w:rPr>
          <w:sz w:val="24"/>
          <w:szCs w:val="24"/>
        </w:rPr>
      </w:pPr>
      <w:r>
        <w:rPr>
          <w:sz w:val="24"/>
          <w:szCs w:val="24"/>
        </w:rPr>
        <w:t>Uputa o pravnom lijeku: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Protiv ovog rješenja može se izjaviti žalba u roku od 3 (tri) dana od dana primitka istog. Žalba se podnosi u 3 (tri) istovjetna primjerka ovom sudu za nadležni županijski sud.</w:t>
      </w:r>
    </w:p>
    <w:p w:rsidR="00423FB1" w:rsidRDefault="00423FB1" w:rsidP="00423FB1">
      <w:pPr>
        <w:jc w:val="both"/>
        <w:rPr>
          <w:sz w:val="24"/>
          <w:szCs w:val="24"/>
        </w:rPr>
      </w:pPr>
    </w:p>
    <w:p w:rsidR="00423FB1" w:rsidRDefault="00423FB1" w:rsidP="00423FB1">
      <w:pPr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>DN:</w:t>
      </w:r>
    </w:p>
    <w:p w:rsidR="00423FB1" w:rsidRDefault="002C4E03" w:rsidP="00423FB1">
      <w:pPr>
        <w:pStyle w:val="Odlomakpopisa"/>
        <w:numPr>
          <w:ilvl w:val="0"/>
          <w:numId w:val="1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M. B.</w:t>
      </w:r>
      <w:r w:rsidR="00423F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K. </w:t>
      </w:r>
      <w:r w:rsidR="00423FB1">
        <w:rPr>
          <w:sz w:val="24"/>
          <w:szCs w:val="24"/>
        </w:rPr>
        <w:t xml:space="preserve">2, </w:t>
      </w:r>
      <w:r>
        <w:rPr>
          <w:sz w:val="24"/>
          <w:szCs w:val="24"/>
        </w:rPr>
        <w:t>D.</w:t>
      </w:r>
      <w:r w:rsidR="00423FB1">
        <w:rPr>
          <w:sz w:val="24"/>
          <w:szCs w:val="24"/>
        </w:rPr>
        <w:t>,</w:t>
      </w:r>
    </w:p>
    <w:p w:rsidR="00423FB1" w:rsidRDefault="002C4E03" w:rsidP="00423FB1">
      <w:pPr>
        <w:pStyle w:val="Odlomakpopisa"/>
        <w:numPr>
          <w:ilvl w:val="0"/>
          <w:numId w:val="1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D. H.</w:t>
      </w:r>
      <w:r w:rsidR="00423FB1">
        <w:rPr>
          <w:sz w:val="24"/>
          <w:szCs w:val="24"/>
        </w:rPr>
        <w:t xml:space="preserve">, odvjetnik u </w:t>
      </w:r>
      <w:proofErr w:type="spellStart"/>
      <w:r>
        <w:rPr>
          <w:sz w:val="24"/>
          <w:szCs w:val="24"/>
        </w:rPr>
        <w:t>D.</w:t>
      </w:r>
      <w:proofErr w:type="spellEnd"/>
      <w:r w:rsidR="00423FB1">
        <w:rPr>
          <w:sz w:val="24"/>
          <w:szCs w:val="24"/>
        </w:rPr>
        <w:t>.</w:t>
      </w:r>
    </w:p>
    <w:p w:rsidR="00423FB1" w:rsidRDefault="00423FB1" w:rsidP="00423FB1">
      <w:pPr>
        <w:jc w:val="both"/>
        <w:rPr>
          <w:sz w:val="24"/>
          <w:szCs w:val="24"/>
        </w:rPr>
      </w:pPr>
    </w:p>
    <w:p w:rsidR="00423FB1" w:rsidRDefault="00423FB1" w:rsidP="00423FB1">
      <w:pPr>
        <w:jc w:val="both"/>
        <w:rPr>
          <w:sz w:val="24"/>
          <w:szCs w:val="24"/>
        </w:rPr>
      </w:pPr>
    </w:p>
    <w:p w:rsidR="00123B64" w:rsidRDefault="00123B64"/>
    <w:sectPr w:rsidR="0012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1E3"/>
    <w:multiLevelType w:val="hybridMultilevel"/>
    <w:tmpl w:val="14EE4D44"/>
    <w:lvl w:ilvl="0" w:tplc="F58A794E">
      <w:start w:val="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B1"/>
    <w:rsid w:val="00123B64"/>
    <w:rsid w:val="002C4E03"/>
    <w:rsid w:val="00423FB1"/>
    <w:rsid w:val="0080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B1"/>
    <w:pPr>
      <w:spacing w:after="0" w:line="240" w:lineRule="auto"/>
      <w:jc w:val="left"/>
    </w:pPr>
    <w:rPr>
      <w:rFonts w:eastAsia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3FB1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23FB1"/>
    <w:pPr>
      <w:keepNext/>
      <w:jc w:val="both"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23FB1"/>
    <w:rPr>
      <w:rFonts w:eastAsia="Times New Roman" w:cs="Times New Roman"/>
      <w:b/>
      <w:bCs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423FB1"/>
    <w:rPr>
      <w:rFonts w:eastAsia="Times New Roman" w:cs="Times New Roman"/>
      <w:szCs w:val="20"/>
      <w:lang w:eastAsia="hr-HR"/>
    </w:rPr>
  </w:style>
  <w:style w:type="character" w:styleId="Hiperveza">
    <w:name w:val="Hyperlink"/>
    <w:semiHidden/>
    <w:unhideWhenUsed/>
    <w:rsid w:val="00423FB1"/>
    <w:rPr>
      <w:color w:val="0000FF"/>
      <w:u w:val="single"/>
    </w:rPr>
  </w:style>
  <w:style w:type="paragraph" w:styleId="Tijeloteksta2">
    <w:name w:val="Body Text 2"/>
    <w:basedOn w:val="Normal"/>
    <w:link w:val="Tijeloteksta2Char"/>
    <w:semiHidden/>
    <w:unhideWhenUsed/>
    <w:rsid w:val="00423FB1"/>
    <w:pPr>
      <w:jc w:val="both"/>
    </w:pPr>
    <w:rPr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rsid w:val="00423FB1"/>
    <w:rPr>
      <w:rFonts w:eastAsia="Times New Roman" w:cs="Times New Roman"/>
      <w:szCs w:val="20"/>
      <w:lang w:eastAsia="hr-HR"/>
    </w:rPr>
  </w:style>
  <w:style w:type="paragraph" w:styleId="Bezproreda">
    <w:name w:val="No Spacing"/>
    <w:uiPriority w:val="1"/>
    <w:qFormat/>
    <w:rsid w:val="00423FB1"/>
    <w:pPr>
      <w:spacing w:after="0" w:line="240" w:lineRule="auto"/>
      <w:jc w:val="left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23FB1"/>
    <w:pPr>
      <w:ind w:left="720"/>
      <w:contextualSpacing/>
    </w:pPr>
  </w:style>
  <w:style w:type="paragraph" w:customStyle="1" w:styleId="VSVerzija">
    <w:name w:val="VS_Verzija"/>
    <w:basedOn w:val="Normal"/>
    <w:rsid w:val="00423FB1"/>
    <w:pPr>
      <w:jc w:val="both"/>
    </w:pPr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3F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FB1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B1"/>
    <w:pPr>
      <w:spacing w:after="0" w:line="240" w:lineRule="auto"/>
      <w:jc w:val="left"/>
    </w:pPr>
    <w:rPr>
      <w:rFonts w:eastAsia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3FB1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23FB1"/>
    <w:pPr>
      <w:keepNext/>
      <w:jc w:val="both"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23FB1"/>
    <w:rPr>
      <w:rFonts w:eastAsia="Times New Roman" w:cs="Times New Roman"/>
      <w:b/>
      <w:bCs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423FB1"/>
    <w:rPr>
      <w:rFonts w:eastAsia="Times New Roman" w:cs="Times New Roman"/>
      <w:szCs w:val="20"/>
      <w:lang w:eastAsia="hr-HR"/>
    </w:rPr>
  </w:style>
  <w:style w:type="character" w:styleId="Hiperveza">
    <w:name w:val="Hyperlink"/>
    <w:semiHidden/>
    <w:unhideWhenUsed/>
    <w:rsid w:val="00423FB1"/>
    <w:rPr>
      <w:color w:val="0000FF"/>
      <w:u w:val="single"/>
    </w:rPr>
  </w:style>
  <w:style w:type="paragraph" w:styleId="Tijeloteksta2">
    <w:name w:val="Body Text 2"/>
    <w:basedOn w:val="Normal"/>
    <w:link w:val="Tijeloteksta2Char"/>
    <w:semiHidden/>
    <w:unhideWhenUsed/>
    <w:rsid w:val="00423FB1"/>
    <w:pPr>
      <w:jc w:val="both"/>
    </w:pPr>
    <w:rPr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rsid w:val="00423FB1"/>
    <w:rPr>
      <w:rFonts w:eastAsia="Times New Roman" w:cs="Times New Roman"/>
      <w:szCs w:val="20"/>
      <w:lang w:eastAsia="hr-HR"/>
    </w:rPr>
  </w:style>
  <w:style w:type="paragraph" w:styleId="Bezproreda">
    <w:name w:val="No Spacing"/>
    <w:uiPriority w:val="1"/>
    <w:qFormat/>
    <w:rsid w:val="00423FB1"/>
    <w:pPr>
      <w:spacing w:after="0" w:line="240" w:lineRule="auto"/>
      <w:jc w:val="left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23FB1"/>
    <w:pPr>
      <w:ind w:left="720"/>
      <w:contextualSpacing/>
    </w:pPr>
  </w:style>
  <w:style w:type="paragraph" w:customStyle="1" w:styleId="VSVerzija">
    <w:name w:val="VS_Verzija"/>
    <w:basedOn w:val="Normal"/>
    <w:rsid w:val="00423FB1"/>
    <w:pPr>
      <w:jc w:val="both"/>
    </w:pPr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3F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FB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47" TargetMode="External"/><Relationship Id="rId13" Type="http://schemas.openxmlformats.org/officeDocument/2006/relationships/hyperlink" Target="http://www.zakon.hr/cms.htm?id=3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.hr/cms.htm?id=246" TargetMode="External"/><Relationship Id="rId12" Type="http://schemas.openxmlformats.org/officeDocument/2006/relationships/hyperlink" Target="http://www.zakon.hr/cms.htm?id=25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zakon.hr/cms.htm?id=25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248" TargetMode="External"/><Relationship Id="rId14" Type="http://schemas.openxmlformats.org/officeDocument/2006/relationships/hyperlink" Target="http://www.zakon.hr/cms.htm?id=56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Maleš</dc:creator>
  <cp:lastModifiedBy>Ivona Maleš</cp:lastModifiedBy>
  <cp:revision>2</cp:revision>
  <dcterms:created xsi:type="dcterms:W3CDTF">2019-03-19T09:46:00Z</dcterms:created>
  <dcterms:modified xsi:type="dcterms:W3CDTF">2019-03-19T09:46:00Z</dcterms:modified>
</cp:coreProperties>
</file>